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FF2C3" w14:textId="77777777" w:rsidR="000F22EA" w:rsidRPr="00F70026" w:rsidRDefault="000F22EA" w:rsidP="000F22EA">
      <w:pPr>
        <w:jc w:val="both"/>
        <w:rPr>
          <w:rFonts w:cstheme="minorHAnsi"/>
          <w:b/>
          <w:u w:val="single"/>
        </w:rPr>
      </w:pPr>
      <w:r w:rsidRPr="00F70026">
        <w:rPr>
          <w:rFonts w:cstheme="minorHAnsi"/>
          <w:b/>
          <w:u w:val="single"/>
        </w:rPr>
        <w:t>Supplementary table 2</w:t>
      </w:r>
    </w:p>
    <w:p w14:paraId="4C10F5A3" w14:textId="77777777" w:rsidR="000F22EA" w:rsidRPr="00F70026" w:rsidRDefault="000F22EA" w:rsidP="000F22EA">
      <w:pPr>
        <w:spacing w:line="360" w:lineRule="auto"/>
        <w:jc w:val="both"/>
        <w:rPr>
          <w:rFonts w:cstheme="minorHAnsi"/>
          <w:b/>
          <w:bCs/>
          <w:u w:val="single"/>
        </w:rPr>
      </w:pPr>
      <w:r w:rsidRPr="00F70026">
        <w:rPr>
          <w:rFonts w:cstheme="minorHAnsi"/>
          <w:b/>
          <w:bCs/>
          <w:u w:val="single"/>
        </w:rPr>
        <w:t>Endpoints among patients who reported hypoglycemia (n=6)</w:t>
      </w:r>
    </w:p>
    <w:tbl>
      <w:tblPr>
        <w:tblStyle w:val="TableGrid"/>
        <w:tblW w:w="7915" w:type="dxa"/>
        <w:tblLook w:val="04A0" w:firstRow="1" w:lastRow="0" w:firstColumn="1" w:lastColumn="0" w:noHBand="0" w:noVBand="1"/>
      </w:tblPr>
      <w:tblGrid>
        <w:gridCol w:w="3055"/>
        <w:gridCol w:w="2520"/>
        <w:gridCol w:w="2340"/>
      </w:tblGrid>
      <w:tr w:rsidR="000F22EA" w:rsidRPr="00F70026" w14:paraId="5D8D8611" w14:textId="77777777" w:rsidTr="0038108B">
        <w:trPr>
          <w:trHeight w:val="188"/>
        </w:trPr>
        <w:tc>
          <w:tcPr>
            <w:tcW w:w="3055" w:type="dxa"/>
          </w:tcPr>
          <w:p w14:paraId="41AC3D0A" w14:textId="77777777" w:rsidR="000F22EA" w:rsidRPr="00F70026" w:rsidRDefault="000F22EA" w:rsidP="0038108B">
            <w:pPr>
              <w:jc w:val="both"/>
              <w:rPr>
                <w:rFonts w:cstheme="minorHAnsi"/>
                <w:b/>
              </w:rPr>
            </w:pPr>
            <w:r w:rsidRPr="00F70026">
              <w:rPr>
                <w:rFonts w:cstheme="minorHAnsi"/>
                <w:b/>
              </w:rPr>
              <w:t>Variable</w:t>
            </w:r>
          </w:p>
        </w:tc>
        <w:tc>
          <w:tcPr>
            <w:tcW w:w="2520" w:type="dxa"/>
          </w:tcPr>
          <w:p w14:paraId="07AE85C6" w14:textId="77777777" w:rsidR="000F22EA" w:rsidRPr="00F70026" w:rsidRDefault="000F22EA" w:rsidP="0038108B">
            <w:pPr>
              <w:jc w:val="both"/>
              <w:rPr>
                <w:rFonts w:cstheme="minorHAnsi"/>
                <w:b/>
              </w:rPr>
            </w:pPr>
            <w:r w:rsidRPr="00F70026">
              <w:rPr>
                <w:rFonts w:cstheme="minorHAnsi"/>
                <w:b/>
              </w:rPr>
              <w:t>Pre-Ramadan</w:t>
            </w:r>
          </w:p>
        </w:tc>
        <w:tc>
          <w:tcPr>
            <w:tcW w:w="2340" w:type="dxa"/>
          </w:tcPr>
          <w:p w14:paraId="4D4EA7F0" w14:textId="77777777" w:rsidR="000F22EA" w:rsidRPr="00F70026" w:rsidRDefault="000F22EA" w:rsidP="0038108B">
            <w:pPr>
              <w:jc w:val="both"/>
              <w:rPr>
                <w:rFonts w:cstheme="minorHAnsi"/>
                <w:b/>
              </w:rPr>
            </w:pPr>
            <w:r w:rsidRPr="00F70026">
              <w:rPr>
                <w:rFonts w:cstheme="minorHAnsi"/>
                <w:b/>
              </w:rPr>
              <w:t>Post-Ramadan</w:t>
            </w:r>
          </w:p>
        </w:tc>
      </w:tr>
      <w:tr w:rsidR="000F22EA" w:rsidRPr="00F70026" w14:paraId="124E1CDC" w14:textId="77777777" w:rsidTr="0038108B">
        <w:trPr>
          <w:trHeight w:val="170"/>
        </w:trPr>
        <w:tc>
          <w:tcPr>
            <w:tcW w:w="3055" w:type="dxa"/>
          </w:tcPr>
          <w:p w14:paraId="195D18E3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HbA1C (%)</w:t>
            </w:r>
          </w:p>
        </w:tc>
        <w:tc>
          <w:tcPr>
            <w:tcW w:w="2520" w:type="dxa"/>
          </w:tcPr>
          <w:p w14:paraId="239086B9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7.1 ± 1.2</w:t>
            </w:r>
          </w:p>
        </w:tc>
        <w:tc>
          <w:tcPr>
            <w:tcW w:w="2340" w:type="dxa"/>
          </w:tcPr>
          <w:p w14:paraId="7A8D1AE8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7.8 ± 1.0</w:t>
            </w:r>
          </w:p>
        </w:tc>
      </w:tr>
      <w:tr w:rsidR="000F22EA" w:rsidRPr="00F70026" w14:paraId="600745F0" w14:textId="77777777" w:rsidTr="0038108B">
        <w:trPr>
          <w:trHeight w:val="251"/>
        </w:trPr>
        <w:tc>
          <w:tcPr>
            <w:tcW w:w="3055" w:type="dxa"/>
          </w:tcPr>
          <w:p w14:paraId="59B5F106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Weight (kg)</w:t>
            </w:r>
          </w:p>
        </w:tc>
        <w:tc>
          <w:tcPr>
            <w:tcW w:w="2520" w:type="dxa"/>
          </w:tcPr>
          <w:p w14:paraId="33EC4980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83.2 ± 12.3</w:t>
            </w:r>
          </w:p>
        </w:tc>
        <w:tc>
          <w:tcPr>
            <w:tcW w:w="2340" w:type="dxa"/>
          </w:tcPr>
          <w:p w14:paraId="0ACC7092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76.5</w:t>
            </w:r>
            <w:r w:rsidRPr="00F70026">
              <w:rPr>
                <w:rFonts w:cstheme="minorHAnsi"/>
                <w:color w:val="000000"/>
              </w:rPr>
              <w:t xml:space="preserve"> </w:t>
            </w:r>
            <w:r w:rsidRPr="00F70026">
              <w:rPr>
                <w:rFonts w:cstheme="minorHAnsi"/>
              </w:rPr>
              <w:t>± 4.2</w:t>
            </w:r>
          </w:p>
        </w:tc>
      </w:tr>
      <w:tr w:rsidR="000F22EA" w:rsidRPr="00F70026" w14:paraId="2344568D" w14:textId="77777777" w:rsidTr="0038108B">
        <w:trPr>
          <w:trHeight w:val="233"/>
        </w:trPr>
        <w:tc>
          <w:tcPr>
            <w:tcW w:w="3055" w:type="dxa"/>
          </w:tcPr>
          <w:p w14:paraId="1212EB2C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Creatinine (mg/d</w:t>
            </w:r>
            <w:r>
              <w:rPr>
                <w:rFonts w:cstheme="minorHAnsi"/>
              </w:rPr>
              <w:t>l</w:t>
            </w:r>
            <w:r w:rsidRPr="00F70026">
              <w:rPr>
                <w:rFonts w:cstheme="minorHAnsi"/>
              </w:rPr>
              <w:t xml:space="preserve">) </w:t>
            </w:r>
          </w:p>
        </w:tc>
        <w:tc>
          <w:tcPr>
            <w:tcW w:w="2520" w:type="dxa"/>
          </w:tcPr>
          <w:p w14:paraId="7AD4A86F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0.8</w:t>
            </w:r>
            <w:r w:rsidRPr="00F70026">
              <w:rPr>
                <w:rFonts w:cstheme="minorHAnsi"/>
                <w:color w:val="000000"/>
              </w:rPr>
              <w:t xml:space="preserve"> </w:t>
            </w:r>
            <w:r w:rsidRPr="00F70026">
              <w:rPr>
                <w:rFonts w:cstheme="minorHAnsi"/>
              </w:rPr>
              <w:t>± 0.1</w:t>
            </w:r>
          </w:p>
        </w:tc>
        <w:tc>
          <w:tcPr>
            <w:tcW w:w="2340" w:type="dxa"/>
          </w:tcPr>
          <w:p w14:paraId="4B4EA608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 xml:space="preserve">0.9 ± 0.2 </w:t>
            </w:r>
          </w:p>
        </w:tc>
      </w:tr>
      <w:tr w:rsidR="000F22EA" w:rsidRPr="00F70026" w14:paraId="55629ABD" w14:textId="77777777" w:rsidTr="0038108B">
        <w:trPr>
          <w:trHeight w:val="71"/>
        </w:trPr>
        <w:tc>
          <w:tcPr>
            <w:tcW w:w="3055" w:type="dxa"/>
          </w:tcPr>
          <w:p w14:paraId="0FB92A4E" w14:textId="77777777" w:rsidR="000F22EA" w:rsidRPr="00F70026" w:rsidRDefault="000F22EA" w:rsidP="0038108B">
            <w:pPr>
              <w:jc w:val="both"/>
              <w:rPr>
                <w:rFonts w:cstheme="minorHAnsi"/>
                <w:color w:val="202124"/>
                <w:shd w:val="clear" w:color="auto" w:fill="FFFFFF"/>
              </w:rPr>
            </w:pPr>
            <w:r w:rsidRPr="00F70026">
              <w:rPr>
                <w:rFonts w:cstheme="minorHAnsi"/>
              </w:rPr>
              <w:t xml:space="preserve">eGFR </w:t>
            </w:r>
            <w:r w:rsidRPr="00F70026">
              <w:rPr>
                <w:rFonts w:cstheme="minorHAnsi"/>
                <w:color w:val="202124"/>
                <w:shd w:val="clear" w:color="auto" w:fill="FFFFFF"/>
              </w:rPr>
              <w:t>(mL/min/1.73m</w:t>
            </w:r>
            <w:r w:rsidRPr="00F70026">
              <w:rPr>
                <w:rFonts w:cstheme="minorHAnsi"/>
                <w:color w:val="202124"/>
                <w:shd w:val="clear" w:color="auto" w:fill="FFFFFF"/>
                <w:vertAlign w:val="superscript"/>
              </w:rPr>
              <w:t>2</w:t>
            </w:r>
            <w:r w:rsidRPr="00F70026">
              <w:rPr>
                <w:rFonts w:cstheme="minorHAnsi"/>
                <w:color w:val="202124"/>
                <w:shd w:val="clear" w:color="auto" w:fill="FFFFFF"/>
              </w:rPr>
              <w:t>)</w:t>
            </w:r>
          </w:p>
          <w:p w14:paraId="4D98A5F6" w14:textId="77777777" w:rsidR="000F22EA" w:rsidRPr="00F70026" w:rsidRDefault="000F22EA" w:rsidP="000F22EA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45 – 60</w:t>
            </w:r>
          </w:p>
          <w:p w14:paraId="7423ADF9" w14:textId="77777777" w:rsidR="000F22EA" w:rsidRPr="00F70026" w:rsidRDefault="000F22EA" w:rsidP="000F22EA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&gt;60</w:t>
            </w:r>
          </w:p>
        </w:tc>
        <w:tc>
          <w:tcPr>
            <w:tcW w:w="2520" w:type="dxa"/>
          </w:tcPr>
          <w:p w14:paraId="17D620F8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</w:p>
          <w:p w14:paraId="0CBB9926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0 (0.0)</w:t>
            </w:r>
          </w:p>
          <w:p w14:paraId="13EEEC1F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6 (100.0)</w:t>
            </w:r>
          </w:p>
        </w:tc>
        <w:tc>
          <w:tcPr>
            <w:tcW w:w="2340" w:type="dxa"/>
          </w:tcPr>
          <w:p w14:paraId="4FE52645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</w:p>
          <w:p w14:paraId="24FA0A12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3 (50.0)</w:t>
            </w:r>
          </w:p>
          <w:p w14:paraId="276128AF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3 (50.0)</w:t>
            </w:r>
          </w:p>
        </w:tc>
      </w:tr>
      <w:tr w:rsidR="000F22EA" w:rsidRPr="00F70026" w14:paraId="58F543EA" w14:textId="77777777" w:rsidTr="0038108B">
        <w:trPr>
          <w:trHeight w:val="71"/>
        </w:trPr>
        <w:tc>
          <w:tcPr>
            <w:tcW w:w="3055" w:type="dxa"/>
          </w:tcPr>
          <w:p w14:paraId="42D72458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Systolic BP (mm/Hg) *</w:t>
            </w:r>
          </w:p>
        </w:tc>
        <w:tc>
          <w:tcPr>
            <w:tcW w:w="2520" w:type="dxa"/>
          </w:tcPr>
          <w:p w14:paraId="529A1C15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129.2</w:t>
            </w:r>
            <w:r w:rsidRPr="00F70026">
              <w:rPr>
                <w:rFonts w:cstheme="minorHAnsi"/>
                <w:color w:val="000000"/>
              </w:rPr>
              <w:t xml:space="preserve"> </w:t>
            </w:r>
            <w:r w:rsidRPr="00F70026">
              <w:rPr>
                <w:rFonts w:cstheme="minorHAnsi"/>
              </w:rPr>
              <w:t>± 9.8</w:t>
            </w:r>
          </w:p>
        </w:tc>
        <w:tc>
          <w:tcPr>
            <w:tcW w:w="2340" w:type="dxa"/>
          </w:tcPr>
          <w:p w14:paraId="7D3442D8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  <w:color w:val="000000"/>
              </w:rPr>
              <w:t xml:space="preserve">135.4 </w:t>
            </w:r>
            <w:r w:rsidRPr="00F70026">
              <w:rPr>
                <w:rFonts w:cstheme="minorHAnsi"/>
              </w:rPr>
              <w:t>± 19.9</w:t>
            </w:r>
          </w:p>
        </w:tc>
      </w:tr>
      <w:tr w:rsidR="000F22EA" w:rsidRPr="007D3BC7" w14:paraId="5D5E7E50" w14:textId="77777777" w:rsidTr="0038108B">
        <w:trPr>
          <w:trHeight w:val="71"/>
        </w:trPr>
        <w:tc>
          <w:tcPr>
            <w:tcW w:w="3055" w:type="dxa"/>
          </w:tcPr>
          <w:p w14:paraId="543B5421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Diastolic BP (mm/Hg) *</w:t>
            </w:r>
          </w:p>
        </w:tc>
        <w:tc>
          <w:tcPr>
            <w:tcW w:w="2520" w:type="dxa"/>
          </w:tcPr>
          <w:p w14:paraId="031753F4" w14:textId="77777777" w:rsidR="000F22EA" w:rsidRPr="00F70026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  <w:color w:val="000000"/>
              </w:rPr>
              <w:t xml:space="preserve">69.8 </w:t>
            </w:r>
            <w:r w:rsidRPr="00F70026">
              <w:rPr>
                <w:rFonts w:cstheme="minorHAnsi"/>
              </w:rPr>
              <w:t>± 9.3</w:t>
            </w:r>
          </w:p>
        </w:tc>
        <w:tc>
          <w:tcPr>
            <w:tcW w:w="2340" w:type="dxa"/>
          </w:tcPr>
          <w:p w14:paraId="30FC6293" w14:textId="77777777" w:rsidR="000F22EA" w:rsidRPr="007D3BC7" w:rsidRDefault="000F22EA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  <w:color w:val="000000"/>
              </w:rPr>
              <w:t xml:space="preserve">65.2 </w:t>
            </w:r>
            <w:r w:rsidRPr="00F70026">
              <w:rPr>
                <w:rFonts w:cstheme="minorHAnsi"/>
              </w:rPr>
              <w:t>± 17.4</w:t>
            </w:r>
          </w:p>
        </w:tc>
      </w:tr>
    </w:tbl>
    <w:p w14:paraId="0D20BCE6" w14:textId="77777777" w:rsidR="000F22EA" w:rsidRPr="00F70026" w:rsidRDefault="000F22EA" w:rsidP="000F22EA">
      <w:pPr>
        <w:jc w:val="both"/>
        <w:rPr>
          <w:rFonts w:cstheme="minorHAnsi"/>
        </w:rPr>
      </w:pPr>
      <w:r w:rsidRPr="00F70026">
        <w:rPr>
          <w:rFonts w:cstheme="minorHAnsi"/>
          <w:vertAlign w:val="superscript"/>
        </w:rPr>
        <w:t>*</w:t>
      </w:r>
      <w:r w:rsidRPr="00F70026">
        <w:rPr>
          <w:rFonts w:cstheme="minorHAnsi"/>
        </w:rPr>
        <w:t xml:space="preserve">mean and SD </w:t>
      </w:r>
    </w:p>
    <w:p w14:paraId="3BFB845E" w14:textId="77777777" w:rsidR="000F22EA" w:rsidRDefault="000F22EA" w:rsidP="000F22EA">
      <w:pPr>
        <w:jc w:val="both"/>
      </w:pPr>
    </w:p>
    <w:p w14:paraId="5AD9DDC8" w14:textId="77777777" w:rsidR="000F22EA" w:rsidRDefault="000F22EA">
      <w:bookmarkStart w:id="0" w:name="_GoBack"/>
      <w:bookmarkEnd w:id="0"/>
    </w:p>
    <w:sectPr w:rsidR="000F2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2955"/>
    <w:multiLevelType w:val="hybridMultilevel"/>
    <w:tmpl w:val="CB82CE98"/>
    <w:lvl w:ilvl="0" w:tplc="040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EA"/>
    <w:rsid w:val="000F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8614E"/>
  <w15:chartTrackingRefBased/>
  <w15:docId w15:val="{255A443F-D5EA-4ADF-A80F-2A4DF838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22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2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2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 Sheikh</dc:creator>
  <cp:keywords/>
  <dc:description/>
  <cp:lastModifiedBy>Aisha Sheikh</cp:lastModifiedBy>
  <cp:revision>1</cp:revision>
  <dcterms:created xsi:type="dcterms:W3CDTF">2022-08-30T14:01:00Z</dcterms:created>
  <dcterms:modified xsi:type="dcterms:W3CDTF">2022-08-30T14:01:00Z</dcterms:modified>
</cp:coreProperties>
</file>