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2CE" w:rsidRPr="00111672" w:rsidRDefault="00111672" w:rsidP="00111672">
      <w:pPr>
        <w:bidi w:val="0"/>
        <w:rPr>
          <w:rFonts w:asciiTheme="majorBidi" w:hAnsiTheme="majorBidi" w:cstheme="majorBidi"/>
        </w:rPr>
      </w:pPr>
      <w:r w:rsidRPr="00111672">
        <w:rPr>
          <w:rFonts w:asciiTheme="majorBidi" w:hAnsiTheme="majorBidi" w:cstheme="majorBidi"/>
        </w:rPr>
        <w:t xml:space="preserve">Table </w:t>
      </w:r>
      <w:r w:rsidRPr="00111672">
        <w:rPr>
          <w:rFonts w:asciiTheme="majorBidi" w:hAnsiTheme="majorBidi" w:cstheme="majorBidi"/>
          <w:rtl/>
        </w:rPr>
        <w:t>3</w:t>
      </w:r>
      <w:r w:rsidRPr="00111672">
        <w:rPr>
          <w:rFonts w:asciiTheme="majorBidi" w:hAnsiTheme="majorBidi" w:cstheme="majorBidi"/>
        </w:rPr>
        <w:t xml:space="preserve">: </w:t>
      </w:r>
      <w:bookmarkStart w:id="0" w:name="_GoBack"/>
      <w:bookmarkEnd w:id="0"/>
      <w:r w:rsidRPr="00111672">
        <w:rPr>
          <w:rFonts w:asciiTheme="majorBidi" w:hAnsiTheme="majorBidi" w:cstheme="majorBidi"/>
        </w:rPr>
        <w:t xml:space="preserve">Cox </w:t>
      </w:r>
      <w:r w:rsidR="00975DFE">
        <w:rPr>
          <w:rFonts w:asciiTheme="majorBidi" w:hAnsiTheme="majorBidi" w:cstheme="majorBidi"/>
        </w:rPr>
        <w:t xml:space="preserve">proportional hazards </w:t>
      </w:r>
      <w:r w:rsidRPr="00111672">
        <w:rPr>
          <w:rFonts w:asciiTheme="majorBidi" w:hAnsiTheme="majorBidi" w:cstheme="majorBidi"/>
        </w:rPr>
        <w:t>regression results (unadjusted and adjusted</w:t>
      </w:r>
      <w:r>
        <w:rPr>
          <w:rFonts w:asciiTheme="majorBidi" w:hAnsiTheme="majorBidi" w:cstheme="majorBidi"/>
        </w:rPr>
        <w:t xml:space="preserve"> </w:t>
      </w:r>
      <w:r w:rsidRPr="00111672">
        <w:rPr>
          <w:rFonts w:asciiTheme="majorBidi" w:hAnsiTheme="majorBidi" w:cstheme="majorBidi"/>
          <w:vertAlign w:val="superscript"/>
        </w:rPr>
        <w:t>a</w:t>
      </w:r>
      <w:r w:rsidRPr="00111672">
        <w:rPr>
          <w:rFonts w:asciiTheme="majorBidi" w:hAnsiTheme="majorBidi" w:cstheme="majorBidi"/>
        </w:rPr>
        <w:t>) for 31-year (median) all-cause and cardiovascular mortality.</w:t>
      </w:r>
    </w:p>
    <w:tbl>
      <w:tblPr>
        <w:tblStyle w:val="TableGrid"/>
        <w:tblW w:w="11695" w:type="dxa"/>
        <w:tblLook w:val="04A0" w:firstRow="1" w:lastRow="0" w:firstColumn="1" w:lastColumn="0" w:noHBand="0" w:noVBand="1"/>
      </w:tblPr>
      <w:tblGrid>
        <w:gridCol w:w="2500"/>
        <w:gridCol w:w="1905"/>
        <w:gridCol w:w="1890"/>
        <w:gridCol w:w="1800"/>
        <w:gridCol w:w="1710"/>
        <w:gridCol w:w="1890"/>
      </w:tblGrid>
      <w:tr w:rsidR="00111672" w:rsidRPr="00A700DF" w:rsidTr="00DD1848">
        <w:trPr>
          <w:tblHeader/>
        </w:trPr>
        <w:tc>
          <w:tcPr>
            <w:tcW w:w="2500" w:type="dxa"/>
          </w:tcPr>
          <w:p w:rsidR="00111672" w:rsidRPr="00A700DF" w:rsidRDefault="00111672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905" w:type="dxa"/>
          </w:tcPr>
          <w:p w:rsidR="00111672" w:rsidRPr="00A700DF" w:rsidRDefault="00111672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3690" w:type="dxa"/>
            <w:gridSpan w:val="2"/>
          </w:tcPr>
          <w:p w:rsidR="00111672" w:rsidRPr="00A700DF" w:rsidRDefault="00111672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All-cause mortality</w:t>
            </w:r>
          </w:p>
        </w:tc>
        <w:tc>
          <w:tcPr>
            <w:tcW w:w="3600" w:type="dxa"/>
            <w:gridSpan w:val="2"/>
          </w:tcPr>
          <w:p w:rsidR="00111672" w:rsidRPr="00A700DF" w:rsidRDefault="00111672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Cardiovascular mortality</w:t>
            </w:r>
          </w:p>
        </w:tc>
      </w:tr>
      <w:tr w:rsidR="00111672" w:rsidRPr="00A700DF" w:rsidTr="00DD1848">
        <w:trPr>
          <w:tblHeader/>
        </w:trPr>
        <w:tc>
          <w:tcPr>
            <w:tcW w:w="2500" w:type="dxa"/>
          </w:tcPr>
          <w:p w:rsidR="00111672" w:rsidRPr="00A700DF" w:rsidRDefault="00111672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Characteristic</w:t>
            </w:r>
          </w:p>
        </w:tc>
        <w:tc>
          <w:tcPr>
            <w:tcW w:w="1905" w:type="dxa"/>
          </w:tcPr>
          <w:p w:rsidR="00111672" w:rsidRPr="00A700DF" w:rsidRDefault="00111672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Reference category</w:t>
            </w:r>
          </w:p>
        </w:tc>
        <w:tc>
          <w:tcPr>
            <w:tcW w:w="1890" w:type="dxa"/>
          </w:tcPr>
          <w:p w:rsidR="00111672" w:rsidRPr="00A700DF" w:rsidRDefault="00111672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Univariate</w:t>
            </w:r>
          </w:p>
          <w:p w:rsidR="00111672" w:rsidRPr="00A700DF" w:rsidRDefault="00111672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HR (95% CI)</w:t>
            </w:r>
          </w:p>
        </w:tc>
        <w:tc>
          <w:tcPr>
            <w:tcW w:w="1800" w:type="dxa"/>
          </w:tcPr>
          <w:p w:rsidR="00111672" w:rsidRPr="00A700DF" w:rsidRDefault="00111672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Multivariate</w:t>
            </w:r>
          </w:p>
          <w:p w:rsidR="00111672" w:rsidRPr="00A700DF" w:rsidRDefault="00111672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HR (95% CI)</w:t>
            </w:r>
          </w:p>
        </w:tc>
        <w:tc>
          <w:tcPr>
            <w:tcW w:w="1710" w:type="dxa"/>
          </w:tcPr>
          <w:p w:rsidR="00111672" w:rsidRPr="00A700DF" w:rsidRDefault="00111672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Univariate</w:t>
            </w:r>
          </w:p>
          <w:p w:rsidR="00111672" w:rsidRPr="00A700DF" w:rsidRDefault="00111672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HR (95% CI)</w:t>
            </w:r>
          </w:p>
        </w:tc>
        <w:tc>
          <w:tcPr>
            <w:tcW w:w="1890" w:type="dxa"/>
          </w:tcPr>
          <w:p w:rsidR="00111672" w:rsidRPr="00A700DF" w:rsidRDefault="00111672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Multivariate</w:t>
            </w:r>
          </w:p>
          <w:p w:rsidR="00111672" w:rsidRPr="00A700DF" w:rsidRDefault="00111672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HR (95% CI)</w:t>
            </w:r>
          </w:p>
        </w:tc>
      </w:tr>
      <w:tr w:rsidR="00111672" w:rsidRPr="00A700DF" w:rsidTr="00A7130A">
        <w:tc>
          <w:tcPr>
            <w:tcW w:w="2500" w:type="dxa"/>
          </w:tcPr>
          <w:p w:rsidR="00111672" w:rsidRPr="00A700DF" w:rsidRDefault="00184FAE" w:rsidP="00111672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1905" w:type="dxa"/>
          </w:tcPr>
          <w:p w:rsidR="00111672" w:rsidRPr="00A700DF" w:rsidRDefault="00A7130A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1-year increment</w:t>
            </w:r>
          </w:p>
        </w:tc>
        <w:tc>
          <w:tcPr>
            <w:tcW w:w="1890" w:type="dxa"/>
          </w:tcPr>
          <w:p w:rsidR="00111672" w:rsidRPr="00A700DF" w:rsidRDefault="00DD1848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(1.1-1.12)</w:t>
            </w:r>
          </w:p>
        </w:tc>
        <w:tc>
          <w:tcPr>
            <w:tcW w:w="1800" w:type="dxa"/>
          </w:tcPr>
          <w:p w:rsidR="00111672" w:rsidRPr="00A700DF" w:rsidRDefault="00DD1848" w:rsidP="00111672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1.1 (1.09-1.1)</w:t>
            </w:r>
          </w:p>
        </w:tc>
        <w:tc>
          <w:tcPr>
            <w:tcW w:w="1710" w:type="dxa"/>
          </w:tcPr>
          <w:p w:rsidR="00111672" w:rsidRPr="00A700DF" w:rsidRDefault="00DD1848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1.2 (1.1-1.2)</w:t>
            </w:r>
          </w:p>
        </w:tc>
        <w:tc>
          <w:tcPr>
            <w:tcW w:w="1890" w:type="dxa"/>
          </w:tcPr>
          <w:p w:rsidR="00111672" w:rsidRPr="00A700DF" w:rsidRDefault="00DD1848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1.1 (1.1-1.2)</w:t>
            </w:r>
          </w:p>
        </w:tc>
      </w:tr>
      <w:tr w:rsidR="00111672" w:rsidRPr="00A700DF" w:rsidTr="00DD1848">
        <w:tc>
          <w:tcPr>
            <w:tcW w:w="2500" w:type="dxa"/>
            <w:tcBorders>
              <w:bottom w:val="single" w:sz="4" w:space="0" w:color="auto"/>
            </w:tcBorders>
          </w:tcPr>
          <w:p w:rsidR="00111672" w:rsidRPr="00A700DF" w:rsidRDefault="00111672" w:rsidP="00111672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Sex</w:t>
            </w:r>
            <w:r w:rsidR="00A7130A" w:rsidRPr="00A700DF">
              <w:rPr>
                <w:rFonts w:asciiTheme="majorBidi" w:hAnsiTheme="majorBidi" w:cstheme="majorBidi"/>
              </w:rPr>
              <w:t>, Male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:rsidR="00111672" w:rsidRPr="00A700DF" w:rsidRDefault="00A7130A" w:rsidP="00111672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111672" w:rsidRPr="00A700DF" w:rsidRDefault="00DD1848" w:rsidP="00DD1848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(1.3-1.6)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111672" w:rsidRPr="00A700DF" w:rsidRDefault="00DD1848" w:rsidP="00DD1848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(1.1-1.4)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111672" w:rsidRPr="00A700DF" w:rsidRDefault="00DD1848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1.5 (1.2-1.9)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111672" w:rsidRPr="00A700DF" w:rsidRDefault="00DD1848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(1.1-1.7)</w:t>
            </w:r>
          </w:p>
        </w:tc>
      </w:tr>
      <w:tr w:rsidR="00DD1848" w:rsidRPr="00A700DF" w:rsidTr="00DD1848">
        <w:tc>
          <w:tcPr>
            <w:tcW w:w="2500" w:type="dxa"/>
            <w:tcBorders>
              <w:bottom w:val="nil"/>
            </w:tcBorders>
          </w:tcPr>
          <w:p w:rsidR="00DD1848" w:rsidRPr="00A700DF" w:rsidRDefault="00DD1848" w:rsidP="00DD1848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Origin</w:t>
            </w:r>
          </w:p>
        </w:tc>
        <w:tc>
          <w:tcPr>
            <w:tcW w:w="1905" w:type="dxa"/>
            <w:tcBorders>
              <w:bottom w:val="nil"/>
            </w:tcBorders>
          </w:tcPr>
          <w:p w:rsidR="00DD1848" w:rsidRPr="00A700DF" w:rsidRDefault="00DD1848" w:rsidP="00DD1848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Yemen</w:t>
            </w:r>
          </w:p>
        </w:tc>
        <w:tc>
          <w:tcPr>
            <w:tcW w:w="1890" w:type="dxa"/>
            <w:tcBorders>
              <w:bottom w:val="nil"/>
            </w:tcBorders>
          </w:tcPr>
          <w:p w:rsidR="00DD1848" w:rsidRPr="00A700DF" w:rsidRDefault="00DD1848" w:rsidP="00975DFE">
            <w:pPr>
              <w:tabs>
                <w:tab w:val="left" w:pos="76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DD1848" w:rsidRPr="00A700DF" w:rsidRDefault="00DD1848" w:rsidP="00975DFE">
            <w:pPr>
              <w:tabs>
                <w:tab w:val="left" w:pos="62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:rsidR="00DD1848" w:rsidRPr="00A700DF" w:rsidRDefault="00DD1848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bottom w:val="nil"/>
            </w:tcBorders>
          </w:tcPr>
          <w:p w:rsidR="00DD1848" w:rsidRPr="00A700DF" w:rsidRDefault="00DD1848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ind w:firstLine="321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Middle East</w:t>
            </w:r>
          </w:p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76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1.04 (0.9-1.2)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62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1.3 (1.1-1.5)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1.01 (0.8-1.3)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(1.1-1.9)</w:t>
            </w: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ind w:firstLine="321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North Africa</w:t>
            </w:r>
          </w:p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76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0.96 (0.8-1.1)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625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(0.95-1.3)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1.02 (0.8-1.3)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(0.9-1.6)</w:t>
            </w:r>
          </w:p>
        </w:tc>
      </w:tr>
      <w:tr w:rsidR="00184FAE" w:rsidRPr="00A700DF" w:rsidTr="00DD1848">
        <w:tc>
          <w:tcPr>
            <w:tcW w:w="2500" w:type="dxa"/>
            <w:tcBorders>
              <w:top w:val="nil"/>
            </w:tcBorders>
          </w:tcPr>
          <w:p w:rsidR="00184FAE" w:rsidRPr="00A700DF" w:rsidRDefault="00184FAE" w:rsidP="00184FAE">
            <w:pPr>
              <w:bidi w:val="0"/>
              <w:ind w:firstLine="337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Europe-America</w:t>
            </w:r>
          </w:p>
        </w:tc>
        <w:tc>
          <w:tcPr>
            <w:tcW w:w="1905" w:type="dxa"/>
            <w:tcBorders>
              <w:top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(0.99-1.4)</w:t>
            </w:r>
          </w:p>
        </w:tc>
        <w:tc>
          <w:tcPr>
            <w:tcW w:w="1800" w:type="dxa"/>
            <w:tcBorders>
              <w:top w:val="nil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(1.02-1.4)</w:t>
            </w:r>
          </w:p>
        </w:tc>
        <w:tc>
          <w:tcPr>
            <w:tcW w:w="1710" w:type="dxa"/>
            <w:tcBorders>
              <w:top w:val="nil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(0.8-1.5)</w:t>
            </w:r>
          </w:p>
        </w:tc>
        <w:tc>
          <w:tcPr>
            <w:tcW w:w="1890" w:type="dxa"/>
            <w:tcBorders>
              <w:top w:val="nil"/>
            </w:tcBorders>
          </w:tcPr>
          <w:p w:rsidR="00184FAE" w:rsidRPr="00A700DF" w:rsidRDefault="00184FAE" w:rsidP="00184FAE">
            <w:pPr>
              <w:tabs>
                <w:tab w:val="left" w:pos="55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1.1 (0.8-1.4)</w:t>
            </w:r>
          </w:p>
        </w:tc>
      </w:tr>
      <w:tr w:rsidR="00184FAE" w:rsidRPr="00A700DF" w:rsidTr="00DD1848">
        <w:tc>
          <w:tcPr>
            <w:tcW w:w="2500" w:type="dxa"/>
            <w:tcBorders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Smoking status, Ever</w:t>
            </w: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Never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184FAE" w:rsidRPr="00A700DF" w:rsidRDefault="00975DF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(1.03-1.3)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184FAE" w:rsidRPr="00A700DF" w:rsidRDefault="00975DF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(1.03-1.3)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184FAE" w:rsidRPr="00A700DF" w:rsidRDefault="00975DF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(1.02-1.5)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184FAE" w:rsidRPr="00A700DF" w:rsidRDefault="00184FAE" w:rsidP="00184FAE">
            <w:pPr>
              <w:tabs>
                <w:tab w:val="left" w:pos="878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(0.9-1.4)</w:t>
            </w:r>
          </w:p>
        </w:tc>
      </w:tr>
      <w:tr w:rsidR="00184FAE" w:rsidRPr="00A700DF" w:rsidTr="00DD1848">
        <w:tc>
          <w:tcPr>
            <w:tcW w:w="25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Glycemic state</w:t>
            </w:r>
          </w:p>
        </w:tc>
        <w:tc>
          <w:tcPr>
            <w:tcW w:w="1905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Normoglycemia</w:t>
            </w: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975DFE">
            <w:pPr>
              <w:tabs>
                <w:tab w:val="left" w:pos="68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184FAE" w:rsidRPr="00A700DF" w:rsidRDefault="00184FAE" w:rsidP="00975DFE">
            <w:pPr>
              <w:tabs>
                <w:tab w:val="left" w:pos="68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:rsidR="00184FAE" w:rsidRPr="00A700DF" w:rsidRDefault="00184FAE" w:rsidP="00975DF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ind w:firstLine="462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Prediabetes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68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1.5 (1.3-1.7)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184FAE" w:rsidRPr="00A700DF" w:rsidRDefault="00975DFE" w:rsidP="00975DFE">
            <w:pPr>
              <w:tabs>
                <w:tab w:val="left" w:pos="68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(0.95-1.2)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1.8 (1.4-2.2)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tabs>
                <w:tab w:val="left" w:pos="559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(0.9-1.4)</w:t>
            </w: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ind w:firstLine="427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Diabetes</w:t>
            </w:r>
          </w:p>
        </w:tc>
        <w:tc>
          <w:tcPr>
            <w:tcW w:w="1905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3.5 (2.9-4.1)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1.8 (1.5-2.1)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184FAE" w:rsidRPr="00A700DF" w:rsidRDefault="00975DF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6.6 (4.9-8.8)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2.2 (1.6-3.04)</w:t>
            </w:r>
          </w:p>
        </w:tc>
      </w:tr>
      <w:tr w:rsidR="00184FAE" w:rsidRPr="00A700DF" w:rsidTr="00DD1848">
        <w:tc>
          <w:tcPr>
            <w:tcW w:w="25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 xml:space="preserve">Blood Pressure </w:t>
            </w:r>
            <w:r w:rsidRPr="00A700DF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905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A700DF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bidi w:val="0"/>
              <w:ind w:firstLine="432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Intermediate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tabs>
                <w:tab w:val="left" w:pos="602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tabs>
                <w:tab w:val="left" w:pos="602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1.7 (1.5-1.9)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1.2 (1.1-1.4)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tabs>
                <w:tab w:val="left" w:pos="722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2.2 (1.7-2.9)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A700DF" w:rsidRPr="00A700DF" w:rsidRDefault="00A700DF" w:rsidP="00A700DF">
            <w:pPr>
              <w:tabs>
                <w:tab w:val="left" w:pos="623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(1.04-1.9)</w:t>
            </w:r>
          </w:p>
        </w:tc>
      </w:tr>
      <w:tr w:rsidR="00A700DF" w:rsidRPr="00A700DF" w:rsidTr="00DD1848">
        <w:tc>
          <w:tcPr>
            <w:tcW w:w="2500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ind w:firstLine="432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lastRenderedPageBreak/>
              <w:t>Hypertension</w:t>
            </w:r>
          </w:p>
        </w:tc>
        <w:tc>
          <w:tcPr>
            <w:tcW w:w="1905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2.2 (0.97-2.5)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(1.2-1.6)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4.04 (3.2-5.1)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A700DF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1.9 (1.5-2.5)</w:t>
            </w:r>
          </w:p>
        </w:tc>
      </w:tr>
      <w:tr w:rsidR="00184FAE" w:rsidRPr="00A700DF" w:rsidTr="00DD1848">
        <w:tc>
          <w:tcPr>
            <w:tcW w:w="25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BMI (</w:t>
            </w:r>
            <m:oMath>
              <m:sSup>
                <m:sSupPr>
                  <m:ctrlPr>
                    <w:rPr>
                      <w:rFonts w:ascii="Cambria Math" w:hAnsi="Cambria Math" w:cstheme="majorBid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Kg/m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2</m:t>
                  </m:r>
                </m:sup>
              </m:sSup>
            </m:oMath>
            <w:r w:rsidRPr="00A700DF">
              <w:rPr>
                <w:rFonts w:asciiTheme="majorBidi" w:hAnsiTheme="majorBidi" w:cstheme="majorBidi"/>
              </w:rPr>
              <w:t xml:space="preserve">) </w:t>
            </w:r>
            <w:r w:rsidRPr="00A700DF">
              <w:rPr>
                <w:rFonts w:asciiTheme="majorBidi" w:hAnsiTheme="majorBidi" w:cstheme="majorBidi"/>
                <w:vertAlign w:val="superscript"/>
              </w:rPr>
              <w:t>c</w:t>
            </w:r>
          </w:p>
        </w:tc>
        <w:tc>
          <w:tcPr>
            <w:tcW w:w="1905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ind w:firstLine="321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Overweight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1.3 (1.1-1.4)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tabs>
                <w:tab w:val="left" w:pos="878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(0.97-1.2)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tabs>
                <w:tab w:val="left" w:pos="878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1.3 (1.02-1.6)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tabs>
                <w:tab w:val="left" w:pos="878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1.1 (0.8-1.3)</w:t>
            </w: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ind w:firstLine="342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Obese</w:t>
            </w:r>
          </w:p>
        </w:tc>
        <w:tc>
          <w:tcPr>
            <w:tcW w:w="1905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1.6 (1.4-1.9)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1.3 (1.1-1.6)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1.99 (1.5-2.6)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1.4 (1.04-1.95)</w:t>
            </w:r>
          </w:p>
        </w:tc>
      </w:tr>
      <w:tr w:rsidR="00184FAE" w:rsidRPr="00A700DF" w:rsidTr="00DD1848">
        <w:tc>
          <w:tcPr>
            <w:tcW w:w="25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Total cholesterol</w:t>
            </w:r>
            <w:r w:rsidRPr="00A700DF">
              <w:rPr>
                <w:rFonts w:asciiTheme="majorBidi" w:hAnsiTheme="majorBidi" w:cstheme="majorBidi"/>
                <w:color w:val="000000"/>
                <w:vertAlign w:val="superscript"/>
              </w:rPr>
              <w:t xml:space="preserve"> d</w:t>
            </w:r>
          </w:p>
        </w:tc>
        <w:tc>
          <w:tcPr>
            <w:tcW w:w="1905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ind w:hanging="3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84FAE" w:rsidRPr="00A700DF" w:rsidTr="00DD1848">
        <w:tc>
          <w:tcPr>
            <w:tcW w:w="250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ind w:firstLine="321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Borderline-high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1.03 (0.9-1.2)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0.98 (0.8-1.1)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:rsidR="00184FAE" w:rsidRPr="00A700DF" w:rsidRDefault="00A700DF" w:rsidP="00A700DF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1.03 (0.8-1.3)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0.99 (1.8-1.3)</w:t>
            </w:r>
          </w:p>
        </w:tc>
      </w:tr>
      <w:tr w:rsidR="00184FAE" w:rsidRPr="00A700DF" w:rsidTr="00DD1848">
        <w:tc>
          <w:tcPr>
            <w:tcW w:w="2500" w:type="dxa"/>
            <w:tcBorders>
              <w:top w:val="nil"/>
            </w:tcBorders>
          </w:tcPr>
          <w:p w:rsidR="00184FAE" w:rsidRPr="00A700DF" w:rsidRDefault="00184FAE" w:rsidP="00184FAE">
            <w:pPr>
              <w:bidi w:val="0"/>
              <w:ind w:firstLine="342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t>High</w:t>
            </w:r>
          </w:p>
        </w:tc>
        <w:tc>
          <w:tcPr>
            <w:tcW w:w="1905" w:type="dxa"/>
            <w:tcBorders>
              <w:top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1.2 (1.04-1.4)</w:t>
            </w:r>
          </w:p>
        </w:tc>
        <w:tc>
          <w:tcPr>
            <w:tcW w:w="1800" w:type="dxa"/>
            <w:tcBorders>
              <w:top w:val="nil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1.04 (0.9-1.2)</w:t>
            </w:r>
          </w:p>
        </w:tc>
        <w:tc>
          <w:tcPr>
            <w:tcW w:w="1710" w:type="dxa"/>
            <w:tcBorders>
              <w:top w:val="nil"/>
            </w:tcBorders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1.5(1.2-1.9)</w:t>
            </w:r>
          </w:p>
        </w:tc>
        <w:tc>
          <w:tcPr>
            <w:tcW w:w="1890" w:type="dxa"/>
            <w:tcBorders>
              <w:top w:val="nil"/>
            </w:tcBorders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1.2 (0.9-1.5)</w:t>
            </w:r>
          </w:p>
        </w:tc>
      </w:tr>
      <w:tr w:rsidR="00184FAE" w:rsidRPr="00A700DF" w:rsidTr="00A7130A">
        <w:tc>
          <w:tcPr>
            <w:tcW w:w="2500" w:type="dxa"/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Ln MISI, 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905" w:type="dxa"/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1.4 (1.2-1.7)</w:t>
            </w:r>
          </w:p>
        </w:tc>
        <w:tc>
          <w:tcPr>
            <w:tcW w:w="180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1.03 (0.9-1.2)</w:t>
            </w:r>
          </w:p>
        </w:tc>
        <w:tc>
          <w:tcPr>
            <w:tcW w:w="171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1.7 (1.2-2.2)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0.9 (0.6-1.2)</w:t>
            </w:r>
          </w:p>
        </w:tc>
      </w:tr>
      <w:tr w:rsidR="00184FAE" w:rsidRPr="00A700DF" w:rsidTr="00A7130A">
        <w:tc>
          <w:tcPr>
            <w:tcW w:w="2500" w:type="dxa"/>
          </w:tcPr>
          <w:p w:rsidR="00184FAE" w:rsidRPr="00A700DF" w:rsidRDefault="00184FAE" w:rsidP="00184FAE">
            <w:pPr>
              <w:tabs>
                <w:tab w:val="left" w:pos="950"/>
                <w:tab w:val="left" w:pos="1057"/>
                <w:tab w:val="left" w:pos="1310"/>
              </w:tabs>
              <w:bidi w:val="0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Ln HOMA-IR,</w:t>
            </w:r>
            <w:r w:rsidRPr="00A700DF">
              <w:rPr>
                <w:rFonts w:asciiTheme="majorBidi" w:hAnsiTheme="majorBidi" w:cstheme="majorBidi"/>
                <w:color w:val="000000"/>
                <w:rtl/>
              </w:rPr>
              <w:t xml:space="preserve"> </w:t>
            </w: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4</w:t>
            </w:r>
          </w:p>
        </w:tc>
        <w:tc>
          <w:tcPr>
            <w:tcW w:w="1905" w:type="dxa"/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1-3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tabs>
                <w:tab w:val="left" w:pos="2884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</w:rPr>
              <w:t>1.5 (1.3-1.7)</w:t>
            </w:r>
          </w:p>
        </w:tc>
        <w:tc>
          <w:tcPr>
            <w:tcW w:w="1800" w:type="dxa"/>
          </w:tcPr>
          <w:p w:rsidR="00184FAE" w:rsidRPr="00A700DF" w:rsidRDefault="00184FAE" w:rsidP="00184FAE">
            <w:pPr>
              <w:tabs>
                <w:tab w:val="left" w:pos="2884"/>
              </w:tabs>
              <w:bidi w:val="0"/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1.2 (1.04-1.4)</w:t>
            </w:r>
          </w:p>
        </w:tc>
        <w:tc>
          <w:tcPr>
            <w:tcW w:w="171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1.8 (1.4-2.2)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1.2 (0.95-1.5)</w:t>
            </w:r>
          </w:p>
        </w:tc>
      </w:tr>
      <w:tr w:rsidR="00184FAE" w:rsidRPr="00A700DF" w:rsidTr="00A7130A">
        <w:tc>
          <w:tcPr>
            <w:tcW w:w="2500" w:type="dxa"/>
          </w:tcPr>
          <w:p w:rsidR="00184FAE" w:rsidRPr="00A700DF" w:rsidRDefault="00184FAE" w:rsidP="00184FAE">
            <w:pPr>
              <w:bidi w:val="0"/>
              <w:ind w:hanging="23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Ln HOMA-%B,</w:t>
            </w:r>
            <w:r w:rsidRPr="00A700DF">
              <w:rPr>
                <w:rFonts w:asciiTheme="majorBidi" w:hAnsiTheme="majorBidi" w:cstheme="majorBidi"/>
                <w:color w:val="000000"/>
                <w:rtl/>
              </w:rPr>
              <w:t xml:space="preserve"> </w:t>
            </w: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905" w:type="dxa"/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1.3 (1.1-1.4)</w:t>
            </w:r>
          </w:p>
        </w:tc>
        <w:tc>
          <w:tcPr>
            <w:tcW w:w="180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700DF">
              <w:rPr>
                <w:rFonts w:asciiTheme="majorBidi" w:hAnsiTheme="majorBidi" w:cstheme="majorBidi"/>
              </w:rPr>
              <w:t>0.96 (0.8-1.1)</w:t>
            </w:r>
          </w:p>
        </w:tc>
        <w:tc>
          <w:tcPr>
            <w:tcW w:w="171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1.4 (1.1-1.8)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0.9 (0.7-1.2)</w:t>
            </w:r>
          </w:p>
        </w:tc>
      </w:tr>
      <w:tr w:rsidR="00184FAE" w:rsidRPr="00A700DF" w:rsidTr="00A7130A">
        <w:tc>
          <w:tcPr>
            <w:tcW w:w="2500" w:type="dxa"/>
          </w:tcPr>
          <w:p w:rsidR="00184FAE" w:rsidRPr="00A700DF" w:rsidRDefault="00184FAE" w:rsidP="00184FAE">
            <w:pPr>
              <w:bidi w:val="0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QUICKI</w:t>
            </w:r>
            <w:r w:rsidRPr="00A700DF">
              <w:rPr>
                <w:rFonts w:asciiTheme="majorBidi" w:hAnsiTheme="majorBidi" w:cstheme="majorBidi"/>
              </w:rPr>
              <w:t xml:space="preserve">, </w:t>
            </w: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905" w:type="dxa"/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t>1.5 (1.3-1.7)</w:t>
            </w:r>
          </w:p>
        </w:tc>
        <w:tc>
          <w:tcPr>
            <w:tcW w:w="1800" w:type="dxa"/>
          </w:tcPr>
          <w:p w:rsidR="00184FAE" w:rsidRPr="00A700DF" w:rsidRDefault="00A700DF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</w:rPr>
              <w:t>1</w:t>
            </w:r>
            <w:r w:rsidR="00184FAE" w:rsidRPr="00A700DF">
              <w:rPr>
                <w:rFonts w:asciiTheme="majorBidi" w:hAnsiTheme="majorBidi" w:cstheme="majorBidi"/>
              </w:rPr>
              <w:t>.2 (1.04-1.4)</w:t>
            </w:r>
          </w:p>
        </w:tc>
        <w:tc>
          <w:tcPr>
            <w:tcW w:w="171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1.8 (1.5-2.2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1.2 (0.9-1.5)</w:t>
            </w:r>
          </w:p>
        </w:tc>
      </w:tr>
      <w:tr w:rsidR="00184FAE" w:rsidRPr="00A700DF" w:rsidTr="00A7130A">
        <w:tc>
          <w:tcPr>
            <w:tcW w:w="2500" w:type="dxa"/>
          </w:tcPr>
          <w:p w:rsidR="00184FAE" w:rsidRPr="00A700DF" w:rsidRDefault="00184FAE" w:rsidP="00184FAE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A700DF">
              <w:rPr>
                <w:rFonts w:asciiTheme="majorBidi" w:hAnsiTheme="majorBidi" w:cstheme="majorBidi"/>
                <w:color w:val="000000"/>
              </w:rPr>
              <w:t>MCAi</w:t>
            </w:r>
            <w:proofErr w:type="spellEnd"/>
            <w:r w:rsidRPr="00A700DF">
              <w:rPr>
                <w:rFonts w:asciiTheme="majorBidi" w:hAnsiTheme="majorBidi" w:cstheme="majorBidi"/>
              </w:rPr>
              <w:t xml:space="preserve">, </w:t>
            </w: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1</w:t>
            </w:r>
          </w:p>
        </w:tc>
        <w:tc>
          <w:tcPr>
            <w:tcW w:w="1905" w:type="dxa"/>
          </w:tcPr>
          <w:p w:rsidR="00184FAE" w:rsidRPr="00A700DF" w:rsidRDefault="00184FAE" w:rsidP="00184FAE">
            <w:pPr>
              <w:bidi w:val="0"/>
              <w:spacing w:line="480" w:lineRule="auto"/>
              <w:rPr>
                <w:rFonts w:asciiTheme="majorBidi" w:hAnsiTheme="majorBidi" w:cstheme="majorBidi"/>
              </w:rPr>
            </w:pPr>
            <w:r w:rsidRPr="00A700DF">
              <w:rPr>
                <w:rFonts w:asciiTheme="majorBidi" w:hAnsiTheme="majorBidi" w:cstheme="majorBidi"/>
                <w:color w:val="000000"/>
              </w:rPr>
              <w:t>Q</w:t>
            </w:r>
            <w:r w:rsidRPr="00A700DF">
              <w:rPr>
                <w:rFonts w:asciiTheme="majorBidi" w:hAnsiTheme="majorBidi" w:cstheme="majorBidi"/>
                <w:color w:val="000000"/>
                <w:vertAlign w:val="subscript"/>
              </w:rPr>
              <w:t>2-4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</w:rPr>
              <w:t>1.3 (1.1-1.5)</w:t>
            </w:r>
          </w:p>
        </w:tc>
        <w:tc>
          <w:tcPr>
            <w:tcW w:w="180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A700DF">
              <w:rPr>
                <w:rFonts w:asciiTheme="majorBidi" w:hAnsiTheme="majorBidi" w:cstheme="majorBidi"/>
              </w:rPr>
              <w:t>1.2 (1.02-1.3)</w:t>
            </w:r>
          </w:p>
        </w:tc>
        <w:tc>
          <w:tcPr>
            <w:tcW w:w="171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t>1.6 (1.3-2.03)</w:t>
            </w:r>
          </w:p>
        </w:tc>
        <w:tc>
          <w:tcPr>
            <w:tcW w:w="1890" w:type="dxa"/>
          </w:tcPr>
          <w:p w:rsidR="00184FAE" w:rsidRPr="00A700DF" w:rsidRDefault="00184FAE" w:rsidP="00184FAE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A700DF">
              <w:rPr>
                <w:rFonts w:asciiTheme="majorBidi" w:hAnsiTheme="majorBidi" w:cstheme="majorBidi"/>
              </w:rPr>
              <w:t>1.4 (1.1-1.8)</w:t>
            </w:r>
          </w:p>
        </w:tc>
      </w:tr>
    </w:tbl>
    <w:p w:rsidR="00111672" w:rsidRDefault="00111672" w:rsidP="00111672">
      <w:pPr>
        <w:bidi w:val="0"/>
        <w:rPr>
          <w:rFonts w:asciiTheme="majorBidi" w:hAnsiTheme="majorBidi" w:cstheme="majorBidi"/>
        </w:rPr>
      </w:pPr>
    </w:p>
    <w:p w:rsidR="00111672" w:rsidRPr="00285E6A" w:rsidRDefault="00AC53DE" w:rsidP="00551002">
      <w:pPr>
        <w:autoSpaceDE w:val="0"/>
        <w:autoSpaceDN w:val="0"/>
        <w:bidi w:val="0"/>
        <w:adjustRightInd w:val="0"/>
        <w:spacing w:line="480" w:lineRule="auto"/>
        <w:ind w:right="25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</w:t>
      </w:r>
      <w:r w:rsidR="00111672">
        <w:rPr>
          <w:rFonts w:asciiTheme="majorBidi" w:hAnsiTheme="majorBidi" w:cstheme="majorBidi"/>
          <w:sz w:val="24"/>
          <w:szCs w:val="24"/>
        </w:rPr>
        <w:t xml:space="preserve">HOMA-IR, </w:t>
      </w:r>
      <w:r w:rsidR="00111672" w:rsidRPr="00285E6A">
        <w:rPr>
          <w:rFonts w:asciiTheme="majorBidi" w:hAnsiTheme="majorBidi" w:cstheme="majorBidi"/>
          <w:sz w:val="24"/>
          <w:szCs w:val="24"/>
        </w:rPr>
        <w:t>Homeostatic model ass</w:t>
      </w:r>
      <w:r w:rsidR="00111672"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="00111672"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 w:rsidR="00111672">
        <w:rPr>
          <w:rFonts w:asciiTheme="majorBidi" w:hAnsiTheme="majorBidi" w:cstheme="majorBidi"/>
          <w:sz w:val="24"/>
          <w:szCs w:val="24"/>
        </w:rPr>
        <w:t xml:space="preserve">– percent beta cell function; QUICKI, </w:t>
      </w:r>
      <w:r w:rsidR="00111672" w:rsidRPr="00285E6A">
        <w:rPr>
          <w:rFonts w:asciiTheme="majorBidi" w:hAnsiTheme="majorBidi" w:cstheme="majorBidi"/>
          <w:sz w:val="24"/>
          <w:szCs w:val="24"/>
        </w:rPr>
        <w:t>Quantitative Insulin</w:t>
      </w:r>
      <w:r w:rsidR="00111672">
        <w:rPr>
          <w:rFonts w:asciiTheme="majorBidi" w:hAnsiTheme="majorBidi" w:cstheme="majorBidi"/>
          <w:sz w:val="24"/>
          <w:szCs w:val="24"/>
        </w:rPr>
        <w:t xml:space="preserve"> Sensitivity Check Index; </w:t>
      </w:r>
      <w:proofErr w:type="spellStart"/>
      <w:r w:rsidR="00111672">
        <w:rPr>
          <w:rFonts w:asciiTheme="majorBidi" w:hAnsiTheme="majorBidi" w:cstheme="majorBidi"/>
          <w:sz w:val="24"/>
          <w:szCs w:val="24"/>
        </w:rPr>
        <w:t>MCAi</w:t>
      </w:r>
      <w:proofErr w:type="spellEnd"/>
      <w:r w:rsidR="0011167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111672" w:rsidRPr="00285E6A">
        <w:rPr>
          <w:rFonts w:asciiTheme="majorBidi" w:hAnsiTheme="majorBidi" w:cstheme="majorBidi"/>
          <w:sz w:val="24"/>
          <w:szCs w:val="24"/>
        </w:rPr>
        <w:t>Mcauley</w:t>
      </w:r>
      <w:proofErr w:type="spellEnd"/>
      <w:r w:rsidR="00111672" w:rsidRPr="00285E6A">
        <w:rPr>
          <w:rFonts w:asciiTheme="majorBidi" w:hAnsiTheme="majorBidi" w:cstheme="majorBidi"/>
          <w:sz w:val="24"/>
          <w:szCs w:val="24"/>
        </w:rPr>
        <w:t xml:space="preserve"> index.</w:t>
      </w:r>
    </w:p>
    <w:p w:rsidR="00111672" w:rsidRPr="00111672" w:rsidRDefault="00111672" w:rsidP="00551002">
      <w:pPr>
        <w:autoSpaceDE w:val="0"/>
        <w:autoSpaceDN w:val="0"/>
        <w:bidi w:val="0"/>
        <w:adjustRightInd w:val="0"/>
        <w:spacing w:line="480" w:lineRule="auto"/>
        <w:ind w:right="254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</w:rPr>
        <w:t xml:space="preserve"> Multivariable models were adjusted to the </w:t>
      </w:r>
      <w:proofErr w:type="spellStart"/>
      <w:r>
        <w:rPr>
          <w:rFonts w:asciiTheme="majorBidi" w:hAnsiTheme="majorBidi" w:cstheme="majorBidi"/>
          <w:sz w:val="24"/>
          <w:szCs w:val="24"/>
        </w:rPr>
        <w:t>MCAi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and not the other insulin sensitivity indices;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Blood pressure </w:t>
      </w:r>
      <w:r>
        <w:rPr>
          <w:rFonts w:asciiTheme="majorBidi" w:hAnsiTheme="majorBidi" w:cstheme="majorBidi"/>
          <w:sz w:val="24"/>
          <w:szCs w:val="24"/>
        </w:rPr>
        <w:t>categories</w:t>
      </w:r>
      <w:r w:rsidRPr="00285E6A">
        <w:rPr>
          <w:rFonts w:asciiTheme="majorBidi" w:hAnsiTheme="majorBidi" w:cstheme="majorBidi"/>
          <w:sz w:val="24"/>
          <w:szCs w:val="24"/>
        </w:rPr>
        <w:t xml:space="preserve">: Normal- systolic BP </w:t>
      </w:r>
      <w:r w:rsidR="00551002">
        <w:rPr>
          <w:rFonts w:asciiTheme="majorBidi" w:hAnsiTheme="majorBidi" w:cstheme="majorBidi"/>
          <w:sz w:val="24"/>
          <w:szCs w:val="24"/>
        </w:rPr>
        <w:t>&lt;</w:t>
      </w:r>
      <w:r w:rsidRPr="00285E6A">
        <w:rPr>
          <w:rFonts w:asciiTheme="majorBidi" w:hAnsiTheme="majorBidi" w:cstheme="majorBidi"/>
          <w:sz w:val="24"/>
          <w:szCs w:val="24"/>
        </w:rPr>
        <w:t xml:space="preserve"> 140 mmHg and diastolic BP </w:t>
      </w:r>
      <w:r w:rsidR="00551002">
        <w:rPr>
          <w:rFonts w:asciiTheme="majorBidi" w:hAnsiTheme="majorBidi" w:cstheme="majorBidi"/>
          <w:sz w:val="24"/>
          <w:szCs w:val="24"/>
        </w:rPr>
        <w:t>&lt;</w:t>
      </w:r>
      <w:r w:rsidRPr="00285E6A">
        <w:rPr>
          <w:rFonts w:asciiTheme="majorBidi" w:hAnsiTheme="majorBidi" w:cstheme="majorBidi"/>
          <w:sz w:val="24"/>
          <w:szCs w:val="24"/>
        </w:rPr>
        <w:t xml:space="preserve"> 90mmHg</w:t>
      </w:r>
      <w:r w:rsidRPr="00285E6A">
        <w:rPr>
          <w:rFonts w:asciiTheme="majorBidi" w:hAnsiTheme="majorBidi" w:cstheme="majorBidi"/>
          <w:sz w:val="24"/>
          <w:szCs w:val="24"/>
          <w:rtl/>
        </w:rPr>
        <w:t>;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>Intermediate - systolic BP ≥ 140 mmHg or diastolic BP ≥90 mmHg</w:t>
      </w:r>
      <w:r w:rsidRPr="00285E6A">
        <w:rPr>
          <w:rFonts w:asciiTheme="majorBidi" w:hAnsiTheme="majorBidi" w:cstheme="majorBidi"/>
          <w:sz w:val="24"/>
          <w:szCs w:val="24"/>
          <w:rtl/>
        </w:rPr>
        <w:t>;</w:t>
      </w:r>
      <w:r w:rsidRPr="00285E6A">
        <w:rPr>
          <w:rFonts w:asciiTheme="majorBidi" w:hAnsiTheme="majorBidi" w:cstheme="majorBidi"/>
          <w:sz w:val="24"/>
          <w:szCs w:val="24"/>
        </w:rPr>
        <w:t xml:space="preserve"> Hypertension systolic BP ≥ 140 mmHg and diastolic BP ≥ 90 mmHg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BMI </w:t>
      </w:r>
      <w:r>
        <w:rPr>
          <w:rFonts w:asciiTheme="majorBidi" w:hAnsiTheme="majorBidi" w:cstheme="majorBidi"/>
          <w:sz w:val="24"/>
          <w:szCs w:val="24"/>
        </w:rPr>
        <w:t>categories</w:t>
      </w:r>
      <w:r w:rsidRPr="00285E6A">
        <w:rPr>
          <w:rFonts w:asciiTheme="majorBidi" w:hAnsiTheme="majorBidi" w:cstheme="majorBidi"/>
          <w:sz w:val="24"/>
          <w:szCs w:val="24"/>
        </w:rPr>
        <w:t>: Normal &lt; 25 kg/</w:t>
      </w:r>
      <w:r>
        <w:rPr>
          <w:rFonts w:asciiTheme="majorBidi" w:hAnsiTheme="majorBidi" w:cstheme="majorBidi"/>
          <w:sz w:val="24"/>
          <w:szCs w:val="24"/>
        </w:rPr>
        <w:t>m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>,</w:t>
      </w:r>
      <w:r w:rsidRPr="00285E6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Overweight,</w:t>
      </w:r>
      <w:r w:rsidRPr="00285E6A">
        <w:rPr>
          <w:rFonts w:asciiTheme="majorBidi" w:hAnsiTheme="majorBidi" w:cstheme="majorBidi"/>
          <w:sz w:val="24"/>
          <w:szCs w:val="24"/>
        </w:rPr>
        <w:t xml:space="preserve"> 25 – 29.9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>kg/</w:t>
      </w:r>
      <w:r>
        <w:rPr>
          <w:rFonts w:asciiTheme="majorBidi" w:hAnsiTheme="majorBidi" w:cstheme="majorBidi"/>
          <w:sz w:val="24"/>
          <w:szCs w:val="24"/>
        </w:rPr>
        <w:t>m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85E6A">
        <w:rPr>
          <w:rFonts w:asciiTheme="majorBidi" w:hAnsiTheme="majorBidi" w:cstheme="majorBidi"/>
          <w:sz w:val="24"/>
          <w:szCs w:val="24"/>
        </w:rPr>
        <w:t>; Obese- BMI ≥ 30 kg/</w:t>
      </w:r>
      <w:r>
        <w:rPr>
          <w:rFonts w:asciiTheme="majorBidi" w:hAnsiTheme="majorBidi" w:cstheme="majorBidi"/>
          <w:sz w:val="24"/>
          <w:szCs w:val="24"/>
        </w:rPr>
        <w:t>m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Total cholesterol </w:t>
      </w:r>
      <w:r>
        <w:rPr>
          <w:rFonts w:asciiTheme="majorBidi" w:hAnsiTheme="majorBidi" w:cstheme="majorBidi"/>
          <w:sz w:val="24"/>
          <w:szCs w:val="24"/>
        </w:rPr>
        <w:t>categories</w:t>
      </w:r>
      <w:r w:rsidRPr="00285E6A">
        <w:rPr>
          <w:rFonts w:asciiTheme="majorBidi" w:hAnsiTheme="majorBidi" w:cstheme="majorBidi"/>
          <w:sz w:val="24"/>
          <w:szCs w:val="24"/>
        </w:rPr>
        <w:t xml:space="preserve">: Normal &lt; 200 mg/dl; </w:t>
      </w:r>
      <w:r w:rsidRPr="00285E6A">
        <w:rPr>
          <w:rFonts w:asciiTheme="majorBidi" w:hAnsiTheme="majorBidi" w:cstheme="majorBidi"/>
          <w:color w:val="000000"/>
          <w:sz w:val="24"/>
          <w:szCs w:val="24"/>
        </w:rPr>
        <w:t>Borderline high</w:t>
      </w:r>
      <w:r w:rsidRPr="00285E6A">
        <w:rPr>
          <w:rFonts w:asciiTheme="majorBidi" w:hAnsiTheme="majorBidi" w:cstheme="majorBidi"/>
          <w:sz w:val="24"/>
          <w:szCs w:val="24"/>
        </w:rPr>
        <w:t xml:space="preserve"> 2</w:t>
      </w:r>
      <w:r>
        <w:rPr>
          <w:rFonts w:asciiTheme="majorBidi" w:hAnsiTheme="majorBidi" w:cstheme="majorBidi"/>
          <w:sz w:val="24"/>
          <w:szCs w:val="24"/>
        </w:rPr>
        <w:t>00–239 mg/dl; High ≥ 240 mg/dl.</w:t>
      </w:r>
    </w:p>
    <w:sectPr w:rsidR="00111672" w:rsidRPr="00111672" w:rsidSect="00111672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672"/>
    <w:rsid w:val="000006D6"/>
    <w:rsid w:val="000104D5"/>
    <w:rsid w:val="00013766"/>
    <w:rsid w:val="0001650E"/>
    <w:rsid w:val="0002463A"/>
    <w:rsid w:val="0003282B"/>
    <w:rsid w:val="0003408C"/>
    <w:rsid w:val="00047925"/>
    <w:rsid w:val="0005176B"/>
    <w:rsid w:val="000519A7"/>
    <w:rsid w:val="0006029D"/>
    <w:rsid w:val="000641B3"/>
    <w:rsid w:val="0008225D"/>
    <w:rsid w:val="000A33D5"/>
    <w:rsid w:val="000B6270"/>
    <w:rsid w:val="000B64F6"/>
    <w:rsid w:val="000B728F"/>
    <w:rsid w:val="000C423B"/>
    <w:rsid w:val="000D0325"/>
    <w:rsid w:val="000D11A8"/>
    <w:rsid w:val="000D1533"/>
    <w:rsid w:val="000D7DC4"/>
    <w:rsid w:val="000E10A6"/>
    <w:rsid w:val="000E1400"/>
    <w:rsid w:val="000E14DE"/>
    <w:rsid w:val="000E17A0"/>
    <w:rsid w:val="000E63E4"/>
    <w:rsid w:val="000F1005"/>
    <w:rsid w:val="000F1CB5"/>
    <w:rsid w:val="000F5C39"/>
    <w:rsid w:val="00103594"/>
    <w:rsid w:val="00106C90"/>
    <w:rsid w:val="00111672"/>
    <w:rsid w:val="001141F3"/>
    <w:rsid w:val="0013441E"/>
    <w:rsid w:val="00135BD6"/>
    <w:rsid w:val="00144B8A"/>
    <w:rsid w:val="001502B4"/>
    <w:rsid w:val="00151893"/>
    <w:rsid w:val="00154BC3"/>
    <w:rsid w:val="0016326A"/>
    <w:rsid w:val="0016331A"/>
    <w:rsid w:val="0017597D"/>
    <w:rsid w:val="00177C97"/>
    <w:rsid w:val="00184C9B"/>
    <w:rsid w:val="00184FAE"/>
    <w:rsid w:val="001869F5"/>
    <w:rsid w:val="00191624"/>
    <w:rsid w:val="001B66C6"/>
    <w:rsid w:val="001C4A87"/>
    <w:rsid w:val="001D0914"/>
    <w:rsid w:val="001D3401"/>
    <w:rsid w:val="001E221B"/>
    <w:rsid w:val="001E2716"/>
    <w:rsid w:val="001E7946"/>
    <w:rsid w:val="001F0EB0"/>
    <w:rsid w:val="001F23FD"/>
    <w:rsid w:val="001F47C8"/>
    <w:rsid w:val="001F6AF6"/>
    <w:rsid w:val="002025B1"/>
    <w:rsid w:val="002032FD"/>
    <w:rsid w:val="00204555"/>
    <w:rsid w:val="00206C75"/>
    <w:rsid w:val="00210AC8"/>
    <w:rsid w:val="002203A1"/>
    <w:rsid w:val="002221C1"/>
    <w:rsid w:val="002233B3"/>
    <w:rsid w:val="00226C0C"/>
    <w:rsid w:val="00226E0B"/>
    <w:rsid w:val="002313D7"/>
    <w:rsid w:val="00235265"/>
    <w:rsid w:val="0024615A"/>
    <w:rsid w:val="0025684A"/>
    <w:rsid w:val="00264DF1"/>
    <w:rsid w:val="0026610A"/>
    <w:rsid w:val="002700B8"/>
    <w:rsid w:val="002723F2"/>
    <w:rsid w:val="00277ABD"/>
    <w:rsid w:val="00287305"/>
    <w:rsid w:val="0029220F"/>
    <w:rsid w:val="002A2853"/>
    <w:rsid w:val="002C014E"/>
    <w:rsid w:val="002D2499"/>
    <w:rsid w:val="002D7978"/>
    <w:rsid w:val="002E2489"/>
    <w:rsid w:val="002E5FB0"/>
    <w:rsid w:val="002F3143"/>
    <w:rsid w:val="003324D8"/>
    <w:rsid w:val="00333457"/>
    <w:rsid w:val="00337699"/>
    <w:rsid w:val="00346D43"/>
    <w:rsid w:val="0035524C"/>
    <w:rsid w:val="00373917"/>
    <w:rsid w:val="00382E85"/>
    <w:rsid w:val="003858D0"/>
    <w:rsid w:val="00393292"/>
    <w:rsid w:val="00396AD1"/>
    <w:rsid w:val="003C1965"/>
    <w:rsid w:val="003C4489"/>
    <w:rsid w:val="003C797D"/>
    <w:rsid w:val="003C7F53"/>
    <w:rsid w:val="003E40E3"/>
    <w:rsid w:val="003F2F01"/>
    <w:rsid w:val="004028D7"/>
    <w:rsid w:val="004108A4"/>
    <w:rsid w:val="00413AB3"/>
    <w:rsid w:val="0042029E"/>
    <w:rsid w:val="00445C1F"/>
    <w:rsid w:val="0045708D"/>
    <w:rsid w:val="00482E72"/>
    <w:rsid w:val="00486D10"/>
    <w:rsid w:val="00494AE8"/>
    <w:rsid w:val="004A4C79"/>
    <w:rsid w:val="004A737D"/>
    <w:rsid w:val="004B05E1"/>
    <w:rsid w:val="004B3905"/>
    <w:rsid w:val="004C19F5"/>
    <w:rsid w:val="004D0DF8"/>
    <w:rsid w:val="004D58B6"/>
    <w:rsid w:val="004E0A21"/>
    <w:rsid w:val="004E72CE"/>
    <w:rsid w:val="004F2EDC"/>
    <w:rsid w:val="00507833"/>
    <w:rsid w:val="0052797E"/>
    <w:rsid w:val="005308CC"/>
    <w:rsid w:val="00535806"/>
    <w:rsid w:val="00542E8E"/>
    <w:rsid w:val="0054799D"/>
    <w:rsid w:val="00551002"/>
    <w:rsid w:val="0055438A"/>
    <w:rsid w:val="005544CC"/>
    <w:rsid w:val="005554D2"/>
    <w:rsid w:val="00560923"/>
    <w:rsid w:val="005636CD"/>
    <w:rsid w:val="005645D1"/>
    <w:rsid w:val="00565BEF"/>
    <w:rsid w:val="00566E2F"/>
    <w:rsid w:val="00577CB0"/>
    <w:rsid w:val="005914CC"/>
    <w:rsid w:val="0059736B"/>
    <w:rsid w:val="00597827"/>
    <w:rsid w:val="005A768E"/>
    <w:rsid w:val="005C0A95"/>
    <w:rsid w:val="005C2443"/>
    <w:rsid w:val="005C6FE3"/>
    <w:rsid w:val="005D50D3"/>
    <w:rsid w:val="005E5CD7"/>
    <w:rsid w:val="0060709D"/>
    <w:rsid w:val="00617952"/>
    <w:rsid w:val="0062077E"/>
    <w:rsid w:val="006343CB"/>
    <w:rsid w:val="006351A5"/>
    <w:rsid w:val="00635FCB"/>
    <w:rsid w:val="006523B0"/>
    <w:rsid w:val="006551A3"/>
    <w:rsid w:val="00655B99"/>
    <w:rsid w:val="00670E16"/>
    <w:rsid w:val="0067539F"/>
    <w:rsid w:val="00684BAB"/>
    <w:rsid w:val="00691151"/>
    <w:rsid w:val="0069303A"/>
    <w:rsid w:val="006B1592"/>
    <w:rsid w:val="006B4EF6"/>
    <w:rsid w:val="006C0C6D"/>
    <w:rsid w:val="006C2009"/>
    <w:rsid w:val="006C4865"/>
    <w:rsid w:val="006C62BB"/>
    <w:rsid w:val="006E076A"/>
    <w:rsid w:val="006E1E4A"/>
    <w:rsid w:val="00713538"/>
    <w:rsid w:val="00722C31"/>
    <w:rsid w:val="00732474"/>
    <w:rsid w:val="00745F41"/>
    <w:rsid w:val="00747D5E"/>
    <w:rsid w:val="0075151C"/>
    <w:rsid w:val="00760E05"/>
    <w:rsid w:val="0077501D"/>
    <w:rsid w:val="0078064B"/>
    <w:rsid w:val="00781DA5"/>
    <w:rsid w:val="00792049"/>
    <w:rsid w:val="007967EA"/>
    <w:rsid w:val="007A088B"/>
    <w:rsid w:val="007A6EF8"/>
    <w:rsid w:val="007C2AA7"/>
    <w:rsid w:val="007C5049"/>
    <w:rsid w:val="007C65ED"/>
    <w:rsid w:val="007E182D"/>
    <w:rsid w:val="007E2271"/>
    <w:rsid w:val="007F3879"/>
    <w:rsid w:val="007F4E0F"/>
    <w:rsid w:val="00814875"/>
    <w:rsid w:val="00816B68"/>
    <w:rsid w:val="00816F2B"/>
    <w:rsid w:val="00827623"/>
    <w:rsid w:val="00835FA2"/>
    <w:rsid w:val="0083674C"/>
    <w:rsid w:val="00840D65"/>
    <w:rsid w:val="008439BB"/>
    <w:rsid w:val="00853693"/>
    <w:rsid w:val="008545C8"/>
    <w:rsid w:val="0085740D"/>
    <w:rsid w:val="00861AE0"/>
    <w:rsid w:val="00863267"/>
    <w:rsid w:val="008732F4"/>
    <w:rsid w:val="00880248"/>
    <w:rsid w:val="008945B8"/>
    <w:rsid w:val="008B0307"/>
    <w:rsid w:val="008B2D17"/>
    <w:rsid w:val="008B36A4"/>
    <w:rsid w:val="008C09F4"/>
    <w:rsid w:val="008D2624"/>
    <w:rsid w:val="008D7400"/>
    <w:rsid w:val="008F40D4"/>
    <w:rsid w:val="0090180A"/>
    <w:rsid w:val="00907EF4"/>
    <w:rsid w:val="00914F6D"/>
    <w:rsid w:val="009177EF"/>
    <w:rsid w:val="009260E7"/>
    <w:rsid w:val="00926DAA"/>
    <w:rsid w:val="00935637"/>
    <w:rsid w:val="00975DFE"/>
    <w:rsid w:val="009774CC"/>
    <w:rsid w:val="00986BCA"/>
    <w:rsid w:val="00991405"/>
    <w:rsid w:val="0099437B"/>
    <w:rsid w:val="0099625E"/>
    <w:rsid w:val="00997116"/>
    <w:rsid w:val="009A20BA"/>
    <w:rsid w:val="009A385C"/>
    <w:rsid w:val="009B3560"/>
    <w:rsid w:val="009C36D0"/>
    <w:rsid w:val="009E24ED"/>
    <w:rsid w:val="009F5B8C"/>
    <w:rsid w:val="00A1117C"/>
    <w:rsid w:val="00A37159"/>
    <w:rsid w:val="00A44FDE"/>
    <w:rsid w:val="00A457BC"/>
    <w:rsid w:val="00A5037E"/>
    <w:rsid w:val="00A55C44"/>
    <w:rsid w:val="00A63FD4"/>
    <w:rsid w:val="00A700DF"/>
    <w:rsid w:val="00A7130A"/>
    <w:rsid w:val="00A76606"/>
    <w:rsid w:val="00A84FFA"/>
    <w:rsid w:val="00A86256"/>
    <w:rsid w:val="00A973AC"/>
    <w:rsid w:val="00AA370B"/>
    <w:rsid w:val="00AB214A"/>
    <w:rsid w:val="00AB45E6"/>
    <w:rsid w:val="00AC39AE"/>
    <w:rsid w:val="00AC53DE"/>
    <w:rsid w:val="00AD1BCE"/>
    <w:rsid w:val="00AE1E0E"/>
    <w:rsid w:val="00AF3E22"/>
    <w:rsid w:val="00B106F0"/>
    <w:rsid w:val="00B17395"/>
    <w:rsid w:val="00B21E71"/>
    <w:rsid w:val="00B25D6B"/>
    <w:rsid w:val="00B27500"/>
    <w:rsid w:val="00B44300"/>
    <w:rsid w:val="00B56684"/>
    <w:rsid w:val="00B6402A"/>
    <w:rsid w:val="00B76A8E"/>
    <w:rsid w:val="00B803E2"/>
    <w:rsid w:val="00B80443"/>
    <w:rsid w:val="00B86435"/>
    <w:rsid w:val="00B9555A"/>
    <w:rsid w:val="00BA0CEA"/>
    <w:rsid w:val="00BA3769"/>
    <w:rsid w:val="00BA4B3B"/>
    <w:rsid w:val="00BA7524"/>
    <w:rsid w:val="00BD0331"/>
    <w:rsid w:val="00BE1F78"/>
    <w:rsid w:val="00BE2729"/>
    <w:rsid w:val="00BE6E4B"/>
    <w:rsid w:val="00BF16DF"/>
    <w:rsid w:val="00C332D3"/>
    <w:rsid w:val="00C34C12"/>
    <w:rsid w:val="00C37DAE"/>
    <w:rsid w:val="00C41666"/>
    <w:rsid w:val="00C529F5"/>
    <w:rsid w:val="00C55F72"/>
    <w:rsid w:val="00C637C6"/>
    <w:rsid w:val="00C86C6F"/>
    <w:rsid w:val="00C87C9F"/>
    <w:rsid w:val="00CA4005"/>
    <w:rsid w:val="00CA460A"/>
    <w:rsid w:val="00CA7AF7"/>
    <w:rsid w:val="00CB472B"/>
    <w:rsid w:val="00CC75A8"/>
    <w:rsid w:val="00CC7E87"/>
    <w:rsid w:val="00CD5807"/>
    <w:rsid w:val="00CE4F3C"/>
    <w:rsid w:val="00CE6241"/>
    <w:rsid w:val="00CF0982"/>
    <w:rsid w:val="00CF2FDB"/>
    <w:rsid w:val="00D0599C"/>
    <w:rsid w:val="00D14749"/>
    <w:rsid w:val="00D267A6"/>
    <w:rsid w:val="00D37C83"/>
    <w:rsid w:val="00D47516"/>
    <w:rsid w:val="00D65900"/>
    <w:rsid w:val="00D722AC"/>
    <w:rsid w:val="00D93FD4"/>
    <w:rsid w:val="00DA3BDC"/>
    <w:rsid w:val="00DA4C78"/>
    <w:rsid w:val="00DC4D9F"/>
    <w:rsid w:val="00DD06E2"/>
    <w:rsid w:val="00DD1018"/>
    <w:rsid w:val="00DD1848"/>
    <w:rsid w:val="00DD3461"/>
    <w:rsid w:val="00DD74C7"/>
    <w:rsid w:val="00DE58BF"/>
    <w:rsid w:val="00DF5667"/>
    <w:rsid w:val="00E042BB"/>
    <w:rsid w:val="00E25BAA"/>
    <w:rsid w:val="00E45A79"/>
    <w:rsid w:val="00E547B1"/>
    <w:rsid w:val="00E54F6B"/>
    <w:rsid w:val="00E7628A"/>
    <w:rsid w:val="00E83415"/>
    <w:rsid w:val="00E9597C"/>
    <w:rsid w:val="00EA0371"/>
    <w:rsid w:val="00EC3646"/>
    <w:rsid w:val="00ED7994"/>
    <w:rsid w:val="00EE30A1"/>
    <w:rsid w:val="00EE5A60"/>
    <w:rsid w:val="00EE7857"/>
    <w:rsid w:val="00EF15EB"/>
    <w:rsid w:val="00EF6AA0"/>
    <w:rsid w:val="00F10AD8"/>
    <w:rsid w:val="00F26F32"/>
    <w:rsid w:val="00F33422"/>
    <w:rsid w:val="00F33E63"/>
    <w:rsid w:val="00F439FD"/>
    <w:rsid w:val="00F606D9"/>
    <w:rsid w:val="00F84F4A"/>
    <w:rsid w:val="00F92071"/>
    <w:rsid w:val="00F9654C"/>
    <w:rsid w:val="00FA32D8"/>
    <w:rsid w:val="00FB0372"/>
    <w:rsid w:val="00FB091F"/>
    <w:rsid w:val="00FB4397"/>
    <w:rsid w:val="00FB709A"/>
    <w:rsid w:val="00FC309D"/>
    <w:rsid w:val="00FD510E"/>
    <w:rsid w:val="00FD677B"/>
    <w:rsid w:val="00FD7960"/>
    <w:rsid w:val="00FF0C9A"/>
    <w:rsid w:val="00FF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69BEF4-DCBD-4D45-908D-D279161E0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1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435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Dankner</dc:creator>
  <cp:keywords/>
  <dc:description/>
  <cp:lastModifiedBy>Rachel Dankner</cp:lastModifiedBy>
  <cp:revision>4</cp:revision>
  <dcterms:created xsi:type="dcterms:W3CDTF">2021-01-16T10:23:00Z</dcterms:created>
  <dcterms:modified xsi:type="dcterms:W3CDTF">2021-01-16T20:26:00Z</dcterms:modified>
</cp:coreProperties>
</file>