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TITLE: 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>Targeting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>dysregulation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>signatures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>of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>p53-MDM2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>interactions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  <w:lang w:val="en-US"/>
        </w:rPr>
        <w:t>as</w:t>
      </w:r>
      <w:r>
        <w:rPr>
          <w:rFonts w:ascii="Times New Roman" w:cs="Times New Roman" w:hAnsi="Times New Roman" w:hint="default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  <w:lang w:val="en-US"/>
        </w:rPr>
        <w:t>rational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>for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>cancer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</w:rPr>
        <w:t>therapy</w:t>
      </w:r>
      <w:r>
        <w:rPr>
          <w:rFonts w:ascii="Times New Roman" w:cs="Times New Roman" w:hAnsi="Times New Roman" w:hint="default"/>
          <w:sz w:val="24"/>
          <w:szCs w:val="24"/>
        </w:rPr>
        <w:t>:</w:t>
      </w:r>
      <w:r>
        <w:rPr>
          <w:rFonts w:ascii="Times New Roman" w:cs="Times New Roman" w:hAnsi="Times New Roman" w:hint="default"/>
          <w:sz w:val="24"/>
          <w:szCs w:val="24"/>
        </w:rPr>
        <w:t xml:space="preserve"> </w:t>
      </w:r>
      <w:r>
        <w:rPr>
          <w:rFonts w:cs="Times New Roman" w:hAnsi="Times New Roman" w:hint="default"/>
          <w:b/>
          <w:bCs/>
          <w:sz w:val="24"/>
          <w:szCs w:val="24"/>
          <w:lang w:val="en-US"/>
        </w:rPr>
        <w:t>Insight</w:t>
      </w:r>
      <w:r>
        <w:rPr>
          <w:rFonts w:cs="Times New Roman" w:hAnsi="Times New Roman" w:hint="default"/>
          <w:b/>
          <w:bCs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b/>
          <w:bCs/>
          <w:sz w:val="24"/>
          <w:szCs w:val="24"/>
          <w:lang w:val="en-US"/>
        </w:rPr>
        <w:t>from</w:t>
      </w:r>
      <w:r>
        <w:rPr>
          <w:rFonts w:ascii="Times New Roman" w:cs="Times New Roman" w:hAnsi="Times New Roman" w:hint="default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  <w:lang w:val="en-US"/>
        </w:rPr>
        <w:t>computational</w:t>
      </w:r>
      <w:r>
        <w:rPr>
          <w:rFonts w:ascii="Times New Roman" w:cs="Times New Roman" w:hAnsi="Times New Roman" w:hint="default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  <w:lang w:val="en-US"/>
        </w:rPr>
        <w:t>direction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4"/>
          <w:szCs w:val="24"/>
          <w:vertAlign w:val="superscript"/>
        </w:rPr>
      </w:pPr>
      <w:r>
        <w:rPr>
          <w:rFonts w:ascii="Times New Roman" w:cs="Times New Roman" w:hAnsi="Times New Roman"/>
          <w:sz w:val="24"/>
          <w:szCs w:val="24"/>
        </w:rPr>
        <w:t xml:space="preserve">Prosper </w:t>
      </w:r>
      <w:r>
        <w:rPr>
          <w:rFonts w:ascii="Times New Roman" w:cs="Times New Roman" w:hAnsi="Times New Roman"/>
          <w:sz w:val="24"/>
          <w:szCs w:val="24"/>
        </w:rPr>
        <w:t>Obed</w:t>
      </w:r>
      <w:r>
        <w:rPr>
          <w:rFonts w:ascii="Times New Roman" w:cs="Times New Roman" w:hAnsi="Times New Roman"/>
          <w:sz w:val="24"/>
          <w:szCs w:val="24"/>
        </w:rPr>
        <w:t xml:space="preserve"> Chukwuemeka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1*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Haruna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Isiyaku</w:t>
      </w:r>
      <w:r>
        <w:rPr>
          <w:rFonts w:ascii="Times New Roman" w:cs="Times New Roman" w:hAnsi="Times New Roman"/>
          <w:sz w:val="24"/>
          <w:szCs w:val="24"/>
        </w:rPr>
        <w:t xml:space="preserve"> Umar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Opeyemi</w:t>
      </w:r>
      <w:r>
        <w:rPr>
          <w:rFonts w:ascii="Times New Roman" w:cs="Times New Roman" w:hAnsi="Times New Roman"/>
          <w:sz w:val="24"/>
          <w:szCs w:val="24"/>
        </w:rPr>
        <w:t xml:space="preserve"> Iwaloye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Oluwaseyi</w:t>
      </w:r>
      <w:r>
        <w:rPr>
          <w:rFonts w:ascii="Times New Roman" w:cs="Times New Roman" w:hAnsi="Times New Roman"/>
          <w:sz w:val="24"/>
          <w:szCs w:val="24"/>
        </w:rPr>
        <w:t xml:space="preserve"> Matthew Oretade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1</w:t>
      </w:r>
      <w:r>
        <w:rPr>
          <w:rFonts w:ascii="Times New Roman" w:cs="Times New Roman" w:hAnsi="Times New Roman"/>
          <w:sz w:val="24"/>
          <w:szCs w:val="24"/>
        </w:rPr>
        <w:t xml:space="preserve">, Christopher </w:t>
      </w:r>
      <w:r>
        <w:rPr>
          <w:rFonts w:ascii="Times New Roman" w:cs="Times New Roman" w:hAnsi="Times New Roman"/>
          <w:sz w:val="24"/>
          <w:szCs w:val="24"/>
        </w:rPr>
        <w:t>Busayo</w:t>
      </w:r>
      <w:r>
        <w:rPr>
          <w:rFonts w:ascii="Times New Roman" w:cs="Times New Roman" w:hAnsi="Times New Roman"/>
          <w:sz w:val="24"/>
          <w:szCs w:val="24"/>
        </w:rPr>
        <w:t xml:space="preserve"> Olowosoke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1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 xml:space="preserve">Michael </w:t>
      </w:r>
      <w:r>
        <w:rPr>
          <w:rFonts w:ascii="Times New Roman" w:cs="Times New Roman" w:hAnsi="Times New Roman"/>
          <w:sz w:val="24"/>
          <w:szCs w:val="24"/>
        </w:rPr>
        <w:t>Omoniyi</w:t>
      </w:r>
      <w:r>
        <w:rPr>
          <w:rFonts w:ascii="Times New Roman" w:cs="Times New Roman" w:hAnsi="Times New Roman"/>
          <w:sz w:val="24"/>
          <w:szCs w:val="24"/>
        </w:rPr>
        <w:t xml:space="preserve"> Elabiyi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4</w:t>
      </w:r>
      <w:r>
        <w:rPr>
          <w:rFonts w:ascii="Times New Roman" w:cs="Times New Roman" w:hAnsi="Times New Roman"/>
          <w:sz w:val="24"/>
          <w:szCs w:val="24"/>
        </w:rPr>
        <w:t xml:space="preserve">, Festus </w:t>
      </w:r>
      <w:r>
        <w:rPr>
          <w:rFonts w:ascii="Times New Roman" w:cs="Times New Roman" w:hAnsi="Times New Roman"/>
          <w:sz w:val="24"/>
          <w:szCs w:val="24"/>
        </w:rPr>
        <w:t>Omotere</w:t>
      </w:r>
      <w:r>
        <w:rPr>
          <w:rFonts w:ascii="Times New Roman" w:cs="Times New Roman" w:hAnsi="Times New Roman"/>
          <w:sz w:val="24"/>
          <w:szCs w:val="24"/>
        </w:rPr>
        <w:t xml:space="preserve"> Igbe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</w:t>
      </w:r>
      <w:r>
        <w:rPr>
          <w:rFonts w:ascii="Times New Roman" w:cs="Times New Roman" w:hAnsi="Times New Roman"/>
          <w:sz w:val="24"/>
          <w:szCs w:val="24"/>
        </w:rPr>
        <w:t>, Oyeyemi Janet Oretade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5</w:t>
      </w:r>
      <w:r>
        <w:rPr>
          <w:rFonts w:ascii="Times New Roman" w:cs="Times New Roman" w:hAnsi="Times New Roman"/>
          <w:sz w:val="24"/>
          <w:szCs w:val="24"/>
        </w:rPr>
        <w:t xml:space="preserve">, Joy </w:t>
      </w:r>
      <w:r>
        <w:rPr>
          <w:rFonts w:ascii="Times New Roman" w:cs="Times New Roman" w:hAnsi="Times New Roman"/>
          <w:sz w:val="24"/>
          <w:szCs w:val="24"/>
        </w:rPr>
        <w:t>Oseme</w:t>
      </w:r>
      <w:r>
        <w:rPr>
          <w:rFonts w:ascii="Times New Roman" w:cs="Times New Roman" w:hAnsi="Times New Roman"/>
          <w:sz w:val="24"/>
          <w:szCs w:val="24"/>
        </w:rPr>
        <w:t xml:space="preserve"> Eigbe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6</w:t>
      </w:r>
      <w:r>
        <w:rPr>
          <w:rFonts w:ascii="Times New Roman" w:cs="Times New Roman" w:hAnsi="Times New Roman"/>
          <w:sz w:val="24"/>
          <w:szCs w:val="24"/>
        </w:rPr>
        <w:t xml:space="preserve">, and </w:t>
      </w:r>
      <w:r>
        <w:rPr>
          <w:rFonts w:ascii="Times New Roman" w:cs="Times New Roman" w:hAnsi="Times New Roman"/>
          <w:sz w:val="24"/>
          <w:szCs w:val="24"/>
        </w:rPr>
        <w:t>Funmilayo</w:t>
      </w:r>
      <w:r>
        <w:rPr>
          <w:rFonts w:ascii="Times New Roman" w:cs="Times New Roman" w:hAnsi="Times New Roman"/>
          <w:sz w:val="24"/>
          <w:szCs w:val="24"/>
        </w:rPr>
        <w:t xml:space="preserve"> Janet Adeojo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1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cs="Times New Roman" w:hAnsi="Times New Roman"/>
          <w:sz w:val="24"/>
          <w:szCs w:val="24"/>
        </w:rPr>
        <w:t xml:space="preserve">Department of Biotechnology, School of Sciences (SOS), Federal University of Technology </w:t>
      </w:r>
      <w:r>
        <w:rPr>
          <w:rFonts w:ascii="Times New Roman" w:cs="Times New Roman" w:hAnsi="Times New Roman"/>
          <w:sz w:val="24"/>
          <w:szCs w:val="24"/>
        </w:rPr>
        <w:t>Akure</w:t>
      </w:r>
      <w:r>
        <w:rPr>
          <w:rFonts w:ascii="Times New Roman" w:cs="Times New Roman" w:hAnsi="Times New Roman"/>
          <w:sz w:val="24"/>
          <w:szCs w:val="24"/>
        </w:rPr>
        <w:t xml:space="preserve">, P.M.B 704, </w:t>
      </w:r>
      <w:r>
        <w:rPr>
          <w:rFonts w:ascii="Times New Roman" w:cs="Times New Roman" w:hAnsi="Times New Roman"/>
          <w:sz w:val="24"/>
          <w:szCs w:val="24"/>
        </w:rPr>
        <w:t>Akure</w:t>
      </w:r>
      <w:r>
        <w:rPr>
          <w:rFonts w:ascii="Times New Roman" w:cs="Times New Roman" w:hAnsi="Times New Roman"/>
          <w:sz w:val="24"/>
          <w:szCs w:val="24"/>
        </w:rPr>
        <w:t>, Nigeria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Department of Biochemistry, School of Sciences (SOS), Federal University of Technology </w:t>
      </w:r>
      <w:r>
        <w:rPr>
          <w:rFonts w:ascii="Times New Roman" w:cs="Times New Roman" w:hAnsi="Times New Roman"/>
          <w:sz w:val="24"/>
          <w:szCs w:val="24"/>
        </w:rPr>
        <w:t>Akure</w:t>
      </w:r>
      <w:r>
        <w:rPr>
          <w:rFonts w:ascii="Times New Roman" w:cs="Times New Roman" w:hAnsi="Times New Roman"/>
          <w:sz w:val="24"/>
          <w:szCs w:val="24"/>
        </w:rPr>
        <w:t xml:space="preserve">, P.M.B 704, </w:t>
      </w:r>
      <w:r>
        <w:rPr>
          <w:rFonts w:ascii="Times New Roman" w:cs="Times New Roman" w:hAnsi="Times New Roman"/>
          <w:sz w:val="24"/>
          <w:szCs w:val="24"/>
        </w:rPr>
        <w:t>Akure</w:t>
      </w:r>
      <w:r>
        <w:rPr>
          <w:rFonts w:ascii="Times New Roman" w:cs="Times New Roman" w:hAnsi="Times New Roman"/>
          <w:sz w:val="24"/>
          <w:szCs w:val="24"/>
        </w:rPr>
        <w:t>, Nigeria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vertAlign w:val="superscript"/>
        </w:rPr>
        <w:t xml:space="preserve">3 </w:t>
      </w:r>
      <w:r>
        <w:rPr>
          <w:rFonts w:ascii="Times New Roman" w:cs="Times New Roman" w:hAnsi="Times New Roman"/>
          <w:sz w:val="24"/>
          <w:szCs w:val="24"/>
        </w:rPr>
        <w:t xml:space="preserve">Bioinformatics and Molecular biology </w:t>
      </w:r>
      <w:r>
        <w:rPr>
          <w:rFonts w:ascii="Times New Roman" w:cs="Times New Roman" w:hAnsi="Times New Roman"/>
          <w:sz w:val="24"/>
          <w:szCs w:val="24"/>
        </w:rPr>
        <w:t>unit, Department of Biochemistr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y</w:t>
      </w:r>
      <w:r>
        <w:rPr>
          <w:rFonts w:ascii="Times New Roman" w:cs="Times New Roman" w:hAnsi="Times New Roman"/>
          <w:sz w:val="24"/>
          <w:szCs w:val="24"/>
        </w:rPr>
        <w:t xml:space="preserve">, School of Sciences (SOS), Federal University of Technology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kure</w:t>
      </w:r>
      <w:r>
        <w:rPr>
          <w:rFonts w:ascii="Times New Roman" w:cs="Times New Roman" w:hAnsi="Times New Roman"/>
          <w:sz w:val="24"/>
          <w:szCs w:val="24"/>
        </w:rPr>
        <w:t xml:space="preserve">, P.M.B 704, </w:t>
      </w:r>
      <w:r>
        <w:rPr>
          <w:rFonts w:ascii="Times New Roman" w:cs="Times New Roman" w:hAnsi="Times New Roman"/>
          <w:sz w:val="24"/>
          <w:szCs w:val="24"/>
        </w:rPr>
        <w:t>Akure</w:t>
      </w:r>
      <w:r>
        <w:rPr>
          <w:rFonts w:ascii="Times New Roman" w:cs="Times New Roman" w:hAnsi="Times New Roman"/>
          <w:sz w:val="24"/>
          <w:szCs w:val="24"/>
        </w:rPr>
        <w:t>, Nigeria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vertAlign w:val="superscript"/>
        </w:rPr>
        <w:t>4</w:t>
      </w:r>
      <w:r>
        <w:rPr>
          <w:rFonts w:ascii="Times New Roman" w:cs="Times New Roman" w:hAnsi="Times New Roman"/>
          <w:sz w:val="24"/>
          <w:szCs w:val="24"/>
        </w:rPr>
        <w:t xml:space="preserve">Department of Microbiology, School of Sciences (SOS), Federal University of Technology </w:t>
      </w:r>
      <w:r>
        <w:rPr>
          <w:rFonts w:ascii="Times New Roman" w:cs="Times New Roman" w:hAnsi="Times New Roman"/>
          <w:sz w:val="24"/>
          <w:szCs w:val="24"/>
        </w:rPr>
        <w:t>Akure</w:t>
      </w:r>
      <w:r>
        <w:rPr>
          <w:rFonts w:ascii="Times New Roman" w:cs="Times New Roman" w:hAnsi="Times New Roman"/>
          <w:sz w:val="24"/>
          <w:szCs w:val="24"/>
        </w:rPr>
        <w:t xml:space="preserve">, P.M.B 704, </w:t>
      </w:r>
      <w:r>
        <w:rPr>
          <w:rFonts w:ascii="Times New Roman" w:cs="Times New Roman" w:hAnsi="Times New Roman"/>
          <w:sz w:val="24"/>
          <w:szCs w:val="24"/>
        </w:rPr>
        <w:t>Akure</w:t>
      </w:r>
      <w:r>
        <w:rPr>
          <w:rFonts w:ascii="Times New Roman" w:cs="Times New Roman" w:hAnsi="Times New Roman"/>
          <w:sz w:val="24"/>
          <w:szCs w:val="24"/>
        </w:rPr>
        <w:t>, Nigeria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vertAlign w:val="superscript"/>
        </w:rPr>
        <w:t>5</w:t>
      </w:r>
      <w:r>
        <w:rPr>
          <w:rFonts w:ascii="Times New Roman" w:cs="Times New Roman" w:hAnsi="Times New Roman"/>
          <w:sz w:val="24"/>
          <w:szCs w:val="24"/>
        </w:rPr>
        <w:t xml:space="preserve">Department of Physiology, College of Health Science (CHS), </w:t>
      </w:r>
      <w:r>
        <w:rPr>
          <w:rFonts w:ascii="Times New Roman" w:cs="Times New Roman" w:hAnsi="Times New Roman"/>
          <w:sz w:val="24"/>
          <w:szCs w:val="24"/>
        </w:rPr>
        <w:t>Osun</w:t>
      </w:r>
      <w:r>
        <w:rPr>
          <w:rFonts w:ascii="Times New Roman" w:cs="Times New Roman" w:hAnsi="Times New Roman"/>
          <w:sz w:val="24"/>
          <w:szCs w:val="24"/>
        </w:rPr>
        <w:t xml:space="preserve"> State University, </w:t>
      </w:r>
      <w:r>
        <w:rPr>
          <w:rFonts w:ascii="Times New Roman" w:cs="Times New Roman" w:hAnsi="Times New Roman"/>
          <w:sz w:val="24"/>
          <w:szCs w:val="24"/>
        </w:rPr>
        <w:t>Osogbo</w:t>
      </w:r>
      <w:r>
        <w:rPr>
          <w:rFonts w:ascii="Times New Roman" w:cs="Times New Roman" w:hAnsi="Times New Roman"/>
          <w:sz w:val="24"/>
          <w:szCs w:val="24"/>
        </w:rPr>
        <w:t>, Nigeria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vertAlign w:val="superscript"/>
        </w:rPr>
        <w:t>6</w:t>
      </w:r>
      <w:r>
        <w:rPr>
          <w:rFonts w:ascii="Times New Roman" w:cs="Times New Roman" w:hAnsi="Times New Roman"/>
          <w:sz w:val="24"/>
          <w:szCs w:val="24"/>
        </w:rPr>
        <w:t xml:space="preserve">Department of Biomedical Technology, School of Health and Health Technology (SHHT), Federal University of Technology </w:t>
      </w:r>
      <w:r>
        <w:rPr>
          <w:rFonts w:ascii="Times New Roman" w:cs="Times New Roman" w:hAnsi="Times New Roman"/>
          <w:sz w:val="24"/>
          <w:szCs w:val="24"/>
        </w:rPr>
        <w:t>Akure</w:t>
      </w:r>
      <w:r>
        <w:rPr>
          <w:rFonts w:ascii="Times New Roman" w:cs="Times New Roman" w:hAnsi="Times New Roman"/>
          <w:sz w:val="24"/>
          <w:szCs w:val="24"/>
        </w:rPr>
        <w:t xml:space="preserve">, P.M.B 704, </w:t>
      </w:r>
      <w:r>
        <w:rPr>
          <w:rFonts w:ascii="Times New Roman" w:cs="Times New Roman" w:hAnsi="Times New Roman"/>
          <w:sz w:val="24"/>
          <w:szCs w:val="24"/>
        </w:rPr>
        <w:t>Akure</w:t>
      </w:r>
      <w:r>
        <w:rPr>
          <w:rFonts w:ascii="Times New Roman" w:cs="Times New Roman" w:hAnsi="Times New Roman"/>
          <w:sz w:val="24"/>
          <w:szCs w:val="24"/>
        </w:rPr>
        <w:t>, Nigeria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*Correspondence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Prosper </w:t>
      </w:r>
      <w:r>
        <w:rPr>
          <w:rFonts w:ascii="Times New Roman" w:cs="Times New Roman" w:hAnsi="Times New Roman"/>
          <w:sz w:val="24"/>
          <w:szCs w:val="24"/>
        </w:rPr>
        <w:t>Obed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Chukwuemeka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Tel.: +2347018736700, +2348090608563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E-mail: </w:t>
      </w:r>
      <w:r>
        <w:rPr/>
        <w:fldChar w:fldCharType="begin"/>
      </w:r>
      <w:r>
        <w:instrText xml:space="preserve"> HYPERLINK "mailto:chukwuemekamcb154271@futa.edu.ng"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4"/>
          <w:szCs w:val="24"/>
        </w:rPr>
        <w:t>chukwuemekamcb154271@futa.edu.ng</w:t>
      </w:r>
      <w:r>
        <w:rPr/>
        <w:fldChar w:fldCharType="end"/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/>
        <w:fldChar w:fldCharType="begin"/>
      </w:r>
      <w:r>
        <w:instrText xml:space="preserve"> HYPERLINK "mailto:pochukwuemeka94@gmail.com"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4"/>
          <w:szCs w:val="24"/>
        </w:rPr>
        <w:t>pochukwuemeka94@gmail.com</w:t>
      </w:r>
      <w:r>
        <w:rPr/>
        <w:fldChar w:fldCharType="end"/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ORCID: </w:t>
      </w:r>
      <w:r>
        <w:rPr/>
        <w:fldChar w:fldCharType="begin"/>
      </w:r>
      <w:r>
        <w:instrText xml:space="preserve"> HYPERLINK "http://orcid.org/0000-0001-8381-2802"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4"/>
          <w:szCs w:val="24"/>
        </w:rPr>
        <w:t>http://orcid.org/0000-0001-8381-2802</w:t>
      </w:r>
      <w:r>
        <w:rPr/>
        <w:fldChar w:fldCharType="end"/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Authors</w:t>
      </w:r>
      <w:r>
        <w:rPr>
          <w:rFonts w:ascii="Times New Roman" w:cs="Times New Roman" w:hAnsi="Times New Roman"/>
          <w:sz w:val="24"/>
          <w:szCs w:val="24"/>
        </w:rPr>
        <w:t xml:space="preserve"> additional details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Haruna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Isiyaku</w:t>
      </w:r>
      <w:r>
        <w:rPr>
          <w:rFonts w:ascii="Times New Roman" w:cs="Times New Roman" w:hAnsi="Times New Roman"/>
          <w:sz w:val="24"/>
          <w:szCs w:val="24"/>
        </w:rPr>
        <w:t xml:space="preserve"> Umar: </w:t>
      </w:r>
      <w:r>
        <w:rPr/>
        <w:fldChar w:fldCharType="begin"/>
      </w:r>
      <w:r>
        <w:instrText xml:space="preserve"> HYPERLINK "http://orcid.org/0000-0001-9427-9804"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4"/>
          <w:szCs w:val="24"/>
        </w:rPr>
        <w:t>http://orcid.org/0000-0001-9427-9804</w:t>
      </w:r>
      <w:r>
        <w:rPr/>
        <w:fldChar w:fldCharType="end"/>
      </w:r>
    </w:p>
    <w:p>
      <w:pPr>
        <w:pStyle w:val="style0"/>
        <w:spacing w:lineRule="auto" w:line="360"/>
        <w:jc w:val="both"/>
        <w:rPr>
          <w:rStyle w:val="style85"/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Oluwaseyi</w:t>
      </w:r>
      <w:r>
        <w:rPr>
          <w:rFonts w:ascii="Times New Roman" w:cs="Times New Roman" w:hAnsi="Times New Roman"/>
          <w:sz w:val="24"/>
          <w:szCs w:val="24"/>
        </w:rPr>
        <w:t xml:space="preserve"> Matthew Oretade: </w:t>
      </w:r>
      <w:r>
        <w:rPr/>
        <w:fldChar w:fldCharType="begin"/>
      </w:r>
      <w:r>
        <w:instrText xml:space="preserve"> HYPERLINK "https://orcid.org/0000-0002-0300-5611"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4"/>
          <w:szCs w:val="24"/>
        </w:rPr>
        <w:t>https://orcid.org/0000-0002-0300-5611</w:t>
      </w:r>
      <w:r>
        <w:rPr/>
        <w:fldChar w:fldCharType="end"/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Style w:val="style85"/>
          <w:rFonts w:ascii="Times New Roman" w:cs="Times New Roman" w:hAnsi="Times New Roman"/>
          <w:color w:val="auto"/>
          <w:sz w:val="24"/>
          <w:szCs w:val="24"/>
          <w:u w:val="none"/>
        </w:rPr>
        <w:t>Opeyemi</w:t>
      </w:r>
      <w:r>
        <w:rPr>
          <w:rStyle w:val="style85"/>
          <w:rFonts w:ascii="Times New Roman" w:cs="Times New Roman" w:hAnsi="Times New Roman"/>
          <w:color w:val="auto"/>
          <w:sz w:val="24"/>
          <w:szCs w:val="24"/>
          <w:u w:val="none"/>
        </w:rPr>
        <w:t xml:space="preserve"> </w:t>
      </w:r>
      <w:r>
        <w:rPr>
          <w:rStyle w:val="style85"/>
          <w:rFonts w:ascii="Times New Roman" w:cs="Times New Roman" w:hAnsi="Times New Roman"/>
          <w:color w:val="auto"/>
          <w:sz w:val="24"/>
          <w:szCs w:val="24"/>
          <w:u w:val="none"/>
        </w:rPr>
        <w:t>Iwaloye</w:t>
      </w:r>
      <w:r>
        <w:rPr>
          <w:rFonts w:ascii="Times New Roman" w:cs="Times New Roman" w:hAnsi="Times New Roman"/>
          <w:sz w:val="24"/>
          <w:szCs w:val="24"/>
        </w:rPr>
        <w:t xml:space="preserve">: </w:t>
      </w:r>
      <w:r>
        <w:rPr/>
        <w:fldChar w:fldCharType="begin"/>
      </w:r>
      <w:r>
        <w:instrText xml:space="preserve"> HYPERLINK "https://orcid.org/0000-0001-6128-2900"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4"/>
          <w:szCs w:val="24"/>
        </w:rPr>
        <w:t>https://orcid.org/0000-0001-6128-2900</w:t>
      </w:r>
      <w:r>
        <w:rPr/>
        <w:fldChar w:fldCharType="end"/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b/>
          <w:sz w:val="24"/>
          <w:szCs w:val="24"/>
        </w:rPr>
      </w:pPr>
      <w:r>
        <w:rPr>
          <w:rStyle w:val="style85"/>
          <w:rFonts w:ascii="Times New Roman" w:cs="Times New Roman" w:hAnsi="Times New Roman"/>
          <w:b/>
          <w:color w:val="auto"/>
          <w:sz w:val="24"/>
          <w:szCs w:val="24"/>
          <w:u w:val="none"/>
        </w:rPr>
        <w:t xml:space="preserve">                                                      </w:t>
      </w:r>
      <w:r>
        <w:rPr>
          <w:rStyle w:val="style85"/>
          <w:rFonts w:ascii="Times New Roman" w:cs="Times New Roman" w:hAnsi="Times New Roman"/>
          <w:b/>
          <w:color w:val="auto"/>
          <w:sz w:val="24"/>
          <w:szCs w:val="24"/>
          <w:u w:val="none"/>
        </w:rPr>
        <w:t>Supplementary files.</w:t>
      </w:r>
    </w:p>
    <w:p>
      <w:pPr>
        <w:pStyle w:val="style0"/>
        <w:ind w:left="-1134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ind w:left="-1134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ind w:left="-1134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ind w:left="-1134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ind w:left="-1134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ind w:left="-1134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ind w:left="-1134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ind w:left="-1134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ind w:left="-1134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br w:type="page"/>
      </w:r>
    </w:p>
    <w:p>
      <w:pPr>
        <w:pStyle w:val="style0"/>
        <w:spacing w:lineRule="auto" w:line="360"/>
        <w:ind w:left="-993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Supplementary Table.</w:t>
      </w:r>
      <w:r>
        <w:rPr>
          <w:rFonts w:ascii="Times New Roman" w:cs="Times New Roman" w:hAnsi="Times New Roman"/>
          <w:b/>
          <w:sz w:val="24"/>
          <w:szCs w:val="24"/>
        </w:rPr>
        <w:t xml:space="preserve"> 1</w:t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Drug-likeness properties of top twenty-five potentially selective</w:t>
      </w:r>
      <w:r>
        <w:rPr>
          <w:rFonts w:ascii="Times New Roman" w:cs="Times New Roman" w:hAnsi="Times New Roman"/>
          <w:sz w:val="24"/>
          <w:szCs w:val="24"/>
        </w:rPr>
        <w:t xml:space="preserve"> ligand small molecule</w:t>
      </w:r>
      <w:r>
        <w:rPr>
          <w:rFonts w:ascii="Times New Roman" w:cs="Times New Roman" w:hAnsi="Times New Roman"/>
          <w:sz w:val="24"/>
          <w:szCs w:val="24"/>
        </w:rPr>
        <w:t xml:space="preserve"> inhibitors of Mdm2</w:t>
      </w:r>
      <w:r>
        <w:rPr>
          <w:rFonts w:ascii="Times New Roman" w:cs="Times New Roman" w:hAnsi="Times New Roman"/>
          <w:sz w:val="24"/>
          <w:szCs w:val="24"/>
        </w:rPr>
        <w:t>-p53 interaction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predicted using 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>wissADME</w:t>
      </w:r>
      <w:r>
        <w:rPr>
          <w:rFonts w:ascii="Times New Roman" w:cs="Times New Roman" w:hAnsi="Times New Roman"/>
          <w:sz w:val="24"/>
          <w:szCs w:val="24"/>
        </w:rPr>
        <w:t xml:space="preserve"> server</w:t>
      </w:r>
    </w:p>
    <w:tbl>
      <w:tblPr>
        <w:tblStyle w:val="style154"/>
        <w:tblW w:w="11272" w:type="dxa"/>
        <w:tblInd w:w="-1245" w:type="dxa"/>
        <w:tblLook w:val="04A0" w:firstRow="1" w:lastRow="0" w:firstColumn="1" w:lastColumn="0" w:noHBand="0" w:noVBand="1"/>
      </w:tblPr>
      <w:tblGrid>
        <w:gridCol w:w="514"/>
        <w:gridCol w:w="1686"/>
        <w:gridCol w:w="1189"/>
        <w:gridCol w:w="1144"/>
        <w:gridCol w:w="1085"/>
        <w:gridCol w:w="1144"/>
        <w:gridCol w:w="1171"/>
        <w:gridCol w:w="1270"/>
        <w:gridCol w:w="1151"/>
        <w:gridCol w:w="1149"/>
      </w:tblGrid>
      <w:tr>
        <w:trPr>
          <w:trHeight w:val="263" w:hRule="atLeast"/>
        </w:trPr>
        <w:tc>
          <w:tcPr>
            <w:tcW w:w="498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SN</w:t>
            </w:r>
          </w:p>
        </w:tc>
        <w:tc>
          <w:tcPr>
            <w:tcW w:w="1610" w:type="dxa"/>
            <w:vMerge w:val="restart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 xml:space="preserve">        </w:t>
            </w: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</w:rPr>
              <w:t>Compounds</w:t>
            </w:r>
          </w:p>
        </w:tc>
        <w:tc>
          <w:tcPr>
            <w:tcW w:w="9164" w:type="dxa"/>
            <w:gridSpan w:val="8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Models</w:t>
            </w:r>
          </w:p>
        </w:tc>
      </w:tr>
      <w:tr>
        <w:tblPrEx/>
        <w:trPr>
          <w:trHeight w:val="597" w:hRule="atLeast"/>
        </w:trPr>
        <w:tc>
          <w:tcPr>
            <w:tcW w:w="498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610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12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Molecular Weight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</w:t>
            </w:r>
            <w:r>
              <w:rPr>
                <w:rFonts w:ascii="Times New Roman" w:cs="Times New Roman" w:hAnsi="Times New Roman"/>
              </w:rPr>
              <w:t>logP</w:t>
            </w:r>
          </w:p>
        </w:tc>
        <w:tc>
          <w:tcPr>
            <w:tcW w:w="10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Number of </w:t>
            </w:r>
            <w:r>
              <w:rPr>
                <w:rFonts w:ascii="Times New Roman" w:cs="Times New Roman" w:hAnsi="Times New Roman"/>
              </w:rPr>
              <w:t>HBA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Number of HBD</w:t>
            </w:r>
          </w:p>
        </w:tc>
        <w:tc>
          <w:tcPr>
            <w:tcW w:w="117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(</w:t>
            </w:r>
            <w:r>
              <w:rPr>
                <w:rFonts w:ascii="Times New Roman" w:cs="Times New Roman" w:hAnsi="Times New Roman"/>
              </w:rPr>
              <w:t>tPSA</w:t>
            </w:r>
            <w:r>
              <w:rPr>
                <w:rFonts w:ascii="Times New Roman" w:cs="Times New Roman" w:hAnsi="Times New Roman"/>
              </w:rPr>
              <w:t>) A</w:t>
            </w:r>
            <w:r>
              <w:rPr>
                <w:rFonts w:ascii="Times New Roman" w:cs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RB</w:t>
            </w:r>
          </w:p>
        </w:tc>
        <w:tc>
          <w:tcPr>
            <w:tcW w:w="11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Rule of 5 violation</w:t>
            </w:r>
          </w:p>
        </w:tc>
        <w:tc>
          <w:tcPr>
            <w:tcW w:w="10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Lipinski Alert</w:t>
            </w:r>
          </w:p>
        </w:tc>
      </w:tr>
      <w:tr>
        <w:tblPrEx/>
        <w:trPr>
          <w:trHeight w:val="9175" w:hRule="atLeast"/>
        </w:trPr>
        <w:tc>
          <w:tcPr>
            <w:tcW w:w="49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25</w:t>
            </w:r>
          </w:p>
        </w:tc>
        <w:tc>
          <w:tcPr>
            <w:tcW w:w="161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ZINC06752762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ZINC06670015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ZINC04984893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ZINC01745609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ZINC02639178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ZINC02216169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ZINC15292831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ZINC14549384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ZINC78607261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ZINC41546116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ZINC45942161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ZINC63530260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ZINC38933175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ZINC58196782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ZINC24394575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ZINC07738703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ZINC67435163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ZINC03202479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ZINC06053031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ZINC12251570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ZINC84525615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ZINC68659402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ZINC15913486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ZINC58027350 ZINC77969611</w:t>
            </w:r>
          </w:p>
        </w:tc>
        <w:tc>
          <w:tcPr>
            <w:tcW w:w="1121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403.47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408.46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411.52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412.85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413.40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416.47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413.51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417.54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415.49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412.44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401.52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391.48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391.37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387.50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387.43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383.44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381.47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378.43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367.44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361.39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342.43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342.40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418.51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411.51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412.46</w:t>
            </w:r>
          </w:p>
        </w:tc>
        <w:tc>
          <w:tcPr>
            <w:tcW w:w="1149" w:type="dxa"/>
            <w:tcBorders/>
          </w:tcPr>
          <w:tbl>
            <w:tblPr>
              <w:tblW w:w="933" w:type="dxa"/>
              <w:tblLook w:val="04A0" w:firstRow="1" w:lastRow="0" w:firstColumn="1" w:lastColumn="0" w:noHBand="0" w:noVBand="1"/>
            </w:tblPr>
            <w:tblGrid>
              <w:gridCol w:w="933"/>
            </w:tblGrid>
            <w:tr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2.45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2.85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4.22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3.06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2.73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2.37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3.15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5.55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2.81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2.61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3.96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3.84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4.59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3.36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3.06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3.79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3.66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3.28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4.51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2.3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3.34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3.46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2.94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5.84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3.02</w:t>
                  </w:r>
                </w:p>
              </w:tc>
            </w:tr>
          </w:tbl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</w:p>
        </w:tc>
        <w:tc>
          <w:tcPr>
            <w:tcW w:w="1090" w:type="dxa"/>
            <w:tcBorders/>
          </w:tcPr>
          <w:tbl>
            <w:tblPr>
              <w:tblW w:w="874" w:type="dxa"/>
              <w:tblLook w:val="04A0" w:firstRow="1" w:lastRow="0" w:firstColumn="1" w:lastColumn="0" w:noHBand="0" w:noVBand="1"/>
            </w:tblPr>
            <w:tblGrid>
              <w:gridCol w:w="874"/>
            </w:tblGrid>
            <w:tr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</w:tbl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149" w:type="dxa"/>
            <w:tcBorders/>
          </w:tcPr>
          <w:tbl>
            <w:tblPr>
              <w:tblW w:w="933" w:type="dxa"/>
              <w:tblLook w:val="04A0" w:firstRow="1" w:lastRow="0" w:firstColumn="1" w:lastColumn="0" w:noHBand="0" w:noVBand="1"/>
            </w:tblPr>
            <w:tblGrid>
              <w:gridCol w:w="933"/>
            </w:tblGrid>
            <w:tr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288" w:hRule="atLeast"/>
              </w:trPr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</w:tbl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176" w:type="dxa"/>
            <w:tcBorders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78.45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96.49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73.08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97.65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95.98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77.63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52.65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21.26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81.41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85.25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65.84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68.37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68.02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76.46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87.99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74.85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57.7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59.28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38.33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74.06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46.33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68.52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77.13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54.4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104.6</w:t>
                  </w:r>
                </w:p>
              </w:tc>
            </w:tr>
          </w:tbl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276" w:type="dxa"/>
            <w:tcBorders/>
          </w:tcPr>
          <w:tbl>
            <w:tblPr>
              <w:tblW w:w="1060" w:type="dxa"/>
              <w:tblLook w:val="04A0" w:firstRow="1" w:lastRow="0" w:firstColumn="1" w:lastColumn="0" w:noHBand="0" w:noVBand="1"/>
            </w:tblPr>
            <w:tblGrid>
              <w:gridCol w:w="1060"/>
            </w:tblGrid>
            <w:tr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3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8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7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6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4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7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5</w:t>
                  </w:r>
                </w:p>
              </w:tc>
            </w:tr>
          </w:tbl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</w:p>
        </w:tc>
        <w:tc>
          <w:tcPr>
            <w:tcW w:w="1156" w:type="dxa"/>
            <w:tcBorders/>
          </w:tcPr>
          <w:tbl>
            <w:tblPr>
              <w:tblW w:w="940" w:type="dxa"/>
              <w:tblLook w:val="04A0" w:firstRow="1" w:lastRow="0" w:firstColumn="1" w:lastColumn="0" w:noHBand="0" w:noVBand="1"/>
            </w:tblPr>
            <w:tblGrid>
              <w:gridCol w:w="940"/>
            </w:tblGrid>
            <w:tr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1</w:t>
                  </w:r>
                </w:p>
              </w:tc>
            </w:tr>
            <w:tr>
              <w:tblPrEx/>
              <w:trPr>
                <w:trHeight w:val="300" w:hRule="atLeast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>
                  <w:pPr>
                    <w:pStyle w:val="style0"/>
                    <w:spacing w:after="0" w:lineRule="auto" w:line="36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cs="Times New Roman" w:eastAsia="Times New Roman" w:hAnsi="Times New Roman"/>
                      <w:color w:val="000000"/>
                      <w:lang w:eastAsia="en-GB"/>
                    </w:rPr>
                    <w:t>0</w:t>
                  </w:r>
                </w:p>
              </w:tc>
            </w:tr>
          </w:tbl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</w:p>
        </w:tc>
        <w:tc>
          <w:tcPr>
            <w:tcW w:w="1047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Accepted</w:t>
            </w:r>
          </w:p>
        </w:tc>
      </w:tr>
    </w:tbl>
    <w:p>
      <w:pPr>
        <w:pStyle w:val="style0"/>
        <w:ind w:left="-1134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HBA</w:t>
      </w:r>
      <w:r>
        <w:rPr>
          <w:rFonts w:ascii="Times New Roman" w:cs="Times New Roman" w:hAnsi="Times New Roman"/>
        </w:rPr>
        <w:t xml:space="preserve"> Hydrogen bond acceptor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HBD:</w:t>
      </w:r>
      <w:r>
        <w:rPr>
          <w:rFonts w:ascii="Times New Roman" w:cs="Times New Roman" w:hAnsi="Times New Roman"/>
        </w:rPr>
        <w:t xml:space="preserve"> Hydrogen bond donor; </w:t>
      </w:r>
      <w:r>
        <w:rPr>
          <w:rFonts w:ascii="Times New Roman" w:cs="Times New Roman" w:hAnsi="Times New Roman"/>
          <w:b/>
        </w:rPr>
        <w:t>tPSA</w:t>
      </w:r>
      <w:r>
        <w:rPr>
          <w:rFonts w:ascii="Times New Roman" w:cs="Times New Roman" w:hAnsi="Times New Roman"/>
          <w:b/>
        </w:rPr>
        <w:t>: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</w:rPr>
        <w:t>Total polar surface area</w:t>
      </w:r>
      <w:r>
        <w:rPr>
          <w:rFonts w:ascii="Times New Roman" w:cs="Times New Roman" w:hAnsi="Times New Roman"/>
        </w:rPr>
        <w:t xml:space="preserve">; </w:t>
      </w:r>
      <w:r>
        <w:rPr>
          <w:rFonts w:ascii="Times New Roman" w:cs="Times New Roman" w:hAnsi="Times New Roman"/>
          <w:b/>
        </w:rPr>
        <w:t>RB</w:t>
      </w:r>
      <w:r>
        <w:rPr>
          <w:rFonts w:ascii="Times New Roman" w:cs="Times New Roman" w:hAnsi="Times New Roman"/>
          <w:b/>
        </w:rPr>
        <w:t xml:space="preserve">: </w:t>
      </w:r>
      <w:r>
        <w:rPr>
          <w:rFonts w:ascii="Times New Roman" w:cs="Times New Roman" w:hAnsi="Times New Roman"/>
        </w:rPr>
        <w:t>Rotatable bond</w:t>
      </w:r>
    </w:p>
    <w:p>
      <w:pPr>
        <w:pStyle w:val="style0"/>
        <w:rPr/>
      </w:pPr>
      <w:r>
        <w:t xml:space="preserve"> </w:t>
      </w:r>
    </w:p>
    <w:p>
      <w:pPr>
        <w:pStyle w:val="style0"/>
        <w:rPr/>
      </w:pPr>
    </w:p>
    <w:p>
      <w:pPr>
        <w:pStyle w:val="style0"/>
        <w:spacing w:lineRule="auto" w:line="360"/>
        <w:ind w:left="-1134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360"/>
        <w:ind w:left="-1134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Supplementary Table.</w:t>
      </w:r>
      <w:r>
        <w:rPr>
          <w:rFonts w:ascii="Times New Roman" w:cs="Times New Roman" w:hAnsi="Times New Roman"/>
          <w:b/>
          <w:sz w:val="24"/>
          <w:szCs w:val="24"/>
        </w:rPr>
        <w:t xml:space="preserve"> 2</w:t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ADMET predicted profile of top twenty-five potentially selective ligand small molecule inhibitors of Mdm2-p53 i</w:t>
      </w:r>
      <w:r>
        <w:rPr>
          <w:rFonts w:ascii="Times New Roman" w:cs="Times New Roman" w:hAnsi="Times New Roman"/>
          <w:sz w:val="24"/>
          <w:szCs w:val="24"/>
        </w:rPr>
        <w:t xml:space="preserve">nteraction predicted by </w:t>
      </w:r>
      <w:r>
        <w:rPr>
          <w:rFonts w:ascii="Times New Roman" w:cs="Times New Roman" w:hAnsi="Times New Roman"/>
          <w:sz w:val="24"/>
          <w:szCs w:val="24"/>
        </w:rPr>
        <w:t>admetSAR</w:t>
      </w:r>
      <w:r>
        <w:rPr>
          <w:rFonts w:ascii="Times New Roman" w:cs="Times New Roman" w:hAnsi="Times New Roman"/>
          <w:sz w:val="24"/>
          <w:szCs w:val="24"/>
        </w:rPr>
        <w:t xml:space="preserve"> v2.0</w:t>
      </w:r>
    </w:p>
    <w:tbl>
      <w:tblPr>
        <w:tblStyle w:val="style154"/>
        <w:tblpPr w:leftFromText="180" w:rightFromText="180" w:topFromText="0" w:bottomFromText="0" w:vertAnchor="text" w:horzAnchor="page" w:tblpX="331" w:tblpY="454"/>
        <w:tblW w:w="11317" w:type="dxa"/>
        <w:tblLayout w:type="fixed"/>
        <w:tblLook w:val="04A0" w:firstRow="1" w:lastRow="0" w:firstColumn="1" w:lastColumn="0" w:noHBand="0" w:noVBand="1"/>
      </w:tblPr>
      <w:tblGrid>
        <w:gridCol w:w="548"/>
        <w:gridCol w:w="1650"/>
        <w:gridCol w:w="1261"/>
        <w:gridCol w:w="922"/>
        <w:gridCol w:w="1465"/>
        <w:gridCol w:w="2176"/>
        <w:gridCol w:w="1233"/>
        <w:gridCol w:w="2062"/>
      </w:tblGrid>
      <w:tr>
        <w:trPr>
          <w:trHeight w:val="510" w:hRule="atLeast"/>
        </w:trPr>
        <w:tc>
          <w:tcPr>
            <w:tcW w:w="548" w:type="dxa"/>
            <w:vMerge w:val="restart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    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SN</w:t>
            </w:r>
          </w:p>
        </w:tc>
        <w:tc>
          <w:tcPr>
            <w:tcW w:w="1650" w:type="dxa"/>
            <w:vMerge w:val="restart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 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Compounds</w:t>
            </w:r>
          </w:p>
        </w:tc>
        <w:tc>
          <w:tcPr>
            <w:tcW w:w="9119" w:type="dxa"/>
            <w:gridSpan w:val="6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Models</w:t>
            </w:r>
          </w:p>
        </w:tc>
      </w:tr>
      <w:tr>
        <w:tblPrEx/>
        <w:trPr>
          <w:trHeight w:val="510" w:hRule="atLeast"/>
        </w:trPr>
        <w:tc>
          <w:tcPr>
            <w:tcW w:w="548" w:type="dxa"/>
            <w:vMerge w:val="continue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Human intestinal absorption</w:t>
            </w:r>
          </w:p>
        </w:tc>
        <w:tc>
          <w:tcPr>
            <w:tcW w:w="922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Blood- brain barrier</w:t>
            </w:r>
          </w:p>
        </w:tc>
        <w:tc>
          <w:tcPr>
            <w:tcW w:w="146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Caco-2 permeability</w:t>
            </w:r>
          </w:p>
        </w:tc>
        <w:tc>
          <w:tcPr>
            <w:tcW w:w="217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P-glycoprotein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(substrate/inhibitor)</w:t>
            </w:r>
          </w:p>
        </w:tc>
        <w:tc>
          <w:tcPr>
            <w:tcW w:w="1233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LogS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(aqueous solubility)</w:t>
            </w:r>
          </w:p>
        </w:tc>
        <w:tc>
          <w:tcPr>
            <w:tcW w:w="206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Renal organic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cation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transporter 2 (OCT2)</w:t>
            </w:r>
          </w:p>
        </w:tc>
      </w:tr>
      <w:tr>
        <w:tblPrEx/>
        <w:trPr>
          <w:trHeight w:val="510" w:hRule="atLeast"/>
        </w:trPr>
        <w:tc>
          <w:tcPr>
            <w:tcW w:w="54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25</w:t>
            </w:r>
          </w:p>
        </w:tc>
        <w:tc>
          <w:tcPr>
            <w:tcW w:w="165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ZINC06752762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ZINC06670015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ZINC04984893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ZINC01745609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ZINC02639178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ZINC02216169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ZINC15292831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ZINC14549384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ZINC78607261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ZINC41546116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ZINC45942161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ZINC63530260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ZINC38933175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ZINC58196782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ZINC24394575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ZINC07738703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ZINC67435163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ZINC03202479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ZINC06053031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ZINC12251570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ZINC84525615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ZINC68659402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ZINC15913486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ZINC58027350 </w:t>
            </w:r>
            <w:r>
              <w:rPr>
                <w:rFonts w:ascii="Times New Roman" w:cs="Times New Roman" w:hAnsi="Times New Roman"/>
              </w:rPr>
              <w:t>ZINC77969611</w:t>
            </w:r>
          </w:p>
        </w:tc>
        <w:tc>
          <w:tcPr>
            <w:tcW w:w="1261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HIA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</w:tc>
        <w:tc>
          <w:tcPr>
            <w:tcW w:w="922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BBB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</w:tc>
        <w:tc>
          <w:tcPr>
            <w:tcW w:w="146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vertAlign w:val="superscript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+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Caco2</w:t>
            </w:r>
            <w:r>
              <w:rPr>
                <w:rFonts w:ascii="Times New Roman" w:cs="Times New Roman" w:hAnsi="Times New Roman"/>
                <w:vertAlign w:val="superscript"/>
              </w:rPr>
              <w:t>-</w:t>
            </w:r>
          </w:p>
        </w:tc>
        <w:tc>
          <w:tcPr>
            <w:tcW w:w="217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</w:tc>
        <w:tc>
          <w:tcPr>
            <w:tcW w:w="1233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-3.4412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-2.8090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-3.8200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-4.1107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-3.2275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-3.0095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-3.6400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-4.0366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-3.7044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-3.4582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-3.0660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-3.6532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-4.3869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-3.8047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-3.3517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-3.1001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-2.5913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-3.0220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-4.1837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-2.8385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-2.6658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-2.8035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-3.9248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-3.9390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-3.7802</w:t>
            </w:r>
          </w:p>
        </w:tc>
        <w:tc>
          <w:tcPr>
            <w:tcW w:w="2062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</w:tc>
      </w:tr>
    </w:tbl>
    <w:p>
      <w:pPr>
        <w:pStyle w:val="style179"/>
        <w:numPr>
          <w:ilvl w:val="0"/>
          <w:numId w:val="1"/>
        </w:numPr>
        <w:spacing w:lineRule="auto" w:line="360"/>
        <w:ind w:left="-284" w:hanging="56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Absorption and distribution</w:t>
      </w:r>
    </w:p>
    <w:p>
      <w:pPr>
        <w:pStyle w:val="style0"/>
        <w:ind w:left="-993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BBB</w:t>
      </w:r>
      <w:r>
        <w:rPr>
          <w:rFonts w:ascii="Times New Roman" w:cs="Times New Roman" w:hAnsi="Times New Roman"/>
          <w:b/>
          <w:vertAlign w:val="superscript"/>
        </w:rPr>
        <w:t>+</w:t>
      </w:r>
      <w:r>
        <w:rPr>
          <w:rFonts w:ascii="Times New Roman" w:cs="Times New Roman" w:hAnsi="Times New Roman"/>
          <w:vertAlign w:val="superscript"/>
        </w:rPr>
        <w:t xml:space="preserve"> </w:t>
      </w:r>
      <w:r>
        <w:rPr>
          <w:rFonts w:ascii="Times New Roman" w:cs="Times New Roman" w:hAnsi="Times New Roman"/>
        </w:rPr>
        <w:t xml:space="preserve"> blood</w:t>
      </w:r>
      <w:r>
        <w:rPr>
          <w:rFonts w:ascii="Times New Roman" w:cs="Times New Roman" w:hAnsi="Times New Roman"/>
        </w:rPr>
        <w:t xml:space="preserve">-brain barrier positive, </w:t>
      </w:r>
      <w:r>
        <w:rPr>
          <w:rFonts w:ascii="Times New Roman" w:cs="Times New Roman" w:hAnsi="Times New Roman"/>
          <w:b/>
        </w:rPr>
        <w:t>BBB</w:t>
      </w:r>
      <w:r>
        <w:rPr>
          <w:rFonts w:ascii="Times New Roman" w:cs="Times New Roman" w:hAnsi="Times New Roman"/>
          <w:b/>
          <w:vertAlign w:val="superscript"/>
        </w:rPr>
        <w:t>-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blood-brain barrier negative</w:t>
      </w:r>
      <w:r>
        <w:rPr>
          <w:rFonts w:ascii="Times New Roman" w:cs="Times New Roman" w:hAnsi="Times New Roman"/>
        </w:rPr>
        <w:br w:type="page"/>
      </w:r>
    </w:p>
    <w:p>
      <w:pPr>
        <w:pStyle w:val="style179"/>
        <w:numPr>
          <w:ilvl w:val="0"/>
          <w:numId w:val="1"/>
        </w:numPr>
        <w:spacing w:lineRule="auto" w:line="360"/>
        <w:ind w:left="-284" w:hanging="567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Metabolism</w:t>
      </w:r>
    </w:p>
    <w:tbl>
      <w:tblPr>
        <w:tblStyle w:val="style154"/>
        <w:tblW w:w="11155" w:type="dxa"/>
        <w:tblInd w:w="-1072" w:type="dxa"/>
        <w:tblLook w:val="04A0" w:firstRow="1" w:lastRow="0" w:firstColumn="1" w:lastColumn="0" w:noHBand="0" w:noVBand="1"/>
      </w:tblPr>
      <w:tblGrid>
        <w:gridCol w:w="530"/>
        <w:gridCol w:w="1669"/>
        <w:gridCol w:w="2337"/>
        <w:gridCol w:w="2337"/>
        <w:gridCol w:w="2337"/>
        <w:gridCol w:w="1060"/>
        <w:gridCol w:w="1060"/>
      </w:tblGrid>
      <w:tr>
        <w:trPr>
          <w:trHeight w:val="426" w:hRule="atLeast"/>
        </w:trPr>
        <w:tc>
          <w:tcPr>
            <w:tcW w:w="622" w:type="dxa"/>
            <w:vMerge w:val="restart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SN</w:t>
            </w:r>
          </w:p>
        </w:tc>
        <w:tc>
          <w:tcPr>
            <w:tcW w:w="1656" w:type="dxa"/>
            <w:vMerge w:val="restart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Compounds</w:t>
            </w:r>
          </w:p>
        </w:tc>
        <w:tc>
          <w:tcPr>
            <w:tcW w:w="8877" w:type="dxa"/>
            <w:gridSpan w:val="5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Models</w:t>
            </w:r>
          </w:p>
        </w:tc>
      </w:tr>
      <w:tr>
        <w:tblPrEx/>
        <w:trPr>
          <w:trHeight w:val="547" w:hRule="atLeast"/>
        </w:trPr>
        <w:tc>
          <w:tcPr>
            <w:tcW w:w="622" w:type="dxa"/>
            <w:vMerge w:val="continue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 w:val="continue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CYP450 2C9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(substrate/inhibitor)</w:t>
            </w:r>
          </w:p>
        </w:tc>
        <w:tc>
          <w:tcPr>
            <w:tcW w:w="2123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CYP450 2D6 (substrate/inhibitor)</w:t>
            </w:r>
          </w:p>
        </w:tc>
        <w:tc>
          <w:tcPr>
            <w:tcW w:w="2331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CYP450 3A4 (substrate/inhibitor)</w:t>
            </w:r>
          </w:p>
        </w:tc>
        <w:tc>
          <w:tcPr>
            <w:tcW w:w="1149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CYP450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1A2</w:t>
            </w:r>
          </w:p>
        </w:tc>
        <w:tc>
          <w:tcPr>
            <w:tcW w:w="1151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CYP450 2C19</w:t>
            </w:r>
          </w:p>
        </w:tc>
      </w:tr>
      <w:tr>
        <w:tblPrEx/>
        <w:trPr>
          <w:trHeight w:val="426" w:hRule="atLeast"/>
        </w:trPr>
        <w:tc>
          <w:tcPr>
            <w:tcW w:w="622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25</w:t>
            </w:r>
          </w:p>
        </w:tc>
        <w:tc>
          <w:tcPr>
            <w:tcW w:w="1656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ZINC06752762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ZINC06670015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ZINC04984893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ZINC01745609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ZINC02639178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ZINC02216169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ZINC15292831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ZINC14549384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ZINC78607261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ZINC41546116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ZINC45942161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ZINC63530260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ZINC38933175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ZINC58196782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ZINC24394575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ZINC07738703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ZINC67435163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ZINC03202479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ZINC06053031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ZINC12251570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ZINC84525615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ZINC68659402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ZINC15913486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ZINC58027350 ZINC77969611</w:t>
            </w:r>
          </w:p>
        </w:tc>
        <w:tc>
          <w:tcPr>
            <w:tcW w:w="2123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</w:t>
            </w: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NS/I</w:t>
            </w:r>
          </w:p>
        </w:tc>
        <w:tc>
          <w:tcPr>
            <w:tcW w:w="2123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I/NS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</w:tc>
        <w:tc>
          <w:tcPr>
            <w:tcW w:w="2331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NS/NI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S/NI</w:t>
            </w:r>
          </w:p>
        </w:tc>
        <w:tc>
          <w:tcPr>
            <w:tcW w:w="1149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</w:tc>
        <w:tc>
          <w:tcPr>
            <w:tcW w:w="1151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</w:t>
            </w:r>
          </w:p>
        </w:tc>
      </w:tr>
    </w:tbl>
    <w:p>
      <w:pPr>
        <w:pStyle w:val="style0"/>
        <w:spacing w:lineRule="auto" w:line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br w:type="page"/>
      </w:r>
    </w:p>
    <w:p>
      <w:pPr>
        <w:pStyle w:val="style179"/>
        <w:numPr>
          <w:ilvl w:val="0"/>
          <w:numId w:val="1"/>
        </w:numPr>
        <w:spacing w:lineRule="auto" w:line="360"/>
        <w:ind w:left="-567" w:hanging="42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Toxicity</w:t>
      </w:r>
    </w:p>
    <w:tbl>
      <w:tblPr>
        <w:tblStyle w:val="style154"/>
        <w:tblW w:w="11141" w:type="dxa"/>
        <w:tblInd w:w="-1065" w:type="dxa"/>
        <w:tblLook w:val="04A0" w:firstRow="1" w:lastRow="0" w:firstColumn="1" w:lastColumn="0" w:noHBand="0" w:noVBand="1"/>
      </w:tblPr>
      <w:tblGrid>
        <w:gridCol w:w="646"/>
        <w:gridCol w:w="1785"/>
        <w:gridCol w:w="1737"/>
        <w:gridCol w:w="2306"/>
        <w:gridCol w:w="2265"/>
        <w:gridCol w:w="1166"/>
        <w:gridCol w:w="1131"/>
        <w:gridCol w:w="105"/>
      </w:tblGrid>
      <w:tr>
        <w:trPr>
          <w:trHeight w:val="393" w:hRule="atLeast"/>
        </w:trPr>
        <w:tc>
          <w:tcPr>
            <w:tcW w:w="646" w:type="dxa"/>
            <w:vMerge w:val="restart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SN</w:t>
            </w:r>
          </w:p>
        </w:tc>
        <w:tc>
          <w:tcPr>
            <w:tcW w:w="1785" w:type="dxa"/>
            <w:vMerge w:val="restart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   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Compounds</w:t>
            </w:r>
          </w:p>
        </w:tc>
        <w:tc>
          <w:tcPr>
            <w:tcW w:w="8710" w:type="dxa"/>
            <w:gridSpan w:val="6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Models</w:t>
            </w:r>
          </w:p>
        </w:tc>
      </w:tr>
      <w:tr>
        <w:tblPrEx/>
        <w:trPr>
          <w:gridAfter w:val="1"/>
          <w:wAfter w:w="143" w:type="dxa"/>
          <w:trHeight w:val="422" w:hRule="atLeast"/>
        </w:trPr>
        <w:tc>
          <w:tcPr>
            <w:tcW w:w="646" w:type="dxa"/>
            <w:vMerge w:val="continue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Ames toxicity</w:t>
            </w:r>
          </w:p>
        </w:tc>
        <w:tc>
          <w:tcPr>
            <w:tcW w:w="2306" w:type="dxa"/>
            <w:vMerge w:val="restart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hERG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inhibition</w:t>
            </w:r>
          </w:p>
        </w:tc>
        <w:tc>
          <w:tcPr>
            <w:tcW w:w="2265" w:type="dxa"/>
            <w:vMerge w:val="restart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Carcinogenicity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(binary)</w:t>
            </w:r>
          </w:p>
        </w:tc>
        <w:tc>
          <w:tcPr>
            <w:tcW w:w="2259" w:type="dxa"/>
            <w:gridSpan w:val="2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Acute toxicity</w:t>
            </w:r>
          </w:p>
        </w:tc>
      </w:tr>
      <w:tr>
        <w:tblPrEx/>
        <w:trPr>
          <w:gridAfter w:val="1"/>
          <w:wAfter w:w="105" w:type="dxa"/>
          <w:trHeight w:val="802" w:hRule="atLeast"/>
        </w:trPr>
        <w:tc>
          <w:tcPr>
            <w:tcW w:w="646" w:type="dxa"/>
            <w:vMerge w:val="continue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  <w:vMerge w:val="continue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vMerge w:val="continue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Acute oral</w:t>
            </w:r>
          </w:p>
        </w:tc>
        <w:tc>
          <w:tcPr>
            <w:tcW w:w="1131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Rat LD50</w:t>
            </w:r>
          </w:p>
        </w:tc>
      </w:tr>
      <w:tr>
        <w:tblPrEx/>
        <w:trPr>
          <w:gridAfter w:val="1"/>
          <w:wAfter w:w="105" w:type="dxa"/>
          <w:trHeight w:val="393" w:hRule="atLeast"/>
        </w:trPr>
        <w:tc>
          <w:tcPr>
            <w:tcW w:w="64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25</w:t>
            </w:r>
          </w:p>
        </w:tc>
        <w:tc>
          <w:tcPr>
            <w:tcW w:w="1785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ZINC06752762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ZINC06670015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ZINC04984893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ZINC01745609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ZINC02639178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ZINC02216169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ZINC15292831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ZINC14549384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ZINC78607261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ZINC41546116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ZINC45942161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ZINC63530260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ZINC38933175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ZINC58196782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ZINC24394575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ZINC07738703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ZINC67435163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ZINC03202479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ZINC06053031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ZINC12251570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ZINC84525615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ZINC68659402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ZINC15913486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ZINC58027350 </w:t>
            </w:r>
            <w:r>
              <w:rPr>
                <w:rFonts w:ascii="Times New Roman" w:cs="Times New Roman" w:hAnsi="Times New Roman"/>
              </w:rPr>
              <w:t>ZINC77969611</w:t>
            </w:r>
          </w:p>
        </w:tc>
        <w:tc>
          <w:tcPr>
            <w:tcW w:w="1737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Non-toxic</w:t>
            </w:r>
          </w:p>
        </w:tc>
        <w:tc>
          <w:tcPr>
            <w:tcW w:w="230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Inhibitor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Non-inhibitor</w:t>
            </w:r>
          </w:p>
        </w:tc>
        <w:tc>
          <w:tcPr>
            <w:tcW w:w="226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Non-Carcinogenic</w:t>
            </w:r>
          </w:p>
        </w:tc>
        <w:tc>
          <w:tcPr>
            <w:tcW w:w="116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IV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</w:tc>
        <w:tc>
          <w:tcPr>
            <w:tcW w:w="1131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2.178</w:t>
            </w:r>
            <w:r>
              <w:rPr>
                <w:rFonts w:ascii="Times New Roman" w:cs="Times New Roman" w:hAnsi="Times New Roman"/>
                <w:color w:val="000000"/>
              </w:rPr>
              <w:t>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2.0600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2.1159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3.3127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3.0322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2.9355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2.6402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2.2568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2.6211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2.0114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2.3349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1.3347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2.7912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1.8346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2.3310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2.0102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2.5390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1.9527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1.9615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1.4855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2.3611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1.8403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1.8717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1.9709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2.3459</w:t>
            </w:r>
          </w:p>
        </w:tc>
      </w:tr>
    </w:tbl>
    <w:p>
      <w:pPr>
        <w:pStyle w:val="style0"/>
        <w:spacing w:lineRule="auto" w:line="360"/>
        <w:rPr>
          <w:rFonts w:ascii="Times New Roman" w:cs="Times New Roman" w:hAnsi="Times New Roman"/>
          <w:sz w:val="24"/>
          <w:szCs w:val="24"/>
        </w:rPr>
      </w:pPr>
    </w:p>
    <w:sectPr>
      <w:pgSz w:w="11906" w:h="16838" w:orient="portrait"/>
      <w:pgMar w:top="1440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EBE85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GB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7">
    <w:name w:val="Plain Table 2"/>
    <w:basedOn w:val="style105"/>
    <w:next w:val="style4097"/>
    <w:uiPriority w:val="4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7f7f7f"/>
        </w:tcBorders>
      </w:tcPr>
    </w:tblStylePr>
    <w:tblStylePr w:type="band1Horz">
      <w:pPr/>
      <w:tblPr/>
      <w:tcPr>
        <w:tcBorders>
          <w:top w:val="single" w:sz="4" w:space="0" w:color="7f7f7f"/>
          <w:bottom w:val="single" w:sz="4" w:space="0" w:color="7f7f7f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pPr/>
      <w:tblPr/>
      <w:tcPr>
        <w:tcBorders>
          <w:left w:val="single" w:sz="4" w:space="0" w:color="7f7f7f"/>
          <w:right w:val="single" w:sz="4" w:space="0" w:color="7f7f7f"/>
        </w:tcBorders>
      </w:tcPr>
    </w:tblStyle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8">
    <w:name w:val="Plain Table 3"/>
    <w:basedOn w:val="style105"/>
    <w:next w:val="style4098"/>
    <w:uiPriority w:val="43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pPr/>
      <w:rPr>
        <w:b/>
        <w:bCs/>
        <w:caps/>
      </w:rPr>
      <w:tblPr/>
      <w:tcPr>
        <w:tcBorders>
          <w:top w:val="nil"/>
        </w:tcBorders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pPr/>
      <w:rPr>
        <w:b/>
        <w:bCs/>
        <w:caps/>
      </w:rPr>
      <w:tblPr/>
      <w:tcPr>
        <w:tcBorders>
          <w:left w:val="nil"/>
        </w:tcBorders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cPr>
      <w:tcBorders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Header Char_21deea86-f8a6-450d-b32e-ca146ef14c5c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100">
    <w:name w:val="Footer Char_3f5bd6a8-3890-42a5-b6d3-39b3813d86d8"/>
    <w:basedOn w:val="style65"/>
    <w:next w:val="style4100"/>
    <w:link w:val="style32"/>
    <w:uiPriority w:val="99"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1123</Words>
  <Pages>7</Pages>
  <Characters>6835</Characters>
  <Application>WPS Office</Application>
  <DocSecurity>0</DocSecurity>
  <Paragraphs>1072</Paragraphs>
  <ScaleCrop>false</ScaleCrop>
  <LinksUpToDate>false</LinksUpToDate>
  <CharactersWithSpaces>7229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2021-01-19T23:52:13Z</dcterms:created>
  <dc:creator>OLUWASEYI</dc:creator>
  <lastModifiedBy>Infinix X559C</lastModifiedBy>
  <dcterms:modified xsi:type="dcterms:W3CDTF">2021-01-19T23:52:13Z</dcterms:modified>
  <revision>81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