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58152" w14:textId="77777777" w:rsidR="00477EE1" w:rsidRPr="00477EE1" w:rsidRDefault="00477EE1" w:rsidP="00477EE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477EE1">
        <w:rPr>
          <w:rFonts w:ascii="Times New Roman" w:hAnsi="Times New Roman" w:cs="Times New Roman"/>
          <w:b/>
          <w:i/>
          <w:sz w:val="24"/>
          <w:szCs w:val="24"/>
        </w:rPr>
        <w:t>Online-Only Supplement</w:t>
      </w:r>
    </w:p>
    <w:p w14:paraId="59FF7BE1" w14:textId="2D8ABFEA" w:rsidR="00AC3999" w:rsidRDefault="00477EE1" w:rsidP="009D594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7EE1">
        <w:rPr>
          <w:rFonts w:ascii="Times New Roman" w:hAnsi="Times New Roman" w:cs="Times New Roman"/>
          <w:b/>
          <w:i/>
          <w:sz w:val="24"/>
          <w:szCs w:val="24"/>
        </w:rPr>
        <w:t>Supplement to:</w:t>
      </w:r>
      <w:r w:rsidR="009D5946">
        <w:rPr>
          <w:rFonts w:ascii="Times New Roman" w:hAnsi="Times New Roman" w:cs="Times New Roman"/>
          <w:b/>
          <w:i/>
          <w:sz w:val="24"/>
          <w:szCs w:val="24"/>
        </w:rPr>
        <w:t xml:space="preserve"> Gao</w:t>
      </w:r>
      <w:r w:rsidRPr="00477EE1">
        <w:rPr>
          <w:rFonts w:ascii="Times New Roman" w:hAnsi="Times New Roman" w:cs="Times New Roman"/>
          <w:b/>
          <w:i/>
          <w:sz w:val="24"/>
          <w:szCs w:val="24"/>
        </w:rPr>
        <w:t>, et al.</w:t>
      </w:r>
      <w:r w:rsidR="009D5946" w:rsidRPr="009D5946">
        <w:t xml:space="preserve"> </w:t>
      </w:r>
      <w:r w:rsidR="009D5946" w:rsidRPr="009D5946">
        <w:rPr>
          <w:rFonts w:ascii="Times New Roman" w:hAnsi="Times New Roman" w:cs="Times New Roman"/>
          <w:b/>
          <w:i/>
          <w:sz w:val="24"/>
          <w:szCs w:val="24"/>
        </w:rPr>
        <w:t>Development and validation of postoperative circulating tumor DNA combined with clinicopathological risk factors for recurrence prediction in patients with stages I-III colorectal cancer</w:t>
      </w:r>
    </w:p>
    <w:p w14:paraId="45037D0B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754351CD" w14:textId="5D4E00F1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51714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Pr="00002D43">
        <w:rPr>
          <w:rFonts w:ascii="Times New Roman" w:hAnsi="Times New Roman" w:cs="Times New Roman"/>
          <w:sz w:val="24"/>
          <w:szCs w:val="24"/>
        </w:rPr>
        <w:t xml:space="preserve"> Heatmap demonstrating the mutational landscape of the primary tumors from </w:t>
      </w:r>
      <w:r>
        <w:rPr>
          <w:rFonts w:ascii="Times New Roman" w:hAnsi="Times New Roman" w:cs="Times New Roman"/>
          <w:sz w:val="24"/>
          <w:szCs w:val="24"/>
        </w:rPr>
        <w:t xml:space="preserve">124 </w:t>
      </w:r>
      <w:r w:rsidRPr="00002D43">
        <w:rPr>
          <w:rFonts w:ascii="Times New Roman" w:hAnsi="Times New Roman" w:cs="Times New Roman"/>
          <w:sz w:val="24"/>
          <w:szCs w:val="24"/>
        </w:rPr>
        <w:t xml:space="preserve">evaluable </w:t>
      </w:r>
      <w:r w:rsidR="000B6EFE">
        <w:rPr>
          <w:rFonts w:ascii="Times New Roman" w:hAnsi="Times New Roman" w:cs="Times New Roman" w:hint="eastAsia"/>
          <w:sz w:val="24"/>
          <w:szCs w:val="24"/>
        </w:rPr>
        <w:t>CRC</w:t>
      </w:r>
      <w:r w:rsidR="000B6EFE">
        <w:rPr>
          <w:rFonts w:ascii="Times New Roman" w:hAnsi="Times New Roman" w:cs="Times New Roman"/>
          <w:sz w:val="24"/>
          <w:szCs w:val="24"/>
        </w:rPr>
        <w:t xml:space="preserve"> </w:t>
      </w:r>
      <w:r w:rsidRPr="00002D43">
        <w:rPr>
          <w:rFonts w:ascii="Times New Roman" w:hAnsi="Times New Roman" w:cs="Times New Roman"/>
          <w:sz w:val="24"/>
          <w:szCs w:val="24"/>
        </w:rPr>
        <w:t>patients</w:t>
      </w:r>
    </w:p>
    <w:p w14:paraId="7957FBF7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32A60B27" w14:textId="69736A04" w:rsidR="006D6CE2" w:rsidRP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3323E9" wp14:editId="185E0493">
            <wp:extent cx="6290256" cy="5664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00" cy="5669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9D61" w14:textId="39B7DFA2" w:rsidR="006D6CE2" w:rsidRDefault="000B6EFE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CRC, colorectal cancer; </w:t>
      </w:r>
      <w:r w:rsidR="006D6CE2">
        <w:rPr>
          <w:rFonts w:ascii="Times New Roman" w:hAnsi="Times New Roman" w:cs="Times New Roman"/>
          <w:sz w:val="24"/>
          <w:szCs w:val="24"/>
        </w:rPr>
        <w:t>PTL:</w:t>
      </w:r>
      <w:r w:rsidR="006D6CE2" w:rsidRPr="00A963A5">
        <w:t xml:space="preserve"> </w:t>
      </w:r>
      <w:r w:rsidR="006D6CE2" w:rsidRPr="00A963A5">
        <w:rPr>
          <w:rFonts w:ascii="Times New Roman" w:hAnsi="Times New Roman" w:cs="Times New Roman"/>
          <w:sz w:val="24"/>
          <w:szCs w:val="24"/>
        </w:rPr>
        <w:t>primary tumor location</w:t>
      </w:r>
      <w:r w:rsidR="006D6CE2">
        <w:rPr>
          <w:rFonts w:ascii="Times New Roman" w:hAnsi="Times New Roman" w:cs="Times New Roman"/>
          <w:sz w:val="24"/>
          <w:szCs w:val="24"/>
        </w:rPr>
        <w:t xml:space="preserve">; LV_invasion: </w:t>
      </w:r>
      <w:r w:rsidR="006D6CE2" w:rsidRPr="00A963A5">
        <w:rPr>
          <w:rFonts w:ascii="Times New Roman" w:hAnsi="Times New Roman" w:cs="Times New Roman"/>
          <w:sz w:val="24"/>
          <w:szCs w:val="24"/>
        </w:rPr>
        <w:t>lymphovascular invasion</w:t>
      </w:r>
      <w:r w:rsidR="006D6CE2">
        <w:rPr>
          <w:rFonts w:ascii="Times New Roman" w:hAnsi="Times New Roman" w:cs="Times New Roman"/>
          <w:sz w:val="24"/>
          <w:szCs w:val="24"/>
        </w:rPr>
        <w:t xml:space="preserve">; N_invasion: </w:t>
      </w:r>
      <w:r w:rsidR="006D6CE2" w:rsidRPr="00A963A5">
        <w:rPr>
          <w:rFonts w:ascii="Times New Roman" w:hAnsi="Times New Roman" w:cs="Times New Roman"/>
          <w:sz w:val="24"/>
          <w:szCs w:val="24"/>
        </w:rPr>
        <w:t>nerve invasio</w:t>
      </w:r>
      <w:r w:rsidR="006D6CE2">
        <w:rPr>
          <w:rFonts w:ascii="Times New Roman" w:hAnsi="Times New Roman" w:cs="Times New Roman"/>
          <w:sz w:val="24"/>
          <w:szCs w:val="24"/>
        </w:rPr>
        <w:t xml:space="preserve">n; MSI: microsatellite instability; pre_CEA, </w:t>
      </w:r>
      <w:r w:rsidR="006D6CE2" w:rsidRPr="00A963A5">
        <w:rPr>
          <w:rFonts w:ascii="Times New Roman" w:hAnsi="Times New Roman" w:cs="Times New Roman"/>
          <w:sz w:val="24"/>
          <w:szCs w:val="24"/>
        </w:rPr>
        <w:t>preoperative carcinoembryonic antigen</w:t>
      </w:r>
      <w:r w:rsidR="006D6CE2">
        <w:rPr>
          <w:rFonts w:ascii="Times New Roman" w:hAnsi="Times New Roman" w:cs="Times New Roman" w:hint="eastAsia"/>
          <w:sz w:val="24"/>
          <w:szCs w:val="24"/>
        </w:rPr>
        <w:t>.</w:t>
      </w:r>
    </w:p>
    <w:p w14:paraId="43D04D48" w14:textId="77777777" w:rsidR="006D6CE2" w:rsidRPr="002D2DEC" w:rsidRDefault="006D6CE2" w:rsidP="006D6CE2">
      <w:pPr>
        <w:rPr>
          <w:rFonts w:ascii="Times New Roman" w:hAnsi="Times New Roman" w:cs="Times New Roman"/>
          <w:strike/>
          <w:sz w:val="24"/>
          <w:szCs w:val="24"/>
        </w:rPr>
      </w:pPr>
    </w:p>
    <w:p w14:paraId="7B0381F4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509D79E8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120D657F" w14:textId="4BFFB9D0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5171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02D43">
        <w:rPr>
          <w:rFonts w:ascii="Times New Roman" w:hAnsi="Times New Roman" w:cs="Times New Roman"/>
          <w:sz w:val="24"/>
          <w:szCs w:val="24"/>
        </w:rPr>
        <w:t xml:space="preserve"> RFS outcomes of ctDNA-positive and ctDNA-negative </w:t>
      </w:r>
      <w:r>
        <w:rPr>
          <w:rFonts w:ascii="Times New Roman" w:hAnsi="Times New Roman" w:cs="Times New Roman"/>
          <w:sz w:val="24"/>
          <w:szCs w:val="24"/>
        </w:rPr>
        <w:t xml:space="preserve">CRC </w:t>
      </w:r>
      <w:r w:rsidRPr="00002D43">
        <w:rPr>
          <w:rFonts w:ascii="Times New Roman" w:hAnsi="Times New Roman" w:cs="Times New Roman"/>
          <w:sz w:val="24"/>
          <w:szCs w:val="24"/>
        </w:rPr>
        <w:t>patients with different pathologic stage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02D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5A2B03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7930C2F1" w14:textId="3E9FA10A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8A3EA0" wp14:editId="576451B6">
            <wp:extent cx="6291580" cy="59867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598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634A8" w14:textId="26FB723C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02D43">
        <w:rPr>
          <w:rFonts w:ascii="Times New Roman" w:hAnsi="Times New Roman" w:cs="Times New Roman"/>
          <w:sz w:val="24"/>
          <w:szCs w:val="24"/>
        </w:rPr>
        <w:t>(A and 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02D43">
        <w:rPr>
          <w:rFonts w:ascii="Times New Roman" w:hAnsi="Times New Roman" w:cs="Times New Roman"/>
          <w:sz w:val="24"/>
          <w:szCs w:val="24"/>
        </w:rPr>
        <w:t xml:space="preserve">Kaplan-Meier </w:t>
      </w:r>
      <w:r w:rsidRPr="00F84B9E">
        <w:rPr>
          <w:rFonts w:ascii="Times New Roman" w:hAnsi="Times New Roman" w:cs="Times New Roman"/>
          <w:sz w:val="24"/>
          <w:szCs w:val="24"/>
        </w:rPr>
        <w:t>curves</w:t>
      </w:r>
      <w:r w:rsidRPr="00002D43">
        <w:rPr>
          <w:rFonts w:ascii="Times New Roman" w:hAnsi="Times New Roman" w:cs="Times New Roman"/>
          <w:sz w:val="24"/>
          <w:szCs w:val="24"/>
        </w:rPr>
        <w:t xml:space="preserve"> of RFS for patients stratified by postoperative ctDNA status in the subset of patients with pathologic stage II or III. (C) The clinical courses of 17 postoperative ctDNA‑positive patients.</w:t>
      </w:r>
    </w:p>
    <w:p w14:paraId="213ED272" w14:textId="4E0A748C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CRC, colorectal cancer;</w:t>
      </w:r>
      <w:r w:rsidRPr="00931D29">
        <w:rPr>
          <w:rFonts w:ascii="Times New Roman" w:hAnsi="Times New Roman" w:cs="Times New Roman"/>
          <w:sz w:val="24"/>
          <w:szCs w:val="24"/>
        </w:rPr>
        <w:t xml:space="preserve"> RFS: recurrence-free surviva</w:t>
      </w:r>
      <w:r>
        <w:rPr>
          <w:rFonts w:ascii="Times New Roman" w:hAnsi="Times New Roman" w:cs="Times New Roman"/>
          <w:sz w:val="24"/>
          <w:szCs w:val="24"/>
        </w:rPr>
        <w:t>l</w:t>
      </w:r>
      <w:r w:rsidR="00DD37A0">
        <w:rPr>
          <w:rFonts w:ascii="Times New Roman" w:hAnsi="Times New Roman" w:cs="Times New Roman"/>
          <w:sz w:val="24"/>
          <w:szCs w:val="24"/>
        </w:rPr>
        <w:t>; ctDNA: circulating tumor DNA.</w:t>
      </w:r>
    </w:p>
    <w:p w14:paraId="021C28D9" w14:textId="77777777" w:rsidR="006D6CE2" w:rsidRPr="00F84B9E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0D57C09C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7A84E7DA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69E2291B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73BB7192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1225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22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D43">
        <w:rPr>
          <w:rFonts w:ascii="Times New Roman" w:hAnsi="Times New Roman" w:cs="Times New Roman"/>
          <w:sz w:val="24"/>
          <w:szCs w:val="24"/>
        </w:rPr>
        <w:t>Evaluation of the CTCP model for predicting 1-, 3- and 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02D43">
        <w:rPr>
          <w:rFonts w:ascii="Times New Roman" w:hAnsi="Times New Roman" w:cs="Times New Roman"/>
          <w:sz w:val="24"/>
          <w:szCs w:val="24"/>
        </w:rPr>
        <w:t>year RFS in the discovery cohort.</w:t>
      </w:r>
    </w:p>
    <w:p w14:paraId="21145241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33A3DF1A" w14:textId="00F591F5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6E849F" wp14:editId="68BC7654">
            <wp:extent cx="5463812" cy="4556125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98" cy="4559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4DA78" w14:textId="1A08D91C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02D43">
        <w:rPr>
          <w:rFonts w:ascii="Times New Roman" w:hAnsi="Times New Roman" w:cs="Times New Roman"/>
          <w:sz w:val="24"/>
          <w:szCs w:val="24"/>
        </w:rPr>
        <w:t xml:space="preserve">(A-C) </w:t>
      </w:r>
      <w:r>
        <w:rPr>
          <w:rFonts w:ascii="Times New Roman" w:hAnsi="Times New Roman" w:cs="Times New Roman"/>
          <w:sz w:val="24"/>
          <w:szCs w:val="24"/>
        </w:rPr>
        <w:t>The Calibration curves present</w:t>
      </w:r>
      <w:r w:rsidRPr="00002D43">
        <w:rPr>
          <w:rFonts w:ascii="Times New Roman" w:hAnsi="Times New Roman" w:cs="Times New Roman"/>
          <w:sz w:val="24"/>
          <w:szCs w:val="24"/>
        </w:rPr>
        <w:t xml:space="preserve"> the concordance between model prediction and actual distribution for </w:t>
      </w:r>
      <w:r>
        <w:rPr>
          <w:rFonts w:ascii="Times New Roman" w:hAnsi="Times New Roman" w:cs="Times New Roman"/>
          <w:sz w:val="24"/>
          <w:szCs w:val="24"/>
        </w:rPr>
        <w:t>1-, 3- and 4-</w:t>
      </w:r>
      <w:r w:rsidRPr="00002D43">
        <w:rPr>
          <w:rFonts w:ascii="Times New Roman" w:hAnsi="Times New Roman" w:cs="Times New Roman"/>
          <w:sz w:val="24"/>
          <w:szCs w:val="24"/>
        </w:rPr>
        <w:t>year RFS. Gray line: reference line. Red line: the prediction curve generated by the nomogram model. (D-F)</w:t>
      </w:r>
      <w:r>
        <w:rPr>
          <w:rFonts w:ascii="Times New Roman" w:hAnsi="Times New Roman" w:cs="Times New Roman"/>
          <w:sz w:val="24"/>
          <w:szCs w:val="24"/>
        </w:rPr>
        <w:t xml:space="preserve"> The DCA curves show</w:t>
      </w:r>
      <w:r w:rsidRPr="00002D43">
        <w:rPr>
          <w:rFonts w:ascii="Times New Roman" w:hAnsi="Times New Roman" w:cs="Times New Roman"/>
          <w:sz w:val="24"/>
          <w:szCs w:val="24"/>
        </w:rPr>
        <w:t xml:space="preserve"> the net clinical benefit of the application of the CTCP model to predict 1-, 3- and 4- year RFS. </w:t>
      </w:r>
      <w:r>
        <w:rPr>
          <w:rFonts w:ascii="Times New Roman" w:hAnsi="Times New Roman" w:cs="Times New Roman"/>
          <w:sz w:val="24"/>
          <w:szCs w:val="24"/>
        </w:rPr>
        <w:t>(G-I</w:t>
      </w:r>
      <w:r w:rsidRPr="00002D43">
        <w:rPr>
          <w:rFonts w:ascii="Times New Roman" w:hAnsi="Times New Roman" w:cs="Times New Roman"/>
          <w:sz w:val="24"/>
          <w:szCs w:val="24"/>
        </w:rPr>
        <w:t xml:space="preserve">) Comparison of the CTCP model with ctDNA using ROC analyses for predicting </w:t>
      </w:r>
      <w:r>
        <w:rPr>
          <w:rFonts w:ascii="Times New Roman" w:hAnsi="Times New Roman" w:cs="Times New Roman"/>
          <w:sz w:val="24"/>
          <w:szCs w:val="24"/>
        </w:rPr>
        <w:t>1-, 3- and 4-</w:t>
      </w:r>
      <w:r w:rsidRPr="00002D43">
        <w:rPr>
          <w:rFonts w:ascii="Times New Roman" w:hAnsi="Times New Roman" w:cs="Times New Roman"/>
          <w:sz w:val="24"/>
          <w:szCs w:val="24"/>
        </w:rPr>
        <w:t>year RFS.</w:t>
      </w:r>
    </w:p>
    <w:p w14:paraId="0A8DF96D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TCP: </w:t>
      </w:r>
      <w:r w:rsidRPr="00FC2840">
        <w:rPr>
          <w:rFonts w:ascii="Times New Roman" w:hAnsi="Times New Roman" w:cs="Times New Roman"/>
          <w:b/>
          <w:sz w:val="24"/>
          <w:szCs w:val="24"/>
          <w:u w:val="single"/>
        </w:rPr>
        <w:t>ct</w:t>
      </w:r>
      <w:r w:rsidRPr="00FC2840">
        <w:rPr>
          <w:rFonts w:ascii="Times New Roman" w:hAnsi="Times New Roman" w:cs="Times New Roman"/>
          <w:sz w:val="24"/>
          <w:szCs w:val="24"/>
        </w:rPr>
        <w:t xml:space="preserve">DNA and </w:t>
      </w:r>
      <w:r w:rsidRPr="00FC2840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FC2840">
        <w:rPr>
          <w:rFonts w:ascii="Times New Roman" w:hAnsi="Times New Roman" w:cs="Times New Roman"/>
          <w:sz w:val="24"/>
          <w:szCs w:val="24"/>
        </w:rPr>
        <w:t>linico</w:t>
      </w:r>
      <w:r w:rsidRPr="00FC2840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FC2840">
        <w:rPr>
          <w:rFonts w:ascii="Times New Roman" w:hAnsi="Times New Roman" w:cs="Times New Roman"/>
          <w:sz w:val="24"/>
          <w:szCs w:val="24"/>
        </w:rPr>
        <w:t>athological risk factors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31D29">
        <w:rPr>
          <w:rFonts w:ascii="Times New Roman" w:hAnsi="Times New Roman" w:cs="Times New Roman"/>
          <w:sz w:val="24"/>
          <w:szCs w:val="24"/>
        </w:rPr>
        <w:t>RFS: recurrence-free surviva</w:t>
      </w:r>
      <w:r>
        <w:rPr>
          <w:rFonts w:ascii="Times New Roman" w:hAnsi="Times New Roman" w:cs="Times New Roman"/>
          <w:sz w:val="24"/>
          <w:szCs w:val="24"/>
        </w:rPr>
        <w:t>l; ctDNA: circulating tumor DNA;</w:t>
      </w:r>
      <w:r w:rsidRPr="00A10087">
        <w:rPr>
          <w:rFonts w:ascii="Times New Roman" w:hAnsi="Times New Roman" w:cs="Times New Roman"/>
          <w:sz w:val="24"/>
          <w:szCs w:val="24"/>
        </w:rPr>
        <w:t xml:space="preserve"> ROC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10087">
        <w:rPr>
          <w:rFonts w:ascii="Times New Roman" w:hAnsi="Times New Roman" w:cs="Times New Roman"/>
          <w:sz w:val="24"/>
          <w:szCs w:val="24"/>
        </w:rPr>
        <w:t>rec</w:t>
      </w:r>
      <w:r>
        <w:rPr>
          <w:rFonts w:ascii="Times New Roman" w:hAnsi="Times New Roman" w:cs="Times New Roman"/>
          <w:sz w:val="24"/>
          <w:szCs w:val="24"/>
        </w:rPr>
        <w:t xml:space="preserve">eiver operating characteristic; DCA: </w:t>
      </w:r>
      <w:r w:rsidRPr="00A10087">
        <w:rPr>
          <w:rFonts w:ascii="Times New Roman" w:hAnsi="Times New Roman" w:cs="Times New Roman"/>
          <w:sz w:val="24"/>
          <w:szCs w:val="24"/>
        </w:rPr>
        <w:t>decision curve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A6772F" w14:textId="77777777" w:rsidR="006D6CE2" w:rsidRPr="00160C5D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607DC489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53E9B2E8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478140C7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23A44402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6FD1C3A3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5D4B25EB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26FAA32E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7852EA62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3F7E8C6B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1225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02D43">
        <w:rPr>
          <w:rFonts w:ascii="Times New Roman" w:hAnsi="Times New Roman" w:cs="Times New Roman"/>
          <w:sz w:val="24"/>
          <w:szCs w:val="24"/>
        </w:rPr>
        <w:t xml:space="preserve"> Evaluation of the CTCP model for predicting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02D43">
        <w:rPr>
          <w:rFonts w:ascii="Times New Roman" w:hAnsi="Times New Roman" w:cs="Times New Roman"/>
          <w:sz w:val="24"/>
          <w:szCs w:val="24"/>
        </w:rPr>
        <w:t xml:space="preserve">year RFS in the validation cohort. </w:t>
      </w:r>
    </w:p>
    <w:p w14:paraId="769D03CF" w14:textId="0FABB47C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DE099E" wp14:editId="172FD52E">
            <wp:extent cx="5885911" cy="1655151"/>
            <wp:effectExtent l="0" t="0" r="6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33" cy="1657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6FC79" w14:textId="74DDA8AE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02D43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The Calibration curves show </w:t>
      </w:r>
      <w:r w:rsidRPr="00002D43">
        <w:rPr>
          <w:rFonts w:ascii="Times New Roman" w:hAnsi="Times New Roman" w:cs="Times New Roman"/>
          <w:sz w:val="24"/>
          <w:szCs w:val="24"/>
        </w:rPr>
        <w:t>the concordance between model prediction and actual distribution for 1-year RFS. Gray line: reference line. Red line: the prediction curve generated by the nomogram model. (B) The DCA curves show the net clinical benefit of the application of the CTCP model to predict</w:t>
      </w:r>
      <w:r>
        <w:rPr>
          <w:rFonts w:ascii="Times New Roman" w:hAnsi="Times New Roman" w:cs="Times New Roman"/>
          <w:sz w:val="24"/>
          <w:szCs w:val="24"/>
        </w:rPr>
        <w:t xml:space="preserve"> 1-</w:t>
      </w:r>
      <w:r w:rsidRPr="00002D43">
        <w:rPr>
          <w:rFonts w:ascii="Times New Roman" w:hAnsi="Times New Roman" w:cs="Times New Roman"/>
          <w:sz w:val="24"/>
          <w:szCs w:val="24"/>
        </w:rPr>
        <w:t>year RFS. (C) Comparison of the CTCP model with ctDNA using ROC analyses for predicting 1- year RFS.</w:t>
      </w:r>
    </w:p>
    <w:p w14:paraId="1928B752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TCP: </w:t>
      </w:r>
      <w:r w:rsidRPr="00FC2840">
        <w:rPr>
          <w:rFonts w:ascii="Times New Roman" w:hAnsi="Times New Roman" w:cs="Times New Roman"/>
          <w:b/>
          <w:sz w:val="24"/>
          <w:szCs w:val="24"/>
          <w:u w:val="single"/>
        </w:rPr>
        <w:t>ct</w:t>
      </w:r>
      <w:r w:rsidRPr="00FC2840">
        <w:rPr>
          <w:rFonts w:ascii="Times New Roman" w:hAnsi="Times New Roman" w:cs="Times New Roman"/>
          <w:sz w:val="24"/>
          <w:szCs w:val="24"/>
        </w:rPr>
        <w:t xml:space="preserve">DNA and </w:t>
      </w:r>
      <w:r w:rsidRPr="00FC2840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FC2840">
        <w:rPr>
          <w:rFonts w:ascii="Times New Roman" w:hAnsi="Times New Roman" w:cs="Times New Roman"/>
          <w:sz w:val="24"/>
          <w:szCs w:val="24"/>
        </w:rPr>
        <w:t>linico</w:t>
      </w:r>
      <w:r w:rsidRPr="00FC2840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FC2840">
        <w:rPr>
          <w:rFonts w:ascii="Times New Roman" w:hAnsi="Times New Roman" w:cs="Times New Roman"/>
          <w:sz w:val="24"/>
          <w:szCs w:val="24"/>
        </w:rPr>
        <w:t>athological risk factors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31D29">
        <w:rPr>
          <w:rFonts w:ascii="Times New Roman" w:hAnsi="Times New Roman" w:cs="Times New Roman"/>
          <w:sz w:val="24"/>
          <w:szCs w:val="24"/>
        </w:rPr>
        <w:t>RFS: recurrence-free surviva</w:t>
      </w:r>
      <w:r>
        <w:rPr>
          <w:rFonts w:ascii="Times New Roman" w:hAnsi="Times New Roman" w:cs="Times New Roman"/>
          <w:sz w:val="24"/>
          <w:szCs w:val="24"/>
        </w:rPr>
        <w:t>l; ctDNA: circulating tumor DNA;</w:t>
      </w:r>
      <w:r w:rsidRPr="00A10087">
        <w:rPr>
          <w:rFonts w:ascii="Times New Roman" w:hAnsi="Times New Roman" w:cs="Times New Roman"/>
          <w:sz w:val="24"/>
          <w:szCs w:val="24"/>
        </w:rPr>
        <w:t xml:space="preserve"> ROC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10087">
        <w:rPr>
          <w:rFonts w:ascii="Times New Roman" w:hAnsi="Times New Roman" w:cs="Times New Roman"/>
          <w:sz w:val="24"/>
          <w:szCs w:val="24"/>
        </w:rPr>
        <w:t>rec</w:t>
      </w:r>
      <w:r>
        <w:rPr>
          <w:rFonts w:ascii="Times New Roman" w:hAnsi="Times New Roman" w:cs="Times New Roman"/>
          <w:sz w:val="24"/>
          <w:szCs w:val="24"/>
        </w:rPr>
        <w:t xml:space="preserve">eiver operating characteristic; DCA: </w:t>
      </w:r>
      <w:r w:rsidRPr="00A10087">
        <w:rPr>
          <w:rFonts w:ascii="Times New Roman" w:hAnsi="Times New Roman" w:cs="Times New Roman"/>
          <w:sz w:val="24"/>
          <w:szCs w:val="24"/>
        </w:rPr>
        <w:t>decision curve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0D7B43" w14:textId="77777777" w:rsidR="006D6CE2" w:rsidRPr="00160C5D" w:rsidRDefault="006D6CE2" w:rsidP="006D6CE2"/>
    <w:p w14:paraId="023E9535" w14:textId="77777777" w:rsidR="006D6CE2" w:rsidRDefault="006D6CE2" w:rsidP="006D6CE2"/>
    <w:p w14:paraId="35EEB9E4" w14:textId="77777777" w:rsidR="006D6CE2" w:rsidRDefault="006D6CE2" w:rsidP="006D6CE2"/>
    <w:p w14:paraId="16EBC8D2" w14:textId="77777777" w:rsidR="006D6CE2" w:rsidRDefault="006D6CE2" w:rsidP="006D6CE2"/>
    <w:p w14:paraId="187CAFB3" w14:textId="77777777" w:rsidR="006D6CE2" w:rsidRDefault="006D6CE2" w:rsidP="006D6CE2"/>
    <w:p w14:paraId="026D29FE" w14:textId="77777777" w:rsidR="006D6CE2" w:rsidRDefault="006D6CE2" w:rsidP="006D6CE2"/>
    <w:p w14:paraId="30F09F16" w14:textId="77777777" w:rsidR="006D6CE2" w:rsidRDefault="006D6CE2" w:rsidP="006D6CE2"/>
    <w:p w14:paraId="1A13D01C" w14:textId="77777777" w:rsidR="006D6CE2" w:rsidRDefault="006D6CE2" w:rsidP="006D6CE2"/>
    <w:p w14:paraId="052386BC" w14:textId="77777777" w:rsidR="006D6CE2" w:rsidRDefault="006D6CE2" w:rsidP="006D6CE2"/>
    <w:p w14:paraId="3EF4957E" w14:textId="77777777" w:rsidR="006D6CE2" w:rsidRDefault="006D6CE2" w:rsidP="006D6CE2"/>
    <w:p w14:paraId="4817C948" w14:textId="77777777" w:rsidR="006D6CE2" w:rsidRDefault="006D6CE2" w:rsidP="006D6CE2"/>
    <w:p w14:paraId="5391A612" w14:textId="77777777" w:rsidR="006D6CE2" w:rsidRDefault="006D6CE2" w:rsidP="006D6CE2"/>
    <w:p w14:paraId="159CF55B" w14:textId="77777777" w:rsidR="006D6CE2" w:rsidRDefault="006D6CE2" w:rsidP="006D6CE2"/>
    <w:p w14:paraId="417D5E5A" w14:textId="77777777" w:rsidR="006D6CE2" w:rsidRDefault="006D6CE2" w:rsidP="006D6CE2"/>
    <w:p w14:paraId="019988AD" w14:textId="77777777" w:rsidR="006D6CE2" w:rsidRDefault="006D6CE2" w:rsidP="006D6CE2"/>
    <w:p w14:paraId="7A1D107D" w14:textId="77777777" w:rsidR="006D6CE2" w:rsidRDefault="006D6CE2" w:rsidP="006D6CE2"/>
    <w:p w14:paraId="480E7BBB" w14:textId="77777777" w:rsidR="006D6CE2" w:rsidRDefault="006D6CE2" w:rsidP="006D6CE2"/>
    <w:p w14:paraId="6EAD7EBC" w14:textId="77777777" w:rsidR="006D6CE2" w:rsidRDefault="006D6CE2" w:rsidP="006D6CE2"/>
    <w:p w14:paraId="10E3EF48" w14:textId="77777777" w:rsidR="006D6CE2" w:rsidRDefault="006D6CE2" w:rsidP="006D6CE2"/>
    <w:p w14:paraId="135F4FBC" w14:textId="77777777" w:rsidR="006D6CE2" w:rsidRDefault="006D6CE2" w:rsidP="006D6CE2"/>
    <w:p w14:paraId="4A82AA13" w14:textId="77777777" w:rsidR="006D6CE2" w:rsidRDefault="006D6CE2" w:rsidP="006D6CE2"/>
    <w:p w14:paraId="11C37F62" w14:textId="77777777" w:rsidR="006D6CE2" w:rsidRDefault="006D6CE2" w:rsidP="006D6CE2"/>
    <w:p w14:paraId="13FA9C56" w14:textId="77777777" w:rsidR="006D6CE2" w:rsidRDefault="006D6CE2" w:rsidP="006D6CE2"/>
    <w:p w14:paraId="244FE95F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21120853" w14:textId="77777777" w:rsidR="00DD37A0" w:rsidRDefault="00DD37A0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52C34077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51714">
        <w:rPr>
          <w:rFonts w:ascii="Times New Roman" w:hAnsi="Times New Roman" w:cs="Times New Roman"/>
          <w:b/>
          <w:sz w:val="24"/>
          <w:szCs w:val="24"/>
        </w:rPr>
        <w:lastRenderedPageBreak/>
        <w:t>Supplementary Table 1</w:t>
      </w:r>
      <w:r w:rsidRPr="00002D43">
        <w:rPr>
          <w:rFonts w:ascii="Times New Roman" w:hAnsi="Times New Roman" w:cs="Times New Roman"/>
          <w:sz w:val="24"/>
          <w:szCs w:val="24"/>
        </w:rPr>
        <w:t xml:space="preserve"> The relationship analysis between postoperative ctDNA status and clinicopathological parameters</w:t>
      </w:r>
    </w:p>
    <w:p w14:paraId="278D064D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520" w:type="dxa"/>
        <w:tblInd w:w="-2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4"/>
        <w:gridCol w:w="1555"/>
        <w:gridCol w:w="1137"/>
        <w:gridCol w:w="1137"/>
        <w:gridCol w:w="1077"/>
      </w:tblGrid>
      <w:tr w:rsidR="006D6CE2" w:rsidRPr="006D6CE2" w14:paraId="53E3ED0E" w14:textId="77777777" w:rsidTr="005364FC">
        <w:trPr>
          <w:trHeight w:val="235"/>
        </w:trPr>
        <w:tc>
          <w:tcPr>
            <w:tcW w:w="2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8584A0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Clinicopathological parameters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3DD6A7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60872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ctDNA status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2CDB4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P value</w:t>
            </w:r>
          </w:p>
        </w:tc>
      </w:tr>
      <w:tr w:rsidR="006D6CE2" w:rsidRPr="006D6CE2" w14:paraId="572A79FA" w14:textId="77777777" w:rsidTr="005364FC">
        <w:trPr>
          <w:trHeight w:val="235"/>
        </w:trPr>
        <w:tc>
          <w:tcPr>
            <w:tcW w:w="2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0A24E0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35981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Overall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1887B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negative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1B5DC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positive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E8B312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1A89EE83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964DC2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31BF1B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(N=108)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7D280D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(N=91)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76723C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(N=17)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0936D9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5B14B449" w14:textId="77777777" w:rsidTr="005364FC">
        <w:trPr>
          <w:trHeight w:val="235"/>
        </w:trPr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8FDC99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Age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0EBE97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B254A4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65CA61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11E1EB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48695614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44552C09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&lt;=60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87351B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50 (46.3%)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0D0C7F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43 (47.3%)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A54D1C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7 (41.2%)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8C175D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0.844</w:t>
            </w:r>
          </w:p>
        </w:tc>
      </w:tr>
      <w:tr w:rsidR="006D6CE2" w:rsidRPr="006D6CE2" w14:paraId="4CDF44B8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0C180A85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&gt;60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584E3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58 (53.7%)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BD227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48 (52.7%)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DF251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10 (58.8%)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9DB2C0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689A1DF3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5C1FEF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Sex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41EC8A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1C465F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C474FE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C8FCE0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56CC8CE0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7B7BE7CA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Male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781B87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69 (63.9%)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C500A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56 (61.5%)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B6F51E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13 (76.5%)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E62955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0.367</w:t>
            </w:r>
          </w:p>
        </w:tc>
      </w:tr>
      <w:tr w:rsidR="006D6CE2" w:rsidRPr="006D6CE2" w14:paraId="6D8E557B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004555E7" w14:textId="72026D9F" w:rsidR="006D6CE2" w:rsidRPr="006D6CE2" w:rsidRDefault="00DD37A0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F</w:t>
            </w:r>
            <w:r w:rsidR="006D6CE2"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emale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FD414D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39 (36.1%)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BF24A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35 (38.5%)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ED0DE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 (23.5%)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3A3EF6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0E455EBF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72421A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Tumor location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5EA102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53A118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57E79D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5D6054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3D1F31B2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16506BFA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Left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4B1E34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80 (74.1%)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D27633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66 (72.5%)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0D5D0A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14 (82.4%)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B732A9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0.584</w:t>
            </w:r>
          </w:p>
        </w:tc>
      </w:tr>
      <w:tr w:rsidR="006D6CE2" w:rsidRPr="006D6CE2" w14:paraId="5D533FB8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70C24B42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Right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CE1BC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28 (25.9%)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0BDA30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25 (27.5%)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BE2ED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 (17.6%)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16D76D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2108F719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C06EDA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Histologic type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698872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A462CA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6ED65F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22BF13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56EF88A0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6FFC4096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Adenocarcinoma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46B7C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98 (90.7%)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04F56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83 (91.2%)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466AE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15 (88.2%)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7FB92A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</w:p>
        </w:tc>
      </w:tr>
      <w:tr w:rsidR="006D6CE2" w:rsidRPr="006D6CE2" w14:paraId="6EBA449A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3E595271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Mucinous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BC9D9C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10 (9.26%)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F7140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 (8.79%)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C75C4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 (11.8%)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2B070C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308F6B8C" w14:textId="77777777" w:rsidTr="005364FC">
        <w:trPr>
          <w:trHeight w:val="451"/>
        </w:trPr>
        <w:tc>
          <w:tcPr>
            <w:tcW w:w="4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E6C1B3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Histopathological differentiation grade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A1F6AD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810E0F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052CAB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763717CC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091DA205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Poor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DD4A3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 (8.91%)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752D3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 (9.30%)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54A63F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 (6.67%)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7A7DC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</w:p>
        </w:tc>
      </w:tr>
      <w:tr w:rsidR="006D6CE2" w:rsidRPr="006D6CE2" w14:paraId="557A3469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3A98E047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Medium/Well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E0C9DB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92 (91.1%)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AC83AA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78 (90.7%)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43F7EF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14 (93.3%)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8B6A4F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0C8ADB96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398692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Stage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EC747E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3DDD5D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621F96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629F6D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491D2FF7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4616CBCE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956E2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18 (16.7%)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AFE9F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18 (19.8%)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AEB4AA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 (0%)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55D01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&lt;0.001</w:t>
            </w:r>
          </w:p>
        </w:tc>
      </w:tr>
      <w:tr w:rsidR="006D6CE2" w:rsidRPr="006D6CE2" w14:paraId="4D925875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7FC5EB52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E1ABC3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44 (40.7%)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87452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42 (46.2%)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751042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 (11.8%)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FD9036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2A66F407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02586F7A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III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B94F2C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46 (42.6%)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1F1924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31 (34.1%)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142F8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15 (88.2%)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6F2EE6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528FF148" w14:textId="77777777" w:rsidTr="005364FC">
        <w:trPr>
          <w:trHeight w:val="451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AC70CB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Lymphatic/vascular invasion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6FFF70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A74C31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22F235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B29F24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47D6D62F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772842C0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95B9A8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87 (80.6%)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00504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76 (83.5%)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13888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11 (64.7%)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68B43A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0.143</w:t>
            </w:r>
          </w:p>
        </w:tc>
      </w:tr>
      <w:tr w:rsidR="006D6CE2" w:rsidRPr="006D6CE2" w14:paraId="743AFA07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17E39CFF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0AA6E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21 (19.4%)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B18B3D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15 (16.5%)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377A2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 (35.3%)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55FF95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47A55F62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96C4F9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Nerve invasion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0F439F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A20952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4C7179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A9EAE7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3B2E35B1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2E4906AC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91C6AE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91 (84.3%)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7FE503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80 (87.9%)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81A23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11 (64.7%)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38269E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0.04</w:t>
            </w:r>
          </w:p>
        </w:tc>
      </w:tr>
      <w:tr w:rsidR="006D6CE2" w:rsidRPr="006D6CE2" w14:paraId="02725412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76CEAD46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DA5ECC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17 (15.7%)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73A86D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11 (12.1%)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11423A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 (35.3%)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2682BD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4B5A9300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0FEDFC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MSI status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29C646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A8413A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DB00B8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B78AF3" w14:textId="77777777" w:rsidR="006D6CE2" w:rsidRPr="006D6CE2" w:rsidRDefault="006D6CE2" w:rsidP="000570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6CE2" w:rsidRPr="006D6CE2" w14:paraId="052823EB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6CC63140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MSS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5C64AE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100 (92.6%)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8F2794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83 (91.2%)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EE0D5E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17 (100%)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839641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0.444</w:t>
            </w:r>
          </w:p>
        </w:tc>
      </w:tr>
      <w:tr w:rsidR="006D6CE2" w:rsidRPr="006D6CE2" w14:paraId="24ACDECB" w14:textId="77777777" w:rsidTr="005364FC">
        <w:trPr>
          <w:trHeight w:val="235"/>
        </w:trPr>
        <w:tc>
          <w:tcPr>
            <w:tcW w:w="26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246" w:type="dxa"/>
              <w:bottom w:w="0" w:type="dxa"/>
              <w:right w:w="7" w:type="dxa"/>
            </w:tcMar>
            <w:vAlign w:val="center"/>
            <w:hideMark/>
          </w:tcPr>
          <w:p w14:paraId="6FF69BDA" w14:textId="77777777" w:rsidR="006D6CE2" w:rsidRPr="006D6CE2" w:rsidRDefault="006D6CE2" w:rsidP="0005702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MSI-H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C5DDD9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 (7.41%)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DCBE26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8 (8.79%)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779C5C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 (0%)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B6461F" w14:textId="77777777" w:rsidR="006D6CE2" w:rsidRPr="006D6CE2" w:rsidRDefault="006D6CE2" w:rsidP="0005702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D6CE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　</w:t>
            </w:r>
          </w:p>
        </w:tc>
      </w:tr>
    </w:tbl>
    <w:p w14:paraId="2DE8448B" w14:textId="77777777" w:rsidR="005364FC" w:rsidRPr="005364FC" w:rsidRDefault="005364FC" w:rsidP="005364F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364FC">
        <w:rPr>
          <w:rFonts w:ascii="Times New Roman" w:hAnsi="Times New Roman" w:cs="Times New Roman"/>
          <w:sz w:val="20"/>
          <w:szCs w:val="20"/>
        </w:rPr>
        <w:t>MSS: microsatellite stable; MSI-H: microsatellite instability-high.</w:t>
      </w:r>
    </w:p>
    <w:p w14:paraId="145897FB" w14:textId="77777777" w:rsidR="006D6CE2" w:rsidRPr="005364FC" w:rsidRDefault="006D6CE2" w:rsidP="006D6CE2">
      <w:pPr>
        <w:rPr>
          <w:sz w:val="20"/>
          <w:szCs w:val="20"/>
        </w:rPr>
      </w:pPr>
    </w:p>
    <w:p w14:paraId="25CB2884" w14:textId="77777777" w:rsidR="006D6CE2" w:rsidRDefault="006D6CE2" w:rsidP="006D6CE2"/>
    <w:p w14:paraId="7DDE097F" w14:textId="77777777" w:rsidR="006D6CE2" w:rsidRDefault="006D6CE2" w:rsidP="006D6CE2"/>
    <w:p w14:paraId="4A1F3A28" w14:textId="77777777" w:rsidR="006D6CE2" w:rsidRDefault="006D6CE2" w:rsidP="006D6CE2"/>
    <w:p w14:paraId="2B06F576" w14:textId="77777777" w:rsidR="006D6CE2" w:rsidRPr="00A7291D" w:rsidRDefault="006D6CE2" w:rsidP="006D6CE2">
      <w:pPr>
        <w:rPr>
          <w:strike/>
        </w:rPr>
      </w:pPr>
    </w:p>
    <w:p w14:paraId="104C3888" w14:textId="77777777" w:rsidR="006D6CE2" w:rsidRDefault="006D6CE2" w:rsidP="006D6CE2">
      <w:pPr>
        <w:rPr>
          <w:rFonts w:ascii="Times New Roman" w:hAnsi="Times New Roman" w:cs="Times New Roman"/>
          <w:b/>
          <w:sz w:val="24"/>
          <w:szCs w:val="24"/>
        </w:rPr>
      </w:pPr>
    </w:p>
    <w:p w14:paraId="253D3721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051714">
        <w:rPr>
          <w:rFonts w:ascii="Times New Roman" w:hAnsi="Times New Roman" w:cs="Times New Roman"/>
          <w:b/>
          <w:sz w:val="24"/>
          <w:szCs w:val="24"/>
        </w:rPr>
        <w:lastRenderedPageBreak/>
        <w:t>Supplementary Table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D43">
        <w:rPr>
          <w:rFonts w:ascii="Times New Roman" w:hAnsi="Times New Roman" w:cs="Times New Roman"/>
          <w:sz w:val="24"/>
          <w:szCs w:val="24"/>
        </w:rPr>
        <w:t>The sensitivity and specif</w:t>
      </w:r>
      <w:r>
        <w:rPr>
          <w:rFonts w:ascii="Times New Roman" w:hAnsi="Times New Roman" w:cs="Times New Roman"/>
          <w:sz w:val="24"/>
          <w:szCs w:val="24"/>
        </w:rPr>
        <w:t>ic</w:t>
      </w:r>
      <w:r w:rsidRPr="00002D43">
        <w:rPr>
          <w:rFonts w:ascii="Times New Roman" w:hAnsi="Times New Roman" w:cs="Times New Roman"/>
          <w:sz w:val="24"/>
          <w:szCs w:val="24"/>
        </w:rPr>
        <w:t>ity of postoperative ctDNA status for predicting RFS at 6-48 months</w:t>
      </w:r>
    </w:p>
    <w:p w14:paraId="3FC18B7D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6"/>
        <w:gridCol w:w="1460"/>
        <w:gridCol w:w="1415"/>
        <w:gridCol w:w="2404"/>
        <w:gridCol w:w="2262"/>
      </w:tblGrid>
      <w:tr w:rsidR="006D6CE2" w:rsidRPr="00C359A3" w14:paraId="654FE699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F10FF44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b/>
                <w:sz w:val="20"/>
                <w:szCs w:val="20"/>
              </w:rPr>
              <w:t>Months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A1DD122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4ECE1E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EA2A7D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b/>
                <w:sz w:val="20"/>
                <w:szCs w:val="20"/>
              </w:rPr>
              <w:t>Positive predictive value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10CDB90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b/>
                <w:sz w:val="20"/>
                <w:szCs w:val="20"/>
              </w:rPr>
              <w:t>Negative predictive value</w:t>
            </w:r>
          </w:p>
        </w:tc>
      </w:tr>
      <w:tr w:rsidR="006D6CE2" w:rsidRPr="00C359A3" w14:paraId="66503A05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54E59C5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9D6A5DE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60.0%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AA6248A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86.4%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D4BBBF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17.6%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6333A4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97.8%</w:t>
            </w:r>
          </w:p>
        </w:tc>
      </w:tr>
      <w:tr w:rsidR="006D6CE2" w:rsidRPr="00C359A3" w14:paraId="266AE195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ECEBC7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C2000B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56.3%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C9034B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91.3%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490034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52.9%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3DB7D8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92.3%</w:t>
            </w:r>
          </w:p>
        </w:tc>
      </w:tr>
      <w:tr w:rsidR="006D6CE2" w:rsidRPr="00C359A3" w14:paraId="593A8152" w14:textId="77777777" w:rsidTr="005364FC">
        <w:trPr>
          <w:trHeight w:val="34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5CE68B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0056566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52.2%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A0FBA1F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92.7%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863F65B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63.6%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EEB24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88.8%</w:t>
            </w:r>
          </w:p>
        </w:tc>
      </w:tr>
      <w:tr w:rsidR="006D6CE2" w:rsidRPr="00C359A3" w14:paraId="51E4FFF3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48008B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EDB6432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49.6%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19F947A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94.7%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20FDCA5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73.4%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59074FE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86.5%</w:t>
            </w:r>
          </w:p>
        </w:tc>
      </w:tr>
      <w:tr w:rsidR="006D6CE2" w:rsidRPr="00C359A3" w14:paraId="47B165A5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93BF8A6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CBEDD4E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51.8%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13CF3D7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95.9%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A637EB5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79.8%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600CC7B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86.5%</w:t>
            </w:r>
          </w:p>
        </w:tc>
      </w:tr>
      <w:tr w:rsidR="006D6CE2" w:rsidRPr="00C359A3" w14:paraId="05A7FBA7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B95586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B6D9C72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44.7%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717954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93.8%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EC5E8A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73.0%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97A58A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81.8%</w:t>
            </w:r>
          </w:p>
        </w:tc>
      </w:tr>
      <w:tr w:rsidR="006D6CE2" w:rsidRPr="00C359A3" w14:paraId="29AED575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86DE83F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B7383AA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44.7%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98EF53D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95.5%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C62EEE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78.8%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A73707B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82.1%</w:t>
            </w:r>
          </w:p>
        </w:tc>
      </w:tr>
      <w:tr w:rsidR="006D6CE2" w:rsidRPr="00C359A3" w14:paraId="4B87C4EA" w14:textId="77777777" w:rsidTr="005364FC">
        <w:trPr>
          <w:trHeight w:val="2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33FBAE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EF1074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44.7%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FB02752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92.3%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3E16568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68.7%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8FC20E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9A3">
              <w:rPr>
                <w:rFonts w:ascii="Times New Roman" w:hAnsi="Times New Roman" w:cs="Times New Roman"/>
                <w:sz w:val="20"/>
                <w:szCs w:val="20"/>
              </w:rPr>
              <w:t>81.6%</w:t>
            </w:r>
          </w:p>
        </w:tc>
      </w:tr>
    </w:tbl>
    <w:p w14:paraId="5250544F" w14:textId="77777777" w:rsidR="005364FC" w:rsidRDefault="005364FC" w:rsidP="006D6CE2">
      <w:pPr>
        <w:rPr>
          <w:rFonts w:ascii="Times New Roman" w:hAnsi="Times New Roman" w:cs="Times New Roman"/>
          <w:sz w:val="24"/>
          <w:szCs w:val="24"/>
        </w:rPr>
      </w:pPr>
    </w:p>
    <w:p w14:paraId="3878A64F" w14:textId="0A31C45F" w:rsidR="006D6CE2" w:rsidRPr="00002D43" w:rsidRDefault="005364FC" w:rsidP="006D6CE2">
      <w:pPr>
        <w:rPr>
          <w:rFonts w:ascii="Times New Roman" w:hAnsi="Times New Roman" w:cs="Times New Roman"/>
          <w:sz w:val="24"/>
          <w:szCs w:val="24"/>
        </w:rPr>
      </w:pPr>
      <w:r w:rsidRPr="005364FC">
        <w:rPr>
          <w:rFonts w:ascii="Times New Roman" w:hAnsi="Times New Roman" w:cs="Times New Roman"/>
          <w:sz w:val="24"/>
          <w:szCs w:val="24"/>
        </w:rPr>
        <w:t>ctDNA: circulating tumor DNA;</w:t>
      </w:r>
      <w:r>
        <w:rPr>
          <w:rFonts w:ascii="Times New Roman" w:hAnsi="Times New Roman" w:cs="Times New Roman"/>
          <w:sz w:val="24"/>
          <w:szCs w:val="24"/>
        </w:rPr>
        <w:t xml:space="preserve"> RFS: recurrence-free survival</w:t>
      </w:r>
    </w:p>
    <w:p w14:paraId="0790FCD2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603FA8C7" w14:textId="77777777" w:rsidR="006D6CE2" w:rsidRDefault="006D6CE2" w:rsidP="006D6CE2">
      <w:pPr>
        <w:rPr>
          <w:rFonts w:ascii="Times New Roman" w:hAnsi="Times New Roman" w:cs="Times New Roman"/>
          <w:sz w:val="24"/>
          <w:szCs w:val="24"/>
        </w:rPr>
      </w:pPr>
      <w:r w:rsidRPr="00122558">
        <w:rPr>
          <w:rFonts w:ascii="Times New Roman" w:hAnsi="Times New Roman" w:cs="Times New Roman"/>
          <w:b/>
          <w:sz w:val="24"/>
          <w:szCs w:val="24"/>
        </w:rPr>
        <w:t>Supplementary Table 3</w:t>
      </w:r>
      <w:r w:rsidRPr="00002D43">
        <w:rPr>
          <w:rFonts w:ascii="Times New Roman" w:hAnsi="Times New Roman" w:cs="Times New Roman"/>
          <w:sz w:val="24"/>
          <w:szCs w:val="24"/>
        </w:rPr>
        <w:t xml:space="preserve"> The sensitivity and specif</w:t>
      </w:r>
      <w:r>
        <w:rPr>
          <w:rFonts w:ascii="Times New Roman" w:hAnsi="Times New Roman" w:cs="Times New Roman"/>
          <w:sz w:val="24"/>
          <w:szCs w:val="24"/>
        </w:rPr>
        <w:t>ic</w:t>
      </w:r>
      <w:r w:rsidRPr="00002D43">
        <w:rPr>
          <w:rFonts w:ascii="Times New Roman" w:hAnsi="Times New Roman" w:cs="Times New Roman"/>
          <w:sz w:val="24"/>
          <w:szCs w:val="24"/>
        </w:rPr>
        <w:t>ity of the CTCP model for predicting RFS at 6-48 months</w:t>
      </w:r>
    </w:p>
    <w:p w14:paraId="40EFDE6B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6"/>
        <w:gridCol w:w="1276"/>
        <w:gridCol w:w="1417"/>
        <w:gridCol w:w="2268"/>
        <w:gridCol w:w="2410"/>
      </w:tblGrid>
      <w:tr w:rsidR="006D6CE2" w:rsidRPr="00C359A3" w14:paraId="1FB4F211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24371E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A3">
              <w:rPr>
                <w:rFonts w:ascii="Times New Roman" w:hAnsi="Times New Roman" w:cs="Times New Roman"/>
                <w:b/>
              </w:rPr>
              <w:t>Months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07663A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A3">
              <w:rPr>
                <w:rFonts w:ascii="Times New Roman" w:hAnsi="Times New Roman" w:cs="Times New Roman"/>
                <w:b/>
              </w:rPr>
              <w:t>Sensitivity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8DA778D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A3">
              <w:rPr>
                <w:rFonts w:ascii="Times New Roman" w:hAnsi="Times New Roman" w:cs="Times New Roman"/>
                <w:b/>
              </w:rPr>
              <w:t>Specificity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02953A8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A3">
              <w:rPr>
                <w:rFonts w:ascii="Times New Roman" w:hAnsi="Times New Roman" w:cs="Times New Roman"/>
                <w:b/>
              </w:rPr>
              <w:t>Positive predictive value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C7B428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A3">
              <w:rPr>
                <w:rFonts w:ascii="Times New Roman" w:hAnsi="Times New Roman" w:cs="Times New Roman"/>
                <w:b/>
              </w:rPr>
              <w:t>Negative predictive value</w:t>
            </w:r>
          </w:p>
        </w:tc>
      </w:tr>
      <w:tr w:rsidR="006D6CE2" w:rsidRPr="00C359A3" w14:paraId="70B293C1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BB73DBB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FC81AAE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100.0%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AB466D7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62.1%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5DA39F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FEDCBD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100.0%</w:t>
            </w:r>
          </w:p>
        </w:tc>
      </w:tr>
      <w:tr w:rsidR="006D6CE2" w:rsidRPr="00C359A3" w14:paraId="24B05035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DDB5558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265B8C2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87.5%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36DAF44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80.4%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1E96D7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43.8%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18423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97.4%</w:t>
            </w:r>
          </w:p>
        </w:tc>
      </w:tr>
      <w:tr w:rsidR="006D6CE2" w:rsidRPr="00C359A3" w14:paraId="603ED6A2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B01C524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DF4BF4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85.6%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15B18C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84.1%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ED177A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56.9%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4E8562E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96.0%</w:t>
            </w:r>
          </w:p>
        </w:tc>
      </w:tr>
      <w:tr w:rsidR="006D6CE2" w:rsidRPr="00C359A3" w14:paraId="096973DD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5BD0055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C2A3E8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87.5%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C16CBC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88.2%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193881A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68.4%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D910E2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96.0%</w:t>
            </w:r>
          </w:p>
        </w:tc>
      </w:tr>
      <w:tr w:rsidR="006D6CE2" w:rsidRPr="00C359A3" w14:paraId="5A449E52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D8EA86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4DE978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88.0%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A68B32E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89.2%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AEE1A7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71.6%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913738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96.0%</w:t>
            </w:r>
          </w:p>
        </w:tc>
      </w:tr>
      <w:tr w:rsidR="006D6CE2" w:rsidRPr="00C359A3" w14:paraId="16DCF236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57A8F2D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9D36D98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76.1%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F20153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85.4%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CD9E2BF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66.3%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DDCB371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90.4%</w:t>
            </w:r>
          </w:p>
        </w:tc>
      </w:tr>
      <w:tr w:rsidR="006D6CE2" w:rsidRPr="00C359A3" w14:paraId="7D469F28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544B458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7C76CB0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76.1%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8A151D0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81.8%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FCC630A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61.2%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F00659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90.1%</w:t>
            </w:r>
          </w:p>
        </w:tc>
      </w:tr>
      <w:tr w:rsidR="006D6CE2" w:rsidRPr="00C359A3" w14:paraId="61317204" w14:textId="77777777" w:rsidTr="00057025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954B60C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D8AF37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76.1%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0C6CE69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84.6%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5E96E87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65.1%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7422FD3" w14:textId="77777777" w:rsidR="006D6CE2" w:rsidRPr="00C359A3" w:rsidRDefault="006D6CE2" w:rsidP="00057025">
            <w:pPr>
              <w:jc w:val="center"/>
              <w:rPr>
                <w:rFonts w:ascii="Times New Roman" w:hAnsi="Times New Roman" w:cs="Times New Roman"/>
              </w:rPr>
            </w:pPr>
            <w:r w:rsidRPr="00C359A3">
              <w:rPr>
                <w:rFonts w:ascii="Times New Roman" w:hAnsi="Times New Roman" w:cs="Times New Roman"/>
              </w:rPr>
              <w:t>90.3%</w:t>
            </w:r>
          </w:p>
        </w:tc>
      </w:tr>
    </w:tbl>
    <w:p w14:paraId="053AC5BE" w14:textId="77777777" w:rsidR="006D6CE2" w:rsidRPr="00002D43" w:rsidRDefault="006D6CE2" w:rsidP="006D6CE2">
      <w:pPr>
        <w:rPr>
          <w:rFonts w:ascii="Times New Roman" w:hAnsi="Times New Roman" w:cs="Times New Roman"/>
          <w:sz w:val="24"/>
          <w:szCs w:val="24"/>
        </w:rPr>
      </w:pPr>
    </w:p>
    <w:p w14:paraId="39A475AD" w14:textId="116806DE" w:rsidR="006D6CE2" w:rsidRPr="005364FC" w:rsidRDefault="005364FC" w:rsidP="005364FC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5364FC">
        <w:rPr>
          <w:rFonts w:ascii="Times New Roman" w:hAnsi="Times New Roman" w:cs="Times New Roman" w:hint="eastAsia"/>
          <w:sz w:val="22"/>
        </w:rPr>
        <w:t>C</w:t>
      </w:r>
      <w:r w:rsidRPr="005364FC">
        <w:rPr>
          <w:rFonts w:ascii="Times New Roman" w:hAnsi="Times New Roman" w:cs="Times New Roman"/>
          <w:sz w:val="22"/>
        </w:rPr>
        <w:t xml:space="preserve">TCP: </w:t>
      </w:r>
      <w:r w:rsidRPr="005364FC">
        <w:rPr>
          <w:rFonts w:ascii="Times New Roman" w:hAnsi="Times New Roman" w:cs="Times New Roman"/>
          <w:b/>
          <w:sz w:val="22"/>
          <w:u w:val="single"/>
        </w:rPr>
        <w:t>ct</w:t>
      </w:r>
      <w:r w:rsidRPr="005364FC">
        <w:rPr>
          <w:rFonts w:ascii="Times New Roman" w:hAnsi="Times New Roman" w:cs="Times New Roman"/>
          <w:sz w:val="22"/>
        </w:rPr>
        <w:t xml:space="preserve">DNA and </w:t>
      </w:r>
      <w:r w:rsidRPr="005364FC">
        <w:rPr>
          <w:rFonts w:ascii="Times New Roman" w:hAnsi="Times New Roman" w:cs="Times New Roman"/>
          <w:b/>
          <w:sz w:val="22"/>
          <w:u w:val="single"/>
        </w:rPr>
        <w:t>c</w:t>
      </w:r>
      <w:r w:rsidRPr="005364FC">
        <w:rPr>
          <w:rFonts w:ascii="Times New Roman" w:hAnsi="Times New Roman" w:cs="Times New Roman"/>
          <w:sz w:val="22"/>
        </w:rPr>
        <w:t>linico</w:t>
      </w:r>
      <w:r w:rsidRPr="005364FC">
        <w:rPr>
          <w:rFonts w:ascii="Times New Roman" w:hAnsi="Times New Roman" w:cs="Times New Roman"/>
          <w:b/>
          <w:sz w:val="22"/>
          <w:u w:val="single"/>
        </w:rPr>
        <w:t>p</w:t>
      </w:r>
      <w:r w:rsidRPr="005364FC">
        <w:rPr>
          <w:rFonts w:ascii="Times New Roman" w:hAnsi="Times New Roman" w:cs="Times New Roman"/>
          <w:sz w:val="22"/>
        </w:rPr>
        <w:t>athological risk factors; RFS: recurrence-free survival; ctDNA: circulating tumor DNA;</w:t>
      </w:r>
    </w:p>
    <w:sectPr w:rsidR="006D6CE2" w:rsidRPr="00536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C4CF4" w14:textId="77777777" w:rsidR="00E320F3" w:rsidRDefault="00E320F3" w:rsidP="00BF5D2C">
      <w:r>
        <w:separator/>
      </w:r>
    </w:p>
  </w:endnote>
  <w:endnote w:type="continuationSeparator" w:id="0">
    <w:p w14:paraId="34C51851" w14:textId="77777777" w:rsidR="00E320F3" w:rsidRDefault="00E320F3" w:rsidP="00BF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3EE91" w14:textId="77777777" w:rsidR="00E320F3" w:rsidRDefault="00E320F3" w:rsidP="00BF5D2C">
      <w:r>
        <w:separator/>
      </w:r>
    </w:p>
  </w:footnote>
  <w:footnote w:type="continuationSeparator" w:id="0">
    <w:p w14:paraId="5AD9537A" w14:textId="77777777" w:rsidR="00E320F3" w:rsidRDefault="00E320F3" w:rsidP="00BF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A53D79"/>
    <w:multiLevelType w:val="hybridMultilevel"/>
    <w:tmpl w:val="3748249E"/>
    <w:lvl w:ilvl="0" w:tplc="9BA230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0NDI2srSwNDEGUko6SsGpxcWZ+XkgBaa1AEvSJNQ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a-JITC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B4BFB"/>
    <w:rsid w:val="00001EAB"/>
    <w:rsid w:val="000101D3"/>
    <w:rsid w:val="000122EB"/>
    <w:rsid w:val="00020A85"/>
    <w:rsid w:val="00031C27"/>
    <w:rsid w:val="00033890"/>
    <w:rsid w:val="0004329C"/>
    <w:rsid w:val="0004363D"/>
    <w:rsid w:val="00043B29"/>
    <w:rsid w:val="000473F8"/>
    <w:rsid w:val="000530D1"/>
    <w:rsid w:val="00054458"/>
    <w:rsid w:val="00056ECD"/>
    <w:rsid w:val="00057A15"/>
    <w:rsid w:val="00067932"/>
    <w:rsid w:val="00071B37"/>
    <w:rsid w:val="00073F36"/>
    <w:rsid w:val="00081AFB"/>
    <w:rsid w:val="00093BBD"/>
    <w:rsid w:val="000948EB"/>
    <w:rsid w:val="00096538"/>
    <w:rsid w:val="000A08D5"/>
    <w:rsid w:val="000A18D5"/>
    <w:rsid w:val="000B19B3"/>
    <w:rsid w:val="000B6EFE"/>
    <w:rsid w:val="000B76CF"/>
    <w:rsid w:val="000C3BE2"/>
    <w:rsid w:val="000C5FE1"/>
    <w:rsid w:val="000D0402"/>
    <w:rsid w:val="000E121B"/>
    <w:rsid w:val="000F17E7"/>
    <w:rsid w:val="00101E2A"/>
    <w:rsid w:val="00103020"/>
    <w:rsid w:val="0012555D"/>
    <w:rsid w:val="00126F65"/>
    <w:rsid w:val="00127C9E"/>
    <w:rsid w:val="00130AFA"/>
    <w:rsid w:val="001450EE"/>
    <w:rsid w:val="00156B3C"/>
    <w:rsid w:val="00157213"/>
    <w:rsid w:val="00162E69"/>
    <w:rsid w:val="00164DD7"/>
    <w:rsid w:val="00173893"/>
    <w:rsid w:val="0017604A"/>
    <w:rsid w:val="00177F27"/>
    <w:rsid w:val="00183647"/>
    <w:rsid w:val="0019177F"/>
    <w:rsid w:val="001A7088"/>
    <w:rsid w:val="001C0049"/>
    <w:rsid w:val="001C1FB4"/>
    <w:rsid w:val="001C3EF7"/>
    <w:rsid w:val="001E41D7"/>
    <w:rsid w:val="001F1826"/>
    <w:rsid w:val="00205C96"/>
    <w:rsid w:val="002310CE"/>
    <w:rsid w:val="00253512"/>
    <w:rsid w:val="00271C9A"/>
    <w:rsid w:val="0028077C"/>
    <w:rsid w:val="002A4B91"/>
    <w:rsid w:val="002A5227"/>
    <w:rsid w:val="002B2D3E"/>
    <w:rsid w:val="002B4F74"/>
    <w:rsid w:val="002B7D93"/>
    <w:rsid w:val="002C2ED3"/>
    <w:rsid w:val="002F4E5A"/>
    <w:rsid w:val="00300A6F"/>
    <w:rsid w:val="003069A9"/>
    <w:rsid w:val="00314685"/>
    <w:rsid w:val="00323A36"/>
    <w:rsid w:val="00331650"/>
    <w:rsid w:val="00341D66"/>
    <w:rsid w:val="00342D98"/>
    <w:rsid w:val="00343A67"/>
    <w:rsid w:val="003449B3"/>
    <w:rsid w:val="00344D3C"/>
    <w:rsid w:val="003525A4"/>
    <w:rsid w:val="00362A91"/>
    <w:rsid w:val="00372860"/>
    <w:rsid w:val="00372A5A"/>
    <w:rsid w:val="00374435"/>
    <w:rsid w:val="003814C3"/>
    <w:rsid w:val="003859A8"/>
    <w:rsid w:val="0039174E"/>
    <w:rsid w:val="00393499"/>
    <w:rsid w:val="00394DC7"/>
    <w:rsid w:val="0039709E"/>
    <w:rsid w:val="003A152E"/>
    <w:rsid w:val="003A5D1C"/>
    <w:rsid w:val="003B46AD"/>
    <w:rsid w:val="003C0BD1"/>
    <w:rsid w:val="003C7964"/>
    <w:rsid w:val="003E1011"/>
    <w:rsid w:val="003E4F65"/>
    <w:rsid w:val="003E6F3B"/>
    <w:rsid w:val="003F13C1"/>
    <w:rsid w:val="003F2B51"/>
    <w:rsid w:val="00400BD7"/>
    <w:rsid w:val="00421864"/>
    <w:rsid w:val="00427A2A"/>
    <w:rsid w:val="00431989"/>
    <w:rsid w:val="00441958"/>
    <w:rsid w:val="004640AD"/>
    <w:rsid w:val="00467DD2"/>
    <w:rsid w:val="00477EE1"/>
    <w:rsid w:val="004931BA"/>
    <w:rsid w:val="00494E6F"/>
    <w:rsid w:val="004950D7"/>
    <w:rsid w:val="00496F82"/>
    <w:rsid w:val="004A0427"/>
    <w:rsid w:val="004A23B8"/>
    <w:rsid w:val="004B3DDF"/>
    <w:rsid w:val="004B4BFB"/>
    <w:rsid w:val="004B505A"/>
    <w:rsid w:val="004B51E2"/>
    <w:rsid w:val="004C3290"/>
    <w:rsid w:val="004E1CDC"/>
    <w:rsid w:val="004E2BEB"/>
    <w:rsid w:val="004E54B4"/>
    <w:rsid w:val="004E61FE"/>
    <w:rsid w:val="00527726"/>
    <w:rsid w:val="00531FCE"/>
    <w:rsid w:val="00536200"/>
    <w:rsid w:val="005364FC"/>
    <w:rsid w:val="00540F95"/>
    <w:rsid w:val="00543956"/>
    <w:rsid w:val="00551C24"/>
    <w:rsid w:val="00552756"/>
    <w:rsid w:val="00552CBA"/>
    <w:rsid w:val="005573CC"/>
    <w:rsid w:val="0056081A"/>
    <w:rsid w:val="00566942"/>
    <w:rsid w:val="005674F0"/>
    <w:rsid w:val="005679CC"/>
    <w:rsid w:val="00567CB5"/>
    <w:rsid w:val="005818AF"/>
    <w:rsid w:val="00584DBC"/>
    <w:rsid w:val="005A0C26"/>
    <w:rsid w:val="005A1457"/>
    <w:rsid w:val="005A2F73"/>
    <w:rsid w:val="005A38E6"/>
    <w:rsid w:val="005C3F61"/>
    <w:rsid w:val="005E72B3"/>
    <w:rsid w:val="005F15A3"/>
    <w:rsid w:val="005F1A56"/>
    <w:rsid w:val="005F5A38"/>
    <w:rsid w:val="00602C48"/>
    <w:rsid w:val="00603AD5"/>
    <w:rsid w:val="006056CB"/>
    <w:rsid w:val="00614742"/>
    <w:rsid w:val="0062123B"/>
    <w:rsid w:val="00623E11"/>
    <w:rsid w:val="00654DF8"/>
    <w:rsid w:val="00660E52"/>
    <w:rsid w:val="00661DB5"/>
    <w:rsid w:val="00662F51"/>
    <w:rsid w:val="006817BF"/>
    <w:rsid w:val="00685567"/>
    <w:rsid w:val="006A5F9A"/>
    <w:rsid w:val="006A7E44"/>
    <w:rsid w:val="006B2626"/>
    <w:rsid w:val="006B4B5C"/>
    <w:rsid w:val="006D00D7"/>
    <w:rsid w:val="006D036D"/>
    <w:rsid w:val="006D571F"/>
    <w:rsid w:val="006D6C9C"/>
    <w:rsid w:val="006D6CE2"/>
    <w:rsid w:val="006E6A58"/>
    <w:rsid w:val="006F3D27"/>
    <w:rsid w:val="00721AF5"/>
    <w:rsid w:val="00723FB4"/>
    <w:rsid w:val="00740D2D"/>
    <w:rsid w:val="0075432B"/>
    <w:rsid w:val="00756A95"/>
    <w:rsid w:val="00772B3F"/>
    <w:rsid w:val="007849ED"/>
    <w:rsid w:val="00785BE7"/>
    <w:rsid w:val="00787DB8"/>
    <w:rsid w:val="00793822"/>
    <w:rsid w:val="007944BF"/>
    <w:rsid w:val="007A0474"/>
    <w:rsid w:val="007B1AD0"/>
    <w:rsid w:val="007B1BE3"/>
    <w:rsid w:val="007B1F3B"/>
    <w:rsid w:val="007B75F4"/>
    <w:rsid w:val="007C3D70"/>
    <w:rsid w:val="007C4B69"/>
    <w:rsid w:val="007C54A3"/>
    <w:rsid w:val="007D2C7B"/>
    <w:rsid w:val="007D5250"/>
    <w:rsid w:val="007F0887"/>
    <w:rsid w:val="00800121"/>
    <w:rsid w:val="00801DD7"/>
    <w:rsid w:val="00804A02"/>
    <w:rsid w:val="0081574C"/>
    <w:rsid w:val="00816844"/>
    <w:rsid w:val="00822CEE"/>
    <w:rsid w:val="0083253A"/>
    <w:rsid w:val="00836624"/>
    <w:rsid w:val="00840A2F"/>
    <w:rsid w:val="0084119B"/>
    <w:rsid w:val="00851141"/>
    <w:rsid w:val="00852FBA"/>
    <w:rsid w:val="00855A90"/>
    <w:rsid w:val="008657B9"/>
    <w:rsid w:val="00870C87"/>
    <w:rsid w:val="00872578"/>
    <w:rsid w:val="00880993"/>
    <w:rsid w:val="008A29E3"/>
    <w:rsid w:val="008A4812"/>
    <w:rsid w:val="008A5DEE"/>
    <w:rsid w:val="008A5E0B"/>
    <w:rsid w:val="008A6469"/>
    <w:rsid w:val="008B0DA1"/>
    <w:rsid w:val="008C172B"/>
    <w:rsid w:val="008C6210"/>
    <w:rsid w:val="008C79CB"/>
    <w:rsid w:val="008D6AB4"/>
    <w:rsid w:val="008E0745"/>
    <w:rsid w:val="008F1CB3"/>
    <w:rsid w:val="008F5E99"/>
    <w:rsid w:val="0091570E"/>
    <w:rsid w:val="00915EAD"/>
    <w:rsid w:val="00922DDA"/>
    <w:rsid w:val="00923CD2"/>
    <w:rsid w:val="0092400E"/>
    <w:rsid w:val="00925E85"/>
    <w:rsid w:val="009378EF"/>
    <w:rsid w:val="0094306B"/>
    <w:rsid w:val="0095213C"/>
    <w:rsid w:val="0095599C"/>
    <w:rsid w:val="00966803"/>
    <w:rsid w:val="00974A7A"/>
    <w:rsid w:val="0098177E"/>
    <w:rsid w:val="009866AA"/>
    <w:rsid w:val="00987A55"/>
    <w:rsid w:val="00997056"/>
    <w:rsid w:val="009A5EEC"/>
    <w:rsid w:val="009B022C"/>
    <w:rsid w:val="009B4D23"/>
    <w:rsid w:val="009C225D"/>
    <w:rsid w:val="009C7AA6"/>
    <w:rsid w:val="009D11C4"/>
    <w:rsid w:val="009D5946"/>
    <w:rsid w:val="009E12FD"/>
    <w:rsid w:val="009E6EF3"/>
    <w:rsid w:val="009F0069"/>
    <w:rsid w:val="009F1B49"/>
    <w:rsid w:val="009F5828"/>
    <w:rsid w:val="00A2401D"/>
    <w:rsid w:val="00A319EC"/>
    <w:rsid w:val="00A4005D"/>
    <w:rsid w:val="00A51938"/>
    <w:rsid w:val="00A572A1"/>
    <w:rsid w:val="00A60C53"/>
    <w:rsid w:val="00A63BC0"/>
    <w:rsid w:val="00A75A1F"/>
    <w:rsid w:val="00A76422"/>
    <w:rsid w:val="00A7799B"/>
    <w:rsid w:val="00A82DBE"/>
    <w:rsid w:val="00A921D0"/>
    <w:rsid w:val="00A939B1"/>
    <w:rsid w:val="00AA07A0"/>
    <w:rsid w:val="00AA142B"/>
    <w:rsid w:val="00AA3BE1"/>
    <w:rsid w:val="00AA3C91"/>
    <w:rsid w:val="00AA53A5"/>
    <w:rsid w:val="00AA5A21"/>
    <w:rsid w:val="00AA72D8"/>
    <w:rsid w:val="00AB608C"/>
    <w:rsid w:val="00AB6A31"/>
    <w:rsid w:val="00AC2F6D"/>
    <w:rsid w:val="00AC3999"/>
    <w:rsid w:val="00AC5ACD"/>
    <w:rsid w:val="00AD1C0E"/>
    <w:rsid w:val="00B04118"/>
    <w:rsid w:val="00B21213"/>
    <w:rsid w:val="00B2731E"/>
    <w:rsid w:val="00B3041E"/>
    <w:rsid w:val="00B30BD6"/>
    <w:rsid w:val="00B52ACD"/>
    <w:rsid w:val="00B8076E"/>
    <w:rsid w:val="00B85E6F"/>
    <w:rsid w:val="00B90C51"/>
    <w:rsid w:val="00BC1DD8"/>
    <w:rsid w:val="00BC74A7"/>
    <w:rsid w:val="00BE4FAE"/>
    <w:rsid w:val="00BF28BD"/>
    <w:rsid w:val="00BF5D2C"/>
    <w:rsid w:val="00C031F9"/>
    <w:rsid w:val="00C04F5D"/>
    <w:rsid w:val="00C10766"/>
    <w:rsid w:val="00C11CC9"/>
    <w:rsid w:val="00C149F5"/>
    <w:rsid w:val="00C2528B"/>
    <w:rsid w:val="00C254DC"/>
    <w:rsid w:val="00C2629A"/>
    <w:rsid w:val="00C33B3B"/>
    <w:rsid w:val="00C44582"/>
    <w:rsid w:val="00C46717"/>
    <w:rsid w:val="00C50C77"/>
    <w:rsid w:val="00C53CA8"/>
    <w:rsid w:val="00C5763A"/>
    <w:rsid w:val="00C6720C"/>
    <w:rsid w:val="00C74ED7"/>
    <w:rsid w:val="00C87BFB"/>
    <w:rsid w:val="00C92FE1"/>
    <w:rsid w:val="00CA0BBA"/>
    <w:rsid w:val="00CA1C2F"/>
    <w:rsid w:val="00CA562B"/>
    <w:rsid w:val="00CB15F8"/>
    <w:rsid w:val="00CB289E"/>
    <w:rsid w:val="00CB5CA3"/>
    <w:rsid w:val="00CB5DBC"/>
    <w:rsid w:val="00CD7D3E"/>
    <w:rsid w:val="00CE11E1"/>
    <w:rsid w:val="00CE1B53"/>
    <w:rsid w:val="00CE6E61"/>
    <w:rsid w:val="00CF7AC3"/>
    <w:rsid w:val="00D06677"/>
    <w:rsid w:val="00D11E1B"/>
    <w:rsid w:val="00D15EEC"/>
    <w:rsid w:val="00D16EAF"/>
    <w:rsid w:val="00D27F8D"/>
    <w:rsid w:val="00D36B81"/>
    <w:rsid w:val="00D43BE4"/>
    <w:rsid w:val="00D50054"/>
    <w:rsid w:val="00D60EF1"/>
    <w:rsid w:val="00D625B8"/>
    <w:rsid w:val="00D6739E"/>
    <w:rsid w:val="00D7377F"/>
    <w:rsid w:val="00D74430"/>
    <w:rsid w:val="00D97EE2"/>
    <w:rsid w:val="00DA2F57"/>
    <w:rsid w:val="00DB126C"/>
    <w:rsid w:val="00DB161A"/>
    <w:rsid w:val="00DC1D01"/>
    <w:rsid w:val="00DD1FEC"/>
    <w:rsid w:val="00DD37A0"/>
    <w:rsid w:val="00DD3C3E"/>
    <w:rsid w:val="00DD65A7"/>
    <w:rsid w:val="00DF4E0D"/>
    <w:rsid w:val="00DF6AE4"/>
    <w:rsid w:val="00E10D11"/>
    <w:rsid w:val="00E226B6"/>
    <w:rsid w:val="00E27753"/>
    <w:rsid w:val="00E32045"/>
    <w:rsid w:val="00E320F3"/>
    <w:rsid w:val="00E44081"/>
    <w:rsid w:val="00E5488C"/>
    <w:rsid w:val="00E5619B"/>
    <w:rsid w:val="00E6366F"/>
    <w:rsid w:val="00E64C6B"/>
    <w:rsid w:val="00E66E60"/>
    <w:rsid w:val="00E70712"/>
    <w:rsid w:val="00E7569B"/>
    <w:rsid w:val="00E758DC"/>
    <w:rsid w:val="00E90C68"/>
    <w:rsid w:val="00E94501"/>
    <w:rsid w:val="00E96C37"/>
    <w:rsid w:val="00EA2E1C"/>
    <w:rsid w:val="00EA38FF"/>
    <w:rsid w:val="00EB7DFC"/>
    <w:rsid w:val="00EC1CFE"/>
    <w:rsid w:val="00EC28F4"/>
    <w:rsid w:val="00EC2B6C"/>
    <w:rsid w:val="00EC40E8"/>
    <w:rsid w:val="00ED1537"/>
    <w:rsid w:val="00EE0B84"/>
    <w:rsid w:val="00EE37A5"/>
    <w:rsid w:val="00EE438D"/>
    <w:rsid w:val="00EE4ACD"/>
    <w:rsid w:val="00EE605C"/>
    <w:rsid w:val="00EF1B94"/>
    <w:rsid w:val="00F10D40"/>
    <w:rsid w:val="00F153F9"/>
    <w:rsid w:val="00F30F7E"/>
    <w:rsid w:val="00F42626"/>
    <w:rsid w:val="00F62EB3"/>
    <w:rsid w:val="00F77CFB"/>
    <w:rsid w:val="00F842D8"/>
    <w:rsid w:val="00F865E6"/>
    <w:rsid w:val="00F90104"/>
    <w:rsid w:val="00FA1910"/>
    <w:rsid w:val="00FB41A1"/>
    <w:rsid w:val="00FD14F2"/>
    <w:rsid w:val="00FD2746"/>
    <w:rsid w:val="00FD49EA"/>
    <w:rsid w:val="00FD603A"/>
    <w:rsid w:val="00FE39BA"/>
    <w:rsid w:val="00FE44A5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1A861B"/>
  <w15:docId w15:val="{D5298ECC-EE22-4C6E-9647-498DE5C4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D2C"/>
    <w:pPr>
      <w:widowControl w:val="0"/>
      <w:jc w:val="both"/>
    </w:pPr>
  </w:style>
  <w:style w:type="paragraph" w:styleId="1">
    <w:name w:val="heading 1"/>
    <w:basedOn w:val="a0"/>
    <w:next w:val="a0"/>
    <w:link w:val="1Char"/>
    <w:uiPriority w:val="9"/>
    <w:qFormat/>
    <w:rsid w:val="006817BF"/>
    <w:pPr>
      <w:keepNext/>
      <w:keepLines/>
      <w:spacing w:before="100" w:after="90" w:line="360" w:lineRule="auto"/>
      <w:outlineLvl w:val="0"/>
    </w:pPr>
    <w:rPr>
      <w:rFonts w:eastAsia="Times New Roman"/>
      <w:b/>
      <w:bCs/>
      <w:kern w:val="44"/>
      <w:sz w:val="2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5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5D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5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5D2C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BF5D2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1"/>
    <w:link w:val="EndNoteBibliographyTitle"/>
    <w:rsid w:val="00BF5D2C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BF5D2C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1"/>
    <w:link w:val="EndNoteBibliography"/>
    <w:rsid w:val="00BF5D2C"/>
    <w:rPr>
      <w:rFonts w:ascii="Calibri" w:hAnsi="Calibri" w:cs="Calibri"/>
      <w:noProof/>
      <w:sz w:val="20"/>
    </w:rPr>
  </w:style>
  <w:style w:type="character" w:styleId="a6">
    <w:name w:val="Hyperlink"/>
    <w:basedOn w:val="a1"/>
    <w:uiPriority w:val="99"/>
    <w:unhideWhenUsed/>
    <w:rsid w:val="00BF5D2C"/>
    <w:rPr>
      <w:color w:val="0563C1" w:themeColor="hyperlink"/>
      <w:u w:val="single"/>
    </w:rPr>
  </w:style>
  <w:style w:type="character" w:customStyle="1" w:styleId="1Char">
    <w:name w:val="标题 1 Char"/>
    <w:basedOn w:val="a1"/>
    <w:link w:val="1"/>
    <w:uiPriority w:val="9"/>
    <w:rsid w:val="006817BF"/>
    <w:rPr>
      <w:rFonts w:eastAsia="Times New Roman"/>
      <w:b/>
      <w:bCs/>
      <w:kern w:val="44"/>
      <w:sz w:val="24"/>
      <w:szCs w:val="44"/>
    </w:rPr>
  </w:style>
  <w:style w:type="paragraph" w:styleId="a7">
    <w:name w:val="Normal (Web)"/>
    <w:basedOn w:val="a"/>
    <w:uiPriority w:val="99"/>
    <w:semiHidden/>
    <w:unhideWhenUsed/>
    <w:rsid w:val="003B46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A7799B"/>
    <w:rPr>
      <w:sz w:val="18"/>
      <w:szCs w:val="18"/>
    </w:rPr>
  </w:style>
  <w:style w:type="character" w:customStyle="1" w:styleId="Char1">
    <w:name w:val="批注框文本 Char"/>
    <w:basedOn w:val="a1"/>
    <w:link w:val="a8"/>
    <w:uiPriority w:val="99"/>
    <w:semiHidden/>
    <w:rsid w:val="00A7799B"/>
    <w:rPr>
      <w:sz w:val="18"/>
      <w:szCs w:val="18"/>
    </w:rPr>
  </w:style>
  <w:style w:type="paragraph" w:styleId="a9">
    <w:name w:val="List Paragraph"/>
    <w:basedOn w:val="a"/>
    <w:uiPriority w:val="34"/>
    <w:qFormat/>
    <w:rsid w:val="000B76CF"/>
    <w:pPr>
      <w:ind w:firstLineChars="200" w:firstLine="420"/>
    </w:pPr>
  </w:style>
  <w:style w:type="paragraph" w:styleId="a0">
    <w:name w:val="No Spacing"/>
    <w:uiPriority w:val="1"/>
    <w:qFormat/>
    <w:rsid w:val="006817BF"/>
    <w:pPr>
      <w:widowControl w:val="0"/>
      <w:jc w:val="both"/>
    </w:pPr>
  </w:style>
  <w:style w:type="table" w:styleId="aa">
    <w:name w:val="Table Grid"/>
    <w:basedOn w:val="a2"/>
    <w:uiPriority w:val="39"/>
    <w:qFormat/>
    <w:rsid w:val="00A319EC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1"/>
    <w:uiPriority w:val="99"/>
    <w:semiHidden/>
    <w:unhideWhenUsed/>
    <w:rsid w:val="0095213C"/>
    <w:rPr>
      <w:sz w:val="21"/>
      <w:szCs w:val="21"/>
    </w:rPr>
  </w:style>
  <w:style w:type="paragraph" w:styleId="ac">
    <w:name w:val="annotation text"/>
    <w:basedOn w:val="a"/>
    <w:link w:val="Char2"/>
    <w:uiPriority w:val="99"/>
    <w:semiHidden/>
    <w:unhideWhenUsed/>
    <w:rsid w:val="0095213C"/>
    <w:pPr>
      <w:jc w:val="left"/>
    </w:pPr>
  </w:style>
  <w:style w:type="character" w:customStyle="1" w:styleId="Char2">
    <w:name w:val="批注文字 Char"/>
    <w:basedOn w:val="a1"/>
    <w:link w:val="ac"/>
    <w:uiPriority w:val="99"/>
    <w:semiHidden/>
    <w:rsid w:val="0095213C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95213C"/>
    <w:rPr>
      <w:b/>
      <w:bCs/>
    </w:rPr>
  </w:style>
  <w:style w:type="character" w:customStyle="1" w:styleId="Char3">
    <w:name w:val="批注主题 Char"/>
    <w:basedOn w:val="Char2"/>
    <w:link w:val="ad"/>
    <w:uiPriority w:val="99"/>
    <w:semiHidden/>
    <w:rsid w:val="00952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822A1-6353-4B72-85A0-44EE2E8F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6</Pages>
  <Words>688</Words>
  <Characters>4072</Characters>
  <Application>Microsoft Office Word</Application>
  <DocSecurity>0</DocSecurity>
  <Lines>101</Lines>
  <Paragraphs>47</Paragraphs>
  <ScaleCrop>false</ScaleCrop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蔡金萍</dc:creator>
  <cp:lastModifiedBy>蔡金萍</cp:lastModifiedBy>
  <cp:revision>156</cp:revision>
  <dcterms:created xsi:type="dcterms:W3CDTF">2021-07-11T13:32:00Z</dcterms:created>
  <dcterms:modified xsi:type="dcterms:W3CDTF">2022-10-13T14:02:00Z</dcterms:modified>
</cp:coreProperties>
</file>