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BA33" w14:textId="33F2C20E" w:rsidR="00BF439D" w:rsidRDefault="00BF439D" w:rsidP="00BF439D">
      <w:pPr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030B5F71" wp14:editId="1F8DC9B1">
            <wp:extent cx="5096698" cy="6858594"/>
            <wp:effectExtent l="0" t="0" r="8890" b="0"/>
            <wp:docPr id="1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698" cy="685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8D432" w14:textId="1D7F4DD7" w:rsidR="00BF439D" w:rsidRDefault="00BF439D" w:rsidP="00BF439D">
      <w:r w:rsidRPr="00AC5758">
        <w:rPr>
          <w:i/>
          <w:iCs/>
        </w:rPr>
        <w:t>S</w:t>
      </w:r>
      <w:r>
        <w:rPr>
          <w:i/>
          <w:iCs/>
        </w:rPr>
        <w:t>upplementary</w:t>
      </w:r>
      <w:r w:rsidRPr="00AC5758">
        <w:rPr>
          <w:i/>
          <w:iCs/>
        </w:rPr>
        <w:t xml:space="preserve"> Figure </w:t>
      </w:r>
      <w:r>
        <w:rPr>
          <w:i/>
          <w:iCs/>
        </w:rPr>
        <w:t>S</w:t>
      </w:r>
      <w:r w:rsidRPr="00AC5758">
        <w:rPr>
          <w:i/>
          <w:iCs/>
        </w:rPr>
        <w:t>1:</w:t>
      </w:r>
      <w:r>
        <w:t xml:space="preserve"> (a) The mean number of reads per library within each location. (b) Distribution for the percent of reads from each library with a taxonomic annotation. </w:t>
      </w:r>
    </w:p>
    <w:p w14:paraId="37D9EFF9" w14:textId="3ED7E625" w:rsidR="00BF439D" w:rsidRDefault="00BF439D" w:rsidP="00BF439D"/>
    <w:p w14:paraId="7BA4E63D" w14:textId="28CFBF6E" w:rsidR="00BF439D" w:rsidRDefault="00BF439D" w:rsidP="00BF439D">
      <w:r>
        <w:rPr>
          <w:noProof/>
        </w:rPr>
        <w:lastRenderedPageBreak/>
        <w:drawing>
          <wp:inline distT="0" distB="0" distL="0" distR="0" wp14:anchorId="44EFB8BA" wp14:editId="1391DABC">
            <wp:extent cx="5096698" cy="6858594"/>
            <wp:effectExtent l="0" t="0" r="8890" b="0"/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ox and whisker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698" cy="685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169B7" w14:textId="77777777" w:rsidR="00BF439D" w:rsidRDefault="00BF439D" w:rsidP="00BF439D">
      <w:r w:rsidRPr="00AC5758">
        <w:rPr>
          <w:i/>
          <w:iCs/>
        </w:rPr>
        <w:t>S</w:t>
      </w:r>
      <w:r>
        <w:rPr>
          <w:i/>
          <w:iCs/>
        </w:rPr>
        <w:t>upplementary</w:t>
      </w:r>
      <w:r w:rsidRPr="00AC5758">
        <w:rPr>
          <w:i/>
          <w:iCs/>
        </w:rPr>
        <w:t xml:space="preserve"> Figure </w:t>
      </w:r>
      <w:r>
        <w:rPr>
          <w:i/>
          <w:iCs/>
        </w:rPr>
        <w:t>S</w:t>
      </w:r>
      <w:r w:rsidRPr="00AC5758">
        <w:rPr>
          <w:i/>
          <w:iCs/>
        </w:rPr>
        <w:t>2:</w:t>
      </w:r>
      <w:r>
        <w:t xml:space="preserve"> Taxonomic microbial diversity classified to the “Family’ level calculated as (a) richness, and (b) evenness.</w:t>
      </w:r>
    </w:p>
    <w:p w14:paraId="090EA837" w14:textId="77777777" w:rsidR="000F0309" w:rsidRDefault="00000000"/>
    <w:sectPr w:rsidR="000F03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39D"/>
    <w:rsid w:val="004400E5"/>
    <w:rsid w:val="00500A6E"/>
    <w:rsid w:val="00BF439D"/>
    <w:rsid w:val="00E4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D50C8"/>
  <w15:chartTrackingRefBased/>
  <w15:docId w15:val="{0575884F-9DEF-4946-B389-3BD6E3F7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3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Doane</dc:creator>
  <cp:keywords/>
  <dc:description/>
  <cp:lastModifiedBy>Michael Doane</cp:lastModifiedBy>
  <cp:revision>1</cp:revision>
  <dcterms:created xsi:type="dcterms:W3CDTF">2022-10-19T22:57:00Z</dcterms:created>
  <dcterms:modified xsi:type="dcterms:W3CDTF">2022-10-19T22:59:00Z</dcterms:modified>
</cp:coreProperties>
</file>