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tiff" ContentType="image/tiff"/>
  <Default Extension="ti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6C03" w:rsidRDefault="000C1C57">
      <w:pPr>
        <w:spacing w:line="480" w:lineRule="auto"/>
        <w:rPr>
          <w:b/>
          <w:sz w:val="22"/>
        </w:rPr>
      </w:pPr>
      <w:r w:rsidRPr="000C1C57">
        <w:rPr>
          <w:b/>
          <w:sz w:val="22"/>
        </w:rPr>
        <w:t>Supplementary Figures</w:t>
      </w:r>
    </w:p>
    <w:p w:rsidR="000C1C57" w:rsidRDefault="007F5D98">
      <w:pPr>
        <w:spacing w:line="480" w:lineRule="auto"/>
        <w:rPr>
          <w:b/>
          <w:sz w:val="22"/>
        </w:rPr>
      </w:pPr>
      <w:r w:rsidRPr="007F5D98">
        <w:rPr>
          <w:noProof/>
        </w:rPr>
        <w:drawing>
          <wp:inline distT="0" distB="0" distL="0" distR="0">
            <wp:extent cx="5274310" cy="2554588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554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415E" w:rsidRDefault="007F5D98" w:rsidP="0029415E">
      <w:pPr>
        <w:spacing w:line="480" w:lineRule="auto"/>
        <w:rPr>
          <w:sz w:val="22"/>
        </w:rPr>
      </w:pPr>
      <w:r w:rsidRPr="002520B1">
        <w:rPr>
          <w:b/>
          <w:sz w:val="22"/>
        </w:rPr>
        <w:t>Supplementary Figure 1. The mRNA expression of HCC-related genes (</w:t>
      </w:r>
      <w:proofErr w:type="spellStart"/>
      <w:proofErr w:type="gramStart"/>
      <w:r w:rsidRPr="002520B1">
        <w:rPr>
          <w:b/>
          <w:i/>
          <w:iCs/>
          <w:sz w:val="22"/>
        </w:rPr>
        <w:t>Afp</w:t>
      </w:r>
      <w:proofErr w:type="spellEnd"/>
      <w:proofErr w:type="gramEnd"/>
      <w:r w:rsidRPr="002520B1">
        <w:rPr>
          <w:b/>
          <w:sz w:val="22"/>
        </w:rPr>
        <w:t xml:space="preserve">, </w:t>
      </w:r>
      <w:r w:rsidRPr="002520B1">
        <w:rPr>
          <w:b/>
          <w:i/>
          <w:iCs/>
          <w:sz w:val="22"/>
        </w:rPr>
        <w:t>Gpc3</w:t>
      </w:r>
      <w:r w:rsidRPr="002520B1">
        <w:rPr>
          <w:b/>
          <w:sz w:val="22"/>
        </w:rPr>
        <w:t xml:space="preserve"> and </w:t>
      </w:r>
      <w:r w:rsidRPr="002520B1">
        <w:rPr>
          <w:b/>
          <w:i/>
          <w:iCs/>
          <w:sz w:val="22"/>
        </w:rPr>
        <w:t>Prom1</w:t>
      </w:r>
      <w:r w:rsidRPr="002520B1">
        <w:rPr>
          <w:b/>
          <w:sz w:val="22"/>
        </w:rPr>
        <w:t>) and cell proliferation-associated genes (</w:t>
      </w:r>
      <w:r w:rsidRPr="002520B1">
        <w:rPr>
          <w:b/>
          <w:i/>
          <w:iCs/>
          <w:sz w:val="22"/>
        </w:rPr>
        <w:t>Ccnb1</w:t>
      </w:r>
      <w:r w:rsidRPr="002520B1">
        <w:rPr>
          <w:b/>
          <w:sz w:val="22"/>
        </w:rPr>
        <w:t xml:space="preserve">, </w:t>
      </w:r>
      <w:r w:rsidRPr="002520B1">
        <w:rPr>
          <w:b/>
          <w:i/>
          <w:iCs/>
          <w:sz w:val="22"/>
        </w:rPr>
        <w:t>Ccne1</w:t>
      </w:r>
      <w:r w:rsidRPr="002520B1">
        <w:rPr>
          <w:b/>
          <w:sz w:val="22"/>
        </w:rPr>
        <w:t xml:space="preserve">, </w:t>
      </w:r>
      <w:r w:rsidRPr="002520B1">
        <w:rPr>
          <w:b/>
          <w:i/>
          <w:iCs/>
          <w:sz w:val="22"/>
        </w:rPr>
        <w:t>Cdk6</w:t>
      </w:r>
      <w:r w:rsidRPr="002520B1">
        <w:rPr>
          <w:b/>
          <w:sz w:val="22"/>
        </w:rPr>
        <w:t xml:space="preserve">, </w:t>
      </w:r>
      <w:r w:rsidRPr="002520B1">
        <w:rPr>
          <w:b/>
          <w:i/>
          <w:iCs/>
          <w:sz w:val="22"/>
        </w:rPr>
        <w:t>Bub1</w:t>
      </w:r>
      <w:r w:rsidRPr="002520B1">
        <w:rPr>
          <w:b/>
          <w:sz w:val="22"/>
        </w:rPr>
        <w:t xml:space="preserve"> and </w:t>
      </w:r>
      <w:r w:rsidRPr="002520B1">
        <w:rPr>
          <w:b/>
          <w:i/>
          <w:iCs/>
          <w:sz w:val="22"/>
        </w:rPr>
        <w:t>Mki67</w:t>
      </w:r>
      <w:r w:rsidRPr="002520B1">
        <w:rPr>
          <w:b/>
          <w:sz w:val="22"/>
        </w:rPr>
        <w:t>) in normal liver and c-MET/sgp53 tumors.</w:t>
      </w:r>
      <w:r w:rsidR="00683A0D" w:rsidRPr="002520B1">
        <w:rPr>
          <w:b/>
          <w:sz w:val="22"/>
        </w:rPr>
        <w:t xml:space="preserve"> </w:t>
      </w:r>
      <w:r w:rsidR="00082C88" w:rsidRPr="00082C88">
        <w:rPr>
          <w:sz w:val="22"/>
        </w:rPr>
        <w:t>At least 3 mice in each group were assayed. Data are shown as mean ± S</w:t>
      </w:r>
      <w:r w:rsidR="00082C88">
        <w:rPr>
          <w:sz w:val="22"/>
        </w:rPr>
        <w:t xml:space="preserve">D. </w:t>
      </w:r>
      <w:r w:rsidR="00082C88" w:rsidRPr="00082C88">
        <w:rPr>
          <w:sz w:val="22"/>
        </w:rPr>
        <w:t>Welch’s t test</w:t>
      </w:r>
      <w:r w:rsidR="00683A0D" w:rsidRPr="00683A0D">
        <w:rPr>
          <w:sz w:val="22"/>
        </w:rPr>
        <w:t xml:space="preserve">: </w:t>
      </w:r>
      <w:r w:rsidR="00082C88">
        <w:rPr>
          <w:sz w:val="22"/>
        </w:rPr>
        <w:t>**</w:t>
      </w:r>
      <w:r w:rsidR="00082C88" w:rsidRPr="00082C88">
        <w:rPr>
          <w:i/>
          <w:sz w:val="22"/>
        </w:rPr>
        <w:t>P</w:t>
      </w:r>
      <w:r w:rsidR="00082C88">
        <w:rPr>
          <w:sz w:val="22"/>
        </w:rPr>
        <w:t xml:space="preserve"> &lt; 0.0</w:t>
      </w:r>
      <w:r w:rsidR="00082C88" w:rsidRPr="00683A0D">
        <w:rPr>
          <w:sz w:val="22"/>
        </w:rPr>
        <w:t>1</w:t>
      </w:r>
      <w:r w:rsidR="00082C88">
        <w:rPr>
          <w:sz w:val="22"/>
        </w:rPr>
        <w:t>, ***</w:t>
      </w:r>
      <w:r w:rsidR="00683A0D" w:rsidRPr="00082C88">
        <w:rPr>
          <w:i/>
          <w:sz w:val="22"/>
        </w:rPr>
        <w:t>P</w:t>
      </w:r>
      <w:r w:rsidR="00683A0D" w:rsidRPr="00683A0D">
        <w:rPr>
          <w:sz w:val="22"/>
        </w:rPr>
        <w:t xml:space="preserve"> &lt; 0.001</w:t>
      </w:r>
      <w:r w:rsidR="00082C88">
        <w:rPr>
          <w:sz w:val="22"/>
        </w:rPr>
        <w:t>, ****</w:t>
      </w:r>
      <w:r w:rsidR="00082C88" w:rsidRPr="00082C88">
        <w:rPr>
          <w:i/>
          <w:sz w:val="22"/>
        </w:rPr>
        <w:t>P</w:t>
      </w:r>
      <w:r w:rsidR="00082C88" w:rsidRPr="00683A0D">
        <w:rPr>
          <w:sz w:val="22"/>
        </w:rPr>
        <w:t xml:space="preserve"> &lt; 0.00</w:t>
      </w:r>
      <w:r w:rsidR="00082C88">
        <w:rPr>
          <w:sz w:val="22"/>
        </w:rPr>
        <w:t>0</w:t>
      </w:r>
      <w:r w:rsidR="00082C88" w:rsidRPr="00683A0D">
        <w:rPr>
          <w:sz w:val="22"/>
        </w:rPr>
        <w:t>1</w:t>
      </w:r>
      <w:r w:rsidR="0029415E">
        <w:rPr>
          <w:sz w:val="22"/>
        </w:rPr>
        <w:t>.</w:t>
      </w:r>
      <w:r w:rsidR="0029415E">
        <w:rPr>
          <w:sz w:val="22"/>
        </w:rPr>
        <w:br w:type="page"/>
      </w:r>
    </w:p>
    <w:p w:rsidR="0029415E" w:rsidRDefault="0029415E" w:rsidP="0029415E">
      <w:pPr>
        <w:spacing w:line="480" w:lineRule="auto"/>
        <w:rPr>
          <w:sz w:val="22"/>
        </w:rPr>
      </w:pPr>
    </w:p>
    <w:p w:rsidR="007F5D98" w:rsidRPr="007F5D98" w:rsidRDefault="0056796B" w:rsidP="00912776">
      <w:pPr>
        <w:spacing w:line="480" w:lineRule="auto"/>
        <w:jc w:val="center"/>
        <w:rPr>
          <w:sz w:val="22"/>
        </w:rPr>
      </w:pPr>
      <w:r w:rsidRPr="0056796B">
        <w:rPr>
          <w:noProof/>
          <w:sz w:val="22"/>
        </w:rPr>
        <w:drawing>
          <wp:inline distT="0" distB="0" distL="0" distR="0">
            <wp:extent cx="5274310" cy="2020807"/>
            <wp:effectExtent l="0" t="0" r="2540" b="0"/>
            <wp:docPr id="2" name="图片 2" descr="C:\D盘\医学\工作\博士课题\Project\met sgP53\manuscript\submission\S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盘\医学\工作\博士课题\Project\met sgP53\manuscript\submission\S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020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273F" w:rsidRDefault="004A273F" w:rsidP="004A273F">
      <w:pPr>
        <w:spacing w:line="480" w:lineRule="auto"/>
        <w:rPr>
          <w:sz w:val="22"/>
        </w:rPr>
      </w:pPr>
      <w:r w:rsidRPr="002520B1">
        <w:rPr>
          <w:b/>
          <w:sz w:val="22"/>
        </w:rPr>
        <w:t>Supplementary Figure 2. Representative gross images, H&amp;E staining, and p-ERK staining in tumor lesions from a c-MET/sgp53 mouse liver.</w:t>
      </w:r>
      <w:r w:rsidRPr="004A273F">
        <w:rPr>
          <w:sz w:val="22"/>
        </w:rPr>
        <w:t xml:space="preserve"> </w:t>
      </w:r>
      <w:r w:rsidR="00912776">
        <w:rPr>
          <w:sz w:val="22"/>
        </w:rPr>
        <w:t>P</w:t>
      </w:r>
      <w:r w:rsidR="00912776" w:rsidRPr="003F68E8">
        <w:rPr>
          <w:sz w:val="22"/>
        </w:rPr>
        <w:t>lasmids</w:t>
      </w:r>
      <w:r w:rsidR="00912776">
        <w:rPr>
          <w:sz w:val="22"/>
        </w:rPr>
        <w:t xml:space="preserve"> injection dose: </w:t>
      </w:r>
      <w:r w:rsidR="00912776" w:rsidRPr="003F68E8">
        <w:rPr>
          <w:sz w:val="22"/>
        </w:rPr>
        <w:t xml:space="preserve">20μg </w:t>
      </w:r>
      <w:r w:rsidR="00912776" w:rsidRPr="00912776">
        <w:rPr>
          <w:sz w:val="22"/>
        </w:rPr>
        <w:t>pT3-EF1α-c-MET</w:t>
      </w:r>
      <w:r w:rsidR="00912776">
        <w:rPr>
          <w:sz w:val="22"/>
        </w:rPr>
        <w:t>,</w:t>
      </w:r>
      <w:r w:rsidR="00912776" w:rsidRPr="003F68E8">
        <w:rPr>
          <w:sz w:val="22"/>
        </w:rPr>
        <w:t xml:space="preserve"> 20μg pX330-sgp53 </w:t>
      </w:r>
      <w:r w:rsidR="00912776">
        <w:rPr>
          <w:sz w:val="22"/>
        </w:rPr>
        <w:t>and</w:t>
      </w:r>
      <w:r w:rsidR="00912776" w:rsidRPr="003F68E8">
        <w:rPr>
          <w:sz w:val="22"/>
        </w:rPr>
        <w:t xml:space="preserve"> 0.8μg </w:t>
      </w:r>
      <w:proofErr w:type="spellStart"/>
      <w:r w:rsidR="00912776" w:rsidRPr="003F68E8">
        <w:rPr>
          <w:sz w:val="22"/>
        </w:rPr>
        <w:t>pCMV</w:t>
      </w:r>
      <w:proofErr w:type="spellEnd"/>
      <w:r w:rsidR="00912776" w:rsidRPr="003F68E8">
        <w:rPr>
          <w:sz w:val="22"/>
        </w:rPr>
        <w:t>/SB</w:t>
      </w:r>
      <w:r w:rsidR="00912776">
        <w:rPr>
          <w:sz w:val="22"/>
        </w:rPr>
        <w:t xml:space="preserve">; </w:t>
      </w:r>
      <w:r w:rsidRPr="004A273F">
        <w:rPr>
          <w:sz w:val="22"/>
        </w:rPr>
        <w:t>Scale bar</w:t>
      </w:r>
      <w:r w:rsidR="002520B1">
        <w:rPr>
          <w:sz w:val="22"/>
        </w:rPr>
        <w:t xml:space="preserve"> =</w:t>
      </w:r>
      <w:r w:rsidRPr="004A273F">
        <w:rPr>
          <w:sz w:val="22"/>
        </w:rPr>
        <w:t xml:space="preserve"> 200 </w:t>
      </w:r>
      <w:proofErr w:type="spellStart"/>
      <w:r w:rsidRPr="004A273F">
        <w:rPr>
          <w:sz w:val="22"/>
        </w:rPr>
        <w:t>μm</w:t>
      </w:r>
      <w:proofErr w:type="spellEnd"/>
      <w:r w:rsidRPr="004A273F">
        <w:rPr>
          <w:sz w:val="22"/>
        </w:rPr>
        <w:t>.</w:t>
      </w:r>
    </w:p>
    <w:p w:rsidR="007F5D98" w:rsidRDefault="004A273F" w:rsidP="0056796B">
      <w:pPr>
        <w:widowControl/>
        <w:jc w:val="center"/>
        <w:rPr>
          <w:sz w:val="22"/>
        </w:rPr>
      </w:pPr>
      <w:r>
        <w:rPr>
          <w:sz w:val="22"/>
        </w:rPr>
        <w:br w:type="page"/>
      </w:r>
      <w:r w:rsidR="0056796B" w:rsidRPr="0056796B">
        <w:rPr>
          <w:noProof/>
          <w:sz w:val="22"/>
        </w:rPr>
        <w:lastRenderedPageBreak/>
        <w:drawing>
          <wp:inline distT="0" distB="0" distL="0" distR="0">
            <wp:extent cx="5092784" cy="4743111"/>
            <wp:effectExtent l="0" t="0" r="0" b="635"/>
            <wp:docPr id="4" name="图片 4" descr="C:\D盘\医学\工作\博士课题\Project\met sgP53\manuscript\submission\S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盘\医学\工作\博士课题\Project\met sgP53\manuscript\submission\S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3450" cy="4743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273F" w:rsidRPr="004A273F" w:rsidRDefault="004A273F" w:rsidP="004A273F">
      <w:pPr>
        <w:spacing w:line="480" w:lineRule="auto"/>
        <w:rPr>
          <w:sz w:val="22"/>
        </w:rPr>
      </w:pPr>
      <w:r w:rsidRPr="002520B1">
        <w:rPr>
          <w:b/>
          <w:sz w:val="22"/>
        </w:rPr>
        <w:t xml:space="preserve">Supplementary Figure 3. Genomic sequencing and validation of </w:t>
      </w:r>
      <w:r w:rsidRPr="002520B1">
        <w:rPr>
          <w:b/>
          <w:i/>
          <w:iCs/>
          <w:sz w:val="22"/>
        </w:rPr>
        <w:t>Trp53</w:t>
      </w:r>
      <w:r w:rsidRPr="002520B1">
        <w:rPr>
          <w:b/>
          <w:sz w:val="22"/>
        </w:rPr>
        <w:t xml:space="preserve"> deletion in mouse HCCs.</w:t>
      </w:r>
      <w:r>
        <w:rPr>
          <w:sz w:val="22"/>
        </w:rPr>
        <w:t xml:space="preserve"> </w:t>
      </w:r>
      <w:r w:rsidRPr="004A273F">
        <w:rPr>
          <w:sz w:val="22"/>
        </w:rPr>
        <w:t xml:space="preserve">(A) The Sanger sequencing results from different clones with sgp53 induced mutation from mouse tumor nodules, confirming the nucleotide deletions of </w:t>
      </w:r>
      <w:r w:rsidRPr="004A273F">
        <w:rPr>
          <w:i/>
          <w:iCs/>
          <w:sz w:val="22"/>
        </w:rPr>
        <w:t>Trp53</w:t>
      </w:r>
      <w:r w:rsidRPr="004A273F">
        <w:rPr>
          <w:sz w:val="22"/>
        </w:rPr>
        <w:t xml:space="preserve"> on its genomic locus. (B) Original wild-type mouse </w:t>
      </w:r>
      <w:r w:rsidRPr="004A273F">
        <w:rPr>
          <w:i/>
          <w:iCs/>
          <w:sz w:val="22"/>
        </w:rPr>
        <w:t>Trp53</w:t>
      </w:r>
      <w:r w:rsidRPr="004A273F">
        <w:rPr>
          <w:sz w:val="22"/>
        </w:rPr>
        <w:t xml:space="preserve"> alleles and one of the representative nucleotide deletions of </w:t>
      </w:r>
      <w:r w:rsidRPr="004A273F">
        <w:rPr>
          <w:i/>
          <w:iCs/>
          <w:sz w:val="22"/>
        </w:rPr>
        <w:t xml:space="preserve">Trp53 </w:t>
      </w:r>
      <w:r w:rsidRPr="004A273F">
        <w:rPr>
          <w:sz w:val="22"/>
        </w:rPr>
        <w:t>caused by sgp53.</w:t>
      </w:r>
    </w:p>
    <w:p w:rsidR="004A273F" w:rsidRDefault="004A273F" w:rsidP="002520B1">
      <w:pPr>
        <w:widowControl/>
        <w:jc w:val="left"/>
        <w:rPr>
          <w:sz w:val="22"/>
        </w:rPr>
      </w:pPr>
      <w:r>
        <w:rPr>
          <w:sz w:val="22"/>
        </w:rPr>
        <w:br w:type="page"/>
      </w:r>
    </w:p>
    <w:p w:rsidR="000B2278" w:rsidRDefault="00A12535" w:rsidP="0068316A">
      <w:pPr>
        <w:widowControl/>
        <w:jc w:val="center"/>
        <w:rPr>
          <w:sz w:val="22"/>
        </w:rPr>
      </w:pPr>
      <w:r w:rsidRPr="00A12535">
        <w:rPr>
          <w:noProof/>
          <w:sz w:val="22"/>
        </w:rPr>
        <w:lastRenderedPageBreak/>
        <w:drawing>
          <wp:inline distT="0" distB="0" distL="0" distR="0">
            <wp:extent cx="5274310" cy="5221672"/>
            <wp:effectExtent l="0" t="0" r="2540" b="0"/>
            <wp:docPr id="3" name="图片 3" descr="C:\D盘\医学\工作\博士课题\Project\met sgP53\manuscript\submission\S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盘\医学\工作\博士课题\Project\met sgP53\manuscript\submission\S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21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2178" w:rsidRDefault="002520B1" w:rsidP="002520B1">
      <w:pPr>
        <w:widowControl/>
        <w:spacing w:line="480" w:lineRule="auto"/>
        <w:rPr>
          <w:sz w:val="22"/>
        </w:rPr>
      </w:pPr>
      <w:r w:rsidRPr="002520B1">
        <w:rPr>
          <w:b/>
          <w:sz w:val="22"/>
        </w:rPr>
        <w:t xml:space="preserve">Supplementary Figure 4. The details of KEGG pathway analysis of up-regulated DEGs in the c-MET/sgp53 HCCs. </w:t>
      </w:r>
      <w:r w:rsidRPr="002520B1">
        <w:rPr>
          <w:sz w:val="22"/>
        </w:rPr>
        <w:t>(A) Numbers of overlapping up-regulated DEGs in c-MET/sgp53 HCC and c-MET-high/</w:t>
      </w:r>
      <w:r w:rsidRPr="002520B1">
        <w:rPr>
          <w:i/>
          <w:iCs/>
          <w:sz w:val="22"/>
        </w:rPr>
        <w:t>TP53</w:t>
      </w:r>
      <w:r w:rsidRPr="002520B1">
        <w:rPr>
          <w:sz w:val="22"/>
        </w:rPr>
        <w:t>-null human HCC. (B) KEGG analysis of up-regulated genes in the c-MET/sgp53 HCCs as compared to normal livers. (C) KEGG analysis of overlapping up-regulated DEGs in c-MET/sgp53 HCCs and c-MET-high/</w:t>
      </w:r>
      <w:r w:rsidRPr="002520B1">
        <w:rPr>
          <w:i/>
          <w:iCs/>
          <w:sz w:val="22"/>
        </w:rPr>
        <w:t>TP53</w:t>
      </w:r>
      <w:r w:rsidRPr="002520B1">
        <w:rPr>
          <w:sz w:val="22"/>
        </w:rPr>
        <w:t>-null human HCCs. NL, normal livers; ST, surrounding tissues; DEG, differentially expressed genes. (This figure is related</w:t>
      </w:r>
      <w:r>
        <w:rPr>
          <w:sz w:val="22"/>
        </w:rPr>
        <w:t xml:space="preserve"> </w:t>
      </w:r>
      <w:r w:rsidRPr="002520B1">
        <w:rPr>
          <w:sz w:val="22"/>
        </w:rPr>
        <w:t xml:space="preserve">to Figure </w:t>
      </w:r>
      <w:r>
        <w:rPr>
          <w:sz w:val="22"/>
        </w:rPr>
        <w:t>3B and C</w:t>
      </w:r>
      <w:r w:rsidRPr="002520B1">
        <w:rPr>
          <w:sz w:val="22"/>
        </w:rPr>
        <w:t>)</w:t>
      </w:r>
      <w:r>
        <w:rPr>
          <w:sz w:val="22"/>
        </w:rPr>
        <w:t>.</w:t>
      </w:r>
    </w:p>
    <w:p w:rsidR="007A2178" w:rsidRDefault="007A2178">
      <w:pPr>
        <w:widowControl/>
        <w:jc w:val="left"/>
        <w:rPr>
          <w:sz w:val="22"/>
        </w:rPr>
      </w:pPr>
      <w:r>
        <w:rPr>
          <w:sz w:val="22"/>
        </w:rPr>
        <w:br w:type="page"/>
      </w:r>
    </w:p>
    <w:p w:rsidR="002520B1" w:rsidRPr="002520B1" w:rsidRDefault="007A2178" w:rsidP="007A2178">
      <w:pPr>
        <w:widowControl/>
        <w:spacing w:line="480" w:lineRule="auto"/>
        <w:ind w:firstLineChars="650" w:firstLine="1430"/>
        <w:rPr>
          <w:sz w:val="22"/>
        </w:rPr>
      </w:pPr>
      <w:r w:rsidRPr="007A2178">
        <w:rPr>
          <w:noProof/>
          <w:sz w:val="22"/>
        </w:rPr>
        <w:lastRenderedPageBreak/>
        <w:drawing>
          <wp:inline distT="0" distB="0" distL="0" distR="0" wp14:anchorId="7CFE3FCB" wp14:editId="2DE73BA8">
            <wp:extent cx="3505200" cy="3505200"/>
            <wp:effectExtent l="0" t="0" r="0" b="0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520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2178" w:rsidRPr="007A2178" w:rsidRDefault="007A2178" w:rsidP="007A2178">
      <w:pPr>
        <w:widowControl/>
        <w:spacing w:line="480" w:lineRule="auto"/>
        <w:jc w:val="left"/>
        <w:rPr>
          <w:b/>
          <w:sz w:val="22"/>
        </w:rPr>
      </w:pPr>
      <w:r w:rsidRPr="007A2178">
        <w:rPr>
          <w:b/>
          <w:sz w:val="22"/>
        </w:rPr>
        <w:t xml:space="preserve">Supplementary Figure 5. </w:t>
      </w:r>
      <w:proofErr w:type="spellStart"/>
      <w:r w:rsidRPr="007A2178">
        <w:rPr>
          <w:b/>
          <w:sz w:val="22"/>
        </w:rPr>
        <w:t>Heatmap</w:t>
      </w:r>
      <w:proofErr w:type="spellEnd"/>
      <w:r w:rsidRPr="007A2178">
        <w:rPr>
          <w:b/>
          <w:sz w:val="22"/>
        </w:rPr>
        <w:t xml:space="preserve"> of MAPK pathway genes in c-MET/sgp53 mouse HCC vs normal liver.</w:t>
      </w:r>
    </w:p>
    <w:p w:rsidR="007A2178" w:rsidRDefault="007A2178">
      <w:pPr>
        <w:widowControl/>
        <w:jc w:val="left"/>
        <w:rPr>
          <w:sz w:val="22"/>
        </w:rPr>
      </w:pPr>
      <w:r>
        <w:rPr>
          <w:sz w:val="22"/>
        </w:rPr>
        <w:br w:type="page"/>
      </w:r>
    </w:p>
    <w:p w:rsidR="002520B1" w:rsidRDefault="00977B53" w:rsidP="000B2278">
      <w:pPr>
        <w:widowControl/>
        <w:ind w:firstLineChars="400" w:firstLine="880"/>
        <w:jc w:val="left"/>
        <w:rPr>
          <w:sz w:val="22"/>
        </w:rPr>
      </w:pPr>
      <w:r w:rsidRPr="00977B53">
        <w:rPr>
          <w:noProof/>
          <w:sz w:val="22"/>
        </w:rPr>
        <w:lastRenderedPageBreak/>
        <w:drawing>
          <wp:inline distT="0" distB="0" distL="0" distR="0">
            <wp:extent cx="5274310" cy="4754112"/>
            <wp:effectExtent l="0" t="0" r="2540" b="8890"/>
            <wp:docPr id="7" name="图片 7" descr="C:\D盘\医学\工作\博士课题\Project\met sgP53\manuscript\submission\S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盘\医学\工作\博士课题\Project\met sgP53\manuscript\submission\S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754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2278" w:rsidRPr="000B2278" w:rsidRDefault="000B2278" w:rsidP="000B2278">
      <w:pPr>
        <w:widowControl/>
        <w:spacing w:line="480" w:lineRule="auto"/>
        <w:rPr>
          <w:b/>
          <w:sz w:val="22"/>
        </w:rPr>
      </w:pPr>
      <w:r w:rsidRPr="000B2278">
        <w:rPr>
          <w:b/>
          <w:sz w:val="22"/>
        </w:rPr>
        <w:t xml:space="preserve">Supplementary Figure 6. A subset of human HCC samples harboring concomitant c-MET activation and </w:t>
      </w:r>
      <w:r w:rsidRPr="000B2278">
        <w:rPr>
          <w:b/>
          <w:i/>
          <w:iCs/>
          <w:sz w:val="22"/>
        </w:rPr>
        <w:t>TP53</w:t>
      </w:r>
      <w:r w:rsidRPr="000B2278">
        <w:rPr>
          <w:b/>
          <w:sz w:val="22"/>
        </w:rPr>
        <w:t xml:space="preserve"> deletion based on the TCGA-LIHC dataset.</w:t>
      </w:r>
    </w:p>
    <w:p w:rsidR="000B2278" w:rsidRPr="000B2278" w:rsidRDefault="000B2278" w:rsidP="000B2278">
      <w:pPr>
        <w:widowControl/>
        <w:spacing w:line="480" w:lineRule="auto"/>
        <w:rPr>
          <w:sz w:val="22"/>
        </w:rPr>
      </w:pPr>
      <w:r w:rsidRPr="000B2278">
        <w:rPr>
          <w:sz w:val="22"/>
        </w:rPr>
        <w:t>(A) The number and percentage of c-MET-high/</w:t>
      </w:r>
      <w:r w:rsidRPr="000B2278">
        <w:rPr>
          <w:i/>
          <w:iCs/>
          <w:sz w:val="22"/>
        </w:rPr>
        <w:t>TP53</w:t>
      </w:r>
      <w:r w:rsidRPr="000B2278">
        <w:rPr>
          <w:sz w:val="22"/>
        </w:rPr>
        <w:t>-null human HCC cases in TCGA-LIHC database. (B) Genetic dissimilarity among the samples in c-MET-high/</w:t>
      </w:r>
      <w:r w:rsidRPr="000B2278">
        <w:rPr>
          <w:i/>
          <w:iCs/>
          <w:sz w:val="22"/>
        </w:rPr>
        <w:t>TP53</w:t>
      </w:r>
      <w:r w:rsidRPr="000B2278">
        <w:rPr>
          <w:sz w:val="22"/>
        </w:rPr>
        <w:t>-null human HCC</w:t>
      </w:r>
      <w:r w:rsidR="004E308A">
        <w:rPr>
          <w:sz w:val="22"/>
        </w:rPr>
        <w:t>s</w:t>
      </w:r>
      <w:r w:rsidRPr="000B2278">
        <w:rPr>
          <w:sz w:val="22"/>
        </w:rPr>
        <w:t xml:space="preserve"> and surrounding tissues as demonstrated by multidimensional scaling (MDS). (C) KEGG analysis of up-regulated genes in c-MET-high/</w:t>
      </w:r>
      <w:r w:rsidRPr="000B2278">
        <w:rPr>
          <w:i/>
          <w:iCs/>
          <w:sz w:val="22"/>
        </w:rPr>
        <w:t>TP53</w:t>
      </w:r>
      <w:r w:rsidRPr="000B2278">
        <w:rPr>
          <w:sz w:val="22"/>
        </w:rPr>
        <w:t>-null human HCC</w:t>
      </w:r>
      <w:r w:rsidR="004E308A">
        <w:rPr>
          <w:sz w:val="22"/>
        </w:rPr>
        <w:t>s</w:t>
      </w:r>
      <w:r w:rsidRPr="000B2278">
        <w:rPr>
          <w:sz w:val="22"/>
        </w:rPr>
        <w:t xml:space="preserve"> as compared to surrounding tissues.</w:t>
      </w:r>
    </w:p>
    <w:p w:rsidR="00F519D4" w:rsidRDefault="00F519D4">
      <w:pPr>
        <w:widowControl/>
        <w:jc w:val="left"/>
        <w:rPr>
          <w:sz w:val="22"/>
        </w:rPr>
      </w:pPr>
      <w:r>
        <w:rPr>
          <w:sz w:val="22"/>
        </w:rPr>
        <w:br w:type="page"/>
      </w:r>
    </w:p>
    <w:p w:rsidR="00F519D4" w:rsidRDefault="00F519D4" w:rsidP="00F519D4">
      <w:pPr>
        <w:widowControl/>
        <w:ind w:firstLineChars="100" w:firstLine="220"/>
        <w:jc w:val="left"/>
        <w:rPr>
          <w:sz w:val="22"/>
        </w:rPr>
      </w:pPr>
    </w:p>
    <w:p w:rsidR="000B2278" w:rsidRDefault="0072732B" w:rsidP="00F519D4">
      <w:pPr>
        <w:widowControl/>
        <w:ind w:firstLineChars="100" w:firstLine="220"/>
        <w:jc w:val="left"/>
        <w:rPr>
          <w:sz w:val="22"/>
        </w:rPr>
      </w:pPr>
      <w:r w:rsidRPr="0072732B">
        <w:rPr>
          <w:noProof/>
          <w:sz w:val="22"/>
        </w:rPr>
        <w:drawing>
          <wp:inline distT="0" distB="0" distL="0" distR="0">
            <wp:extent cx="5274310" cy="3553478"/>
            <wp:effectExtent l="0" t="0" r="2540" b="8890"/>
            <wp:docPr id="8" name="图片 8" descr="C:\D盘\医学\工作\博士课题\Project\met sgP53\manuscript\submission\S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盘\医学\工作\博士课题\Project\met sgP53\manuscript\submission\S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53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0DEE" w:rsidRDefault="00F519D4" w:rsidP="008B0DEE">
      <w:pPr>
        <w:widowControl/>
        <w:spacing w:line="480" w:lineRule="auto"/>
        <w:jc w:val="left"/>
        <w:rPr>
          <w:b/>
          <w:sz w:val="22"/>
        </w:rPr>
      </w:pPr>
      <w:r w:rsidRPr="00F519D4">
        <w:rPr>
          <w:b/>
          <w:sz w:val="22"/>
        </w:rPr>
        <w:t>Supplementary Figure 7. Illustration of generating the stably passaged cell line from c-MET/sgp53 HCC.</w:t>
      </w:r>
    </w:p>
    <w:p w:rsidR="008B0DEE" w:rsidRDefault="008B0DEE">
      <w:pPr>
        <w:widowControl/>
        <w:jc w:val="left"/>
        <w:rPr>
          <w:b/>
          <w:sz w:val="22"/>
        </w:rPr>
      </w:pPr>
      <w:r>
        <w:rPr>
          <w:b/>
          <w:sz w:val="22"/>
        </w:rPr>
        <w:br w:type="page"/>
      </w:r>
    </w:p>
    <w:p w:rsidR="008B0DEE" w:rsidRDefault="008B0DEE" w:rsidP="008B0DEE">
      <w:pPr>
        <w:widowControl/>
        <w:spacing w:line="480" w:lineRule="auto"/>
        <w:jc w:val="left"/>
        <w:rPr>
          <w:b/>
          <w:sz w:val="22"/>
        </w:rPr>
      </w:pPr>
    </w:p>
    <w:p w:rsidR="008B0DEE" w:rsidRDefault="008B0DEE" w:rsidP="008B0DEE">
      <w:pPr>
        <w:widowControl/>
        <w:spacing w:line="480" w:lineRule="auto"/>
        <w:jc w:val="left"/>
        <w:rPr>
          <w:b/>
          <w:sz w:val="22"/>
        </w:rPr>
      </w:pPr>
    </w:p>
    <w:p w:rsidR="00F519D4" w:rsidRPr="00F519D4" w:rsidRDefault="004427E6" w:rsidP="008B0DEE">
      <w:pPr>
        <w:widowControl/>
        <w:spacing w:line="480" w:lineRule="auto"/>
        <w:jc w:val="left"/>
        <w:rPr>
          <w:b/>
          <w:sz w:val="22"/>
        </w:rPr>
      </w:pPr>
      <w:r w:rsidRPr="004427E6">
        <w:rPr>
          <w:b/>
          <w:noProof/>
          <w:sz w:val="22"/>
        </w:rPr>
        <w:drawing>
          <wp:inline distT="0" distB="0" distL="0" distR="0" wp14:anchorId="05660026" wp14:editId="1D153244">
            <wp:extent cx="5274310" cy="916305"/>
            <wp:effectExtent l="0" t="0" r="2540" b="0"/>
            <wp:docPr id="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916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27E6" w:rsidRPr="004427E6" w:rsidRDefault="004427E6" w:rsidP="004427E6">
      <w:pPr>
        <w:widowControl/>
        <w:spacing w:line="480" w:lineRule="auto"/>
        <w:rPr>
          <w:b/>
          <w:sz w:val="22"/>
        </w:rPr>
      </w:pPr>
      <w:r w:rsidRPr="004427E6">
        <w:rPr>
          <w:b/>
          <w:sz w:val="22"/>
        </w:rPr>
        <w:t xml:space="preserve">Supplementary Figure 8. Genomic sequencing and validation of </w:t>
      </w:r>
      <w:r w:rsidRPr="004427E6">
        <w:rPr>
          <w:b/>
          <w:i/>
          <w:iCs/>
          <w:sz w:val="22"/>
        </w:rPr>
        <w:t>Trp53</w:t>
      </w:r>
      <w:r w:rsidRPr="004427E6">
        <w:rPr>
          <w:b/>
          <w:sz w:val="22"/>
        </w:rPr>
        <w:t xml:space="preserve"> deletion in MP cells.</w:t>
      </w:r>
    </w:p>
    <w:p w:rsidR="008B0DEE" w:rsidRDefault="008B0DEE">
      <w:pPr>
        <w:widowControl/>
        <w:jc w:val="left"/>
        <w:rPr>
          <w:sz w:val="22"/>
        </w:rPr>
      </w:pPr>
      <w:r>
        <w:rPr>
          <w:sz w:val="22"/>
        </w:rPr>
        <w:br w:type="page"/>
      </w:r>
    </w:p>
    <w:p w:rsidR="00F519D4" w:rsidRDefault="008B0DEE" w:rsidP="008B0DEE">
      <w:pPr>
        <w:widowControl/>
        <w:ind w:firstLineChars="150" w:firstLine="330"/>
        <w:jc w:val="left"/>
        <w:rPr>
          <w:sz w:val="22"/>
        </w:rPr>
      </w:pPr>
      <w:r w:rsidRPr="008B0DEE">
        <w:rPr>
          <w:noProof/>
          <w:sz w:val="22"/>
        </w:rPr>
        <w:lastRenderedPageBreak/>
        <w:drawing>
          <wp:inline distT="0" distB="0" distL="0" distR="0" wp14:anchorId="5D4C30F8" wp14:editId="67619462">
            <wp:extent cx="4432300" cy="3793550"/>
            <wp:effectExtent l="0" t="0" r="6350" b="0"/>
            <wp:docPr id="1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33693" cy="3794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0DEE" w:rsidRPr="008B0DEE" w:rsidRDefault="008B0DEE" w:rsidP="008B0DEE">
      <w:pPr>
        <w:widowControl/>
        <w:spacing w:line="480" w:lineRule="auto"/>
        <w:jc w:val="left"/>
        <w:rPr>
          <w:b/>
          <w:sz w:val="22"/>
        </w:rPr>
      </w:pPr>
      <w:r w:rsidRPr="008B0DEE">
        <w:rPr>
          <w:b/>
          <w:sz w:val="22"/>
        </w:rPr>
        <w:t xml:space="preserve">Supplementary Figure 9. MEK inhibitors show a higher inhibition score in </w:t>
      </w:r>
      <w:r w:rsidRPr="008B0DEE">
        <w:rPr>
          <w:b/>
          <w:i/>
          <w:iCs/>
          <w:sz w:val="22"/>
        </w:rPr>
        <w:t>TP53</w:t>
      </w:r>
      <w:r w:rsidRPr="008B0DEE">
        <w:rPr>
          <w:b/>
          <w:sz w:val="22"/>
        </w:rPr>
        <w:t>-null human HCC cell line.</w:t>
      </w:r>
    </w:p>
    <w:p w:rsidR="009C13E3" w:rsidRDefault="008B0DEE" w:rsidP="008B0DEE">
      <w:pPr>
        <w:widowControl/>
        <w:spacing w:line="480" w:lineRule="auto"/>
        <w:jc w:val="left"/>
        <w:rPr>
          <w:sz w:val="22"/>
        </w:rPr>
      </w:pPr>
      <w:r w:rsidRPr="008B0DEE">
        <w:rPr>
          <w:sz w:val="22"/>
        </w:rPr>
        <w:t xml:space="preserve">The IC50 value of </w:t>
      </w:r>
      <w:r w:rsidRPr="008B0DEE">
        <w:rPr>
          <w:i/>
          <w:iCs/>
          <w:sz w:val="22"/>
        </w:rPr>
        <w:t>TP53</w:t>
      </w:r>
      <w:r w:rsidRPr="008B0DEE">
        <w:rPr>
          <w:sz w:val="22"/>
        </w:rPr>
        <w:t xml:space="preserve">-null HCC cell line (Hep3B) and other human HCC cell lines </w:t>
      </w:r>
      <w:r w:rsidR="00581117">
        <w:rPr>
          <w:sz w:val="22"/>
        </w:rPr>
        <w:t>for</w:t>
      </w:r>
      <w:r w:rsidRPr="008B0DEE">
        <w:rPr>
          <w:sz w:val="22"/>
        </w:rPr>
        <w:t xml:space="preserve"> MEK inhibitors (SCH772984, ERK2440, ERK6604 and </w:t>
      </w:r>
      <w:proofErr w:type="spellStart"/>
      <w:r w:rsidRPr="008B0DEE">
        <w:rPr>
          <w:sz w:val="22"/>
        </w:rPr>
        <w:t>trametinib</w:t>
      </w:r>
      <w:proofErr w:type="spellEnd"/>
      <w:r w:rsidRPr="008B0DEE">
        <w:rPr>
          <w:sz w:val="22"/>
        </w:rPr>
        <w:t>)</w:t>
      </w:r>
      <w:r w:rsidR="005E2E5D">
        <w:rPr>
          <w:sz w:val="22"/>
        </w:rPr>
        <w:t xml:space="preserve"> base on </w:t>
      </w:r>
      <w:r w:rsidR="005E2E5D" w:rsidRPr="005E2E5D">
        <w:rPr>
          <w:sz w:val="22"/>
        </w:rPr>
        <w:t>the Genomics of Drug Sensitivity in Cancer database (www.cancerRxgene.org)</w:t>
      </w:r>
      <w:r w:rsidRPr="008B0DEE">
        <w:rPr>
          <w:sz w:val="22"/>
        </w:rPr>
        <w:t>.</w:t>
      </w:r>
      <w:r w:rsidR="00581117">
        <w:rPr>
          <w:sz w:val="22"/>
        </w:rPr>
        <w:t xml:space="preserve"> IC50, h</w:t>
      </w:r>
      <w:r w:rsidR="00581117" w:rsidRPr="00581117">
        <w:rPr>
          <w:sz w:val="22"/>
        </w:rPr>
        <w:t>alf maximal inhibitory concentration</w:t>
      </w:r>
      <w:r w:rsidR="00581117">
        <w:rPr>
          <w:sz w:val="22"/>
        </w:rPr>
        <w:t>.</w:t>
      </w:r>
      <w:r w:rsidR="009C13E3">
        <w:rPr>
          <w:sz w:val="22"/>
        </w:rPr>
        <w:t xml:space="preserve"> </w:t>
      </w:r>
    </w:p>
    <w:p w:rsidR="009C13E3" w:rsidRDefault="009C13E3">
      <w:pPr>
        <w:widowControl/>
        <w:jc w:val="left"/>
        <w:rPr>
          <w:sz w:val="22"/>
        </w:rPr>
      </w:pPr>
      <w:r>
        <w:rPr>
          <w:sz w:val="22"/>
        </w:rPr>
        <w:br w:type="page"/>
      </w:r>
    </w:p>
    <w:p w:rsidR="008B0DEE" w:rsidRPr="008B0DEE" w:rsidRDefault="009C13E3" w:rsidP="009C13E3">
      <w:pPr>
        <w:widowControl/>
        <w:spacing w:line="480" w:lineRule="auto"/>
        <w:ind w:firstLineChars="300" w:firstLine="660"/>
        <w:jc w:val="left"/>
        <w:rPr>
          <w:sz w:val="22"/>
        </w:rPr>
      </w:pPr>
      <w:r>
        <w:rPr>
          <w:noProof/>
          <w:sz w:val="22"/>
        </w:rPr>
        <w:lastRenderedPageBreak/>
        <w:drawing>
          <wp:inline distT="0" distB="0" distL="0" distR="0" wp14:anchorId="6C44D5E5">
            <wp:extent cx="3718412" cy="1834575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005" cy="18373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D164B">
        <w:rPr>
          <w:rFonts w:hint="eastAsia"/>
          <w:sz w:val="22"/>
        </w:rPr>
        <w:t xml:space="preserve"> </w:t>
      </w:r>
      <w:r w:rsidR="008D164B">
        <w:rPr>
          <w:sz w:val="22"/>
        </w:rPr>
        <w:t xml:space="preserve">  </w:t>
      </w:r>
    </w:p>
    <w:p w:rsidR="009C13E3" w:rsidRPr="009C13E3" w:rsidRDefault="009C13E3" w:rsidP="009C13E3">
      <w:pPr>
        <w:widowControl/>
        <w:spacing w:line="480" w:lineRule="auto"/>
        <w:jc w:val="left"/>
        <w:rPr>
          <w:b/>
          <w:sz w:val="22"/>
        </w:rPr>
      </w:pPr>
      <w:r w:rsidRPr="009C13E3">
        <w:rPr>
          <w:b/>
          <w:sz w:val="22"/>
        </w:rPr>
        <w:t>Supplementary Figure 10. Western blotting analysis of ERK signaling in MP, HCC3 and HCC4 mouse HCC cells.</w:t>
      </w:r>
    </w:p>
    <w:p w:rsidR="00C55B67" w:rsidRDefault="00C55B67">
      <w:pPr>
        <w:widowControl/>
        <w:jc w:val="left"/>
        <w:rPr>
          <w:sz w:val="22"/>
        </w:rPr>
      </w:pPr>
      <w:bookmarkStart w:id="0" w:name="_GoBack"/>
      <w:bookmarkEnd w:id="0"/>
    </w:p>
    <w:sectPr w:rsidR="00C55B67">
      <w:headerReference w:type="default" r:id="rId1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46F6" w:rsidRDefault="000546F6" w:rsidP="001A6C03">
      <w:r>
        <w:separator/>
      </w:r>
    </w:p>
  </w:endnote>
  <w:endnote w:type="continuationSeparator" w:id="0">
    <w:p w:rsidR="000546F6" w:rsidRDefault="000546F6" w:rsidP="001A6C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46F6" w:rsidRDefault="000546F6" w:rsidP="001A6C03">
      <w:r>
        <w:separator/>
      </w:r>
    </w:p>
  </w:footnote>
  <w:footnote w:type="continuationSeparator" w:id="0">
    <w:p w:rsidR="000546F6" w:rsidRDefault="000546F6" w:rsidP="001A6C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6C03" w:rsidRPr="001A6C03" w:rsidRDefault="001A6C03">
    <w:pPr>
      <w:pStyle w:val="a3"/>
      <w:rPr>
        <w:i/>
      </w:rPr>
    </w:pPr>
    <w:r>
      <w:t xml:space="preserve">                                                                                 </w:t>
    </w:r>
    <w:r w:rsidRPr="001A6C03">
      <w:rPr>
        <w:rFonts w:hint="eastAsia"/>
        <w:i/>
      </w:rPr>
      <w:t>Zhou</w:t>
    </w:r>
    <w:r w:rsidRPr="001A6C03">
      <w:rPr>
        <w:i/>
      </w:rPr>
      <w:t xml:space="preserve"> Y, et al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Layout" w:val="&lt;ENLayout&gt;&lt;Style&gt;XjtuThesis&lt;/Style&gt;&lt;LeftDelim&gt;{&lt;/LeftDelim&gt;&lt;RightDelim&gt;}&lt;/RightDelim&gt;&lt;FontName&gt;Arial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dwpdepsva2wrr6e2spdpvrs89vpxz20asrpw&quot;&gt;My EndNote Library&lt;record-ids&gt;&lt;item&gt;60&lt;/item&gt;&lt;item&gt;139&lt;/item&gt;&lt;item&gt;250&lt;/item&gt;&lt;item&gt;264&lt;/item&gt;&lt;/record-ids&gt;&lt;/item&gt;&lt;/Libraries&gt;"/>
  </w:docVars>
  <w:rsids>
    <w:rsidRoot w:val="0009120C"/>
    <w:rsid w:val="00034100"/>
    <w:rsid w:val="00041696"/>
    <w:rsid w:val="000546F6"/>
    <w:rsid w:val="00082C88"/>
    <w:rsid w:val="0009120C"/>
    <w:rsid w:val="000B2278"/>
    <w:rsid w:val="000B66C8"/>
    <w:rsid w:val="000C1C57"/>
    <w:rsid w:val="00145222"/>
    <w:rsid w:val="00176DC6"/>
    <w:rsid w:val="001A0F1C"/>
    <w:rsid w:val="001A6C03"/>
    <w:rsid w:val="002520B1"/>
    <w:rsid w:val="0029415E"/>
    <w:rsid w:val="004427E6"/>
    <w:rsid w:val="004A273F"/>
    <w:rsid w:val="004E308A"/>
    <w:rsid w:val="0056796B"/>
    <w:rsid w:val="00581117"/>
    <w:rsid w:val="005E2E5D"/>
    <w:rsid w:val="006330DA"/>
    <w:rsid w:val="0068316A"/>
    <w:rsid w:val="00683A0D"/>
    <w:rsid w:val="006D6F76"/>
    <w:rsid w:val="006E5E3A"/>
    <w:rsid w:val="0072732B"/>
    <w:rsid w:val="007A2178"/>
    <w:rsid w:val="007F5D98"/>
    <w:rsid w:val="008227A2"/>
    <w:rsid w:val="00885026"/>
    <w:rsid w:val="008B0DEE"/>
    <w:rsid w:val="008D164B"/>
    <w:rsid w:val="00912776"/>
    <w:rsid w:val="00977B53"/>
    <w:rsid w:val="009829F4"/>
    <w:rsid w:val="009C13E3"/>
    <w:rsid w:val="00A12535"/>
    <w:rsid w:val="00A15688"/>
    <w:rsid w:val="00A303D6"/>
    <w:rsid w:val="00A64FEA"/>
    <w:rsid w:val="00AA2850"/>
    <w:rsid w:val="00AD47C8"/>
    <w:rsid w:val="00C246F9"/>
    <w:rsid w:val="00C55B67"/>
    <w:rsid w:val="00C56F30"/>
    <w:rsid w:val="00CF5405"/>
    <w:rsid w:val="00D36CEE"/>
    <w:rsid w:val="00D95A6C"/>
    <w:rsid w:val="00DA36A0"/>
    <w:rsid w:val="00DA43B9"/>
    <w:rsid w:val="00E02C2D"/>
    <w:rsid w:val="00E37186"/>
    <w:rsid w:val="00E839CC"/>
    <w:rsid w:val="00F51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0DF28F3-7739-4FAB-8C0D-25EFE73CF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6C03"/>
    <w:pPr>
      <w:widowControl w:val="0"/>
      <w:jc w:val="both"/>
    </w:pPr>
    <w:rPr>
      <w:rFonts w:ascii="Arial" w:eastAsia="宋体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A6C0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A6C03"/>
    <w:rPr>
      <w:rFonts w:ascii="Arial" w:eastAsia="宋体" w:hAnsi="Arial" w:cs="Arial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A6C0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A6C03"/>
    <w:rPr>
      <w:rFonts w:ascii="Arial" w:eastAsia="宋体" w:hAnsi="Arial" w:cs="Arial"/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Char"/>
    <w:rsid w:val="00A303D6"/>
    <w:pPr>
      <w:jc w:val="center"/>
    </w:pPr>
    <w:rPr>
      <w:noProof/>
      <w:sz w:val="20"/>
    </w:rPr>
  </w:style>
  <w:style w:type="character" w:customStyle="1" w:styleId="EndNoteBibliographyTitleChar">
    <w:name w:val="EndNote Bibliography Title Char"/>
    <w:basedOn w:val="a0"/>
    <w:link w:val="EndNoteBibliographyTitle"/>
    <w:rsid w:val="00A303D6"/>
    <w:rPr>
      <w:rFonts w:ascii="Arial" w:eastAsia="宋体" w:hAnsi="Arial" w:cs="Arial"/>
      <w:noProof/>
      <w:sz w:val="20"/>
    </w:rPr>
  </w:style>
  <w:style w:type="paragraph" w:customStyle="1" w:styleId="EndNoteBibliography">
    <w:name w:val="EndNote Bibliography"/>
    <w:basedOn w:val="a"/>
    <w:link w:val="EndNoteBibliographyChar"/>
    <w:rsid w:val="00A303D6"/>
    <w:rPr>
      <w:noProof/>
      <w:sz w:val="20"/>
    </w:rPr>
  </w:style>
  <w:style w:type="character" w:customStyle="1" w:styleId="EndNoteBibliographyChar">
    <w:name w:val="EndNote Bibliography Char"/>
    <w:basedOn w:val="a0"/>
    <w:link w:val="EndNoteBibliography"/>
    <w:rsid w:val="00A303D6"/>
    <w:rPr>
      <w:rFonts w:ascii="Arial" w:eastAsia="宋体" w:hAnsi="Arial" w:cs="Arial"/>
      <w:noProof/>
      <w:sz w:val="20"/>
    </w:rPr>
  </w:style>
  <w:style w:type="paragraph" w:styleId="a5">
    <w:name w:val="Normal (Web)"/>
    <w:basedOn w:val="a"/>
    <w:uiPriority w:val="99"/>
    <w:semiHidden/>
    <w:unhideWhenUsed/>
    <w:rsid w:val="00C55B6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14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6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3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7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5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7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8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ti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354</TotalTime>
  <Pages>10</Pages>
  <Words>423</Words>
  <Characters>2412</Characters>
  <Application>Microsoft Office Word</Application>
  <DocSecurity>0</DocSecurity>
  <Lines>20</Lines>
  <Paragraphs>5</Paragraphs>
  <ScaleCrop>false</ScaleCrop>
  <Company>Microsoft</Company>
  <LinksUpToDate>false</LinksUpToDate>
  <CharactersWithSpaces>2830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帐户</dc:creator>
  <cp:keywords/>
  <dc:description/>
  <cp:lastModifiedBy>Microsoft 帐户</cp:lastModifiedBy>
  <cp:revision>31</cp:revision>
  <cp:lastPrinted>2022-10-05T18:16:00Z</cp:lastPrinted>
  <dcterms:created xsi:type="dcterms:W3CDTF">2022-10-02T13:48:00Z</dcterms:created>
  <dcterms:modified xsi:type="dcterms:W3CDTF">2022-10-16T15:05:00Z</dcterms:modified>
</cp:coreProperties>
</file>