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3C713" w14:textId="2E7FAAD3" w:rsidR="005D1232" w:rsidRDefault="005D1232" w:rsidP="005D1232">
      <w:pPr>
        <w:spacing w:line="276" w:lineRule="auto"/>
      </w:pPr>
      <w:r>
        <w:rPr>
          <w:rFonts w:asciiTheme="majorHAnsi" w:eastAsiaTheme="majorEastAsia" w:hAnsiTheme="majorHAnsi" w:cstheme="majorBidi"/>
          <w:color w:val="2F5496" w:themeColor="accent1" w:themeShade="BF"/>
          <w:sz w:val="32"/>
          <w:szCs w:val="32"/>
        </w:rPr>
        <w:t>Supplementary Materials for “G</w:t>
      </w:r>
      <w:r w:rsidRPr="006F3F55">
        <w:rPr>
          <w:rFonts w:asciiTheme="majorHAnsi" w:eastAsiaTheme="majorEastAsia" w:hAnsiTheme="majorHAnsi" w:cstheme="majorBidi"/>
          <w:color w:val="2F5496" w:themeColor="accent1" w:themeShade="BF"/>
          <w:sz w:val="32"/>
          <w:szCs w:val="32"/>
        </w:rPr>
        <w:t>eographically disaggregated approach to integrate low carbon technologies across local</w:t>
      </w:r>
      <w:r>
        <w:rPr>
          <w:rFonts w:asciiTheme="majorHAnsi" w:eastAsiaTheme="majorEastAsia" w:hAnsiTheme="majorHAnsi" w:cstheme="majorBidi"/>
          <w:color w:val="2F5496" w:themeColor="accent1" w:themeShade="BF"/>
          <w:sz w:val="32"/>
          <w:szCs w:val="32"/>
        </w:rPr>
        <w:t xml:space="preserve"> electricity</w:t>
      </w:r>
      <w:r w:rsidRPr="006F3F55">
        <w:rPr>
          <w:rFonts w:asciiTheme="majorHAnsi" w:eastAsiaTheme="majorEastAsia" w:hAnsiTheme="majorHAnsi" w:cstheme="majorBidi"/>
          <w:color w:val="2F5496" w:themeColor="accent1" w:themeShade="BF"/>
          <w:sz w:val="32"/>
          <w:szCs w:val="32"/>
        </w:rPr>
        <w:t xml:space="preserve"> networks</w:t>
      </w:r>
      <w:r>
        <w:rPr>
          <w:rFonts w:asciiTheme="majorHAnsi" w:eastAsiaTheme="majorEastAsia" w:hAnsiTheme="majorHAnsi" w:cstheme="majorBidi"/>
          <w:color w:val="2F5496" w:themeColor="accent1" w:themeShade="BF"/>
          <w:sz w:val="32"/>
          <w:szCs w:val="32"/>
        </w:rPr>
        <w:t>”</w:t>
      </w:r>
    </w:p>
    <w:p w14:paraId="23B8FA99" w14:textId="77777777" w:rsidR="005D1232" w:rsidRDefault="005D1232" w:rsidP="005D1232">
      <w:pPr>
        <w:spacing w:line="276" w:lineRule="auto"/>
      </w:pPr>
    </w:p>
    <w:p w14:paraId="0A727921" w14:textId="77777777" w:rsidR="005D1232" w:rsidRDefault="005D1232" w:rsidP="005D1232">
      <w:pPr>
        <w:pStyle w:val="Heading2"/>
      </w:pPr>
      <w:r>
        <w:t xml:space="preserve">Sheridan Few, Predrag </w:t>
      </w:r>
      <w:proofErr w:type="spellStart"/>
      <w:r>
        <w:t>Djapic</w:t>
      </w:r>
      <w:proofErr w:type="spellEnd"/>
      <w:r>
        <w:t xml:space="preserve">, Goran </w:t>
      </w:r>
      <w:proofErr w:type="spellStart"/>
      <w:r>
        <w:t>Strbac</w:t>
      </w:r>
      <w:proofErr w:type="spellEnd"/>
      <w:r>
        <w:t xml:space="preserve">, Jenny Nelson, Chiara </w:t>
      </w:r>
      <w:proofErr w:type="spellStart"/>
      <w:r>
        <w:t>Candelise</w:t>
      </w:r>
      <w:proofErr w:type="spellEnd"/>
    </w:p>
    <w:p w14:paraId="659ED170" w14:textId="3FFE7069" w:rsidR="005D1232" w:rsidRDefault="005D1232" w:rsidP="005D1232"/>
    <w:p w14:paraId="1F2B5259" w14:textId="0AE412D0" w:rsidR="00F5424A" w:rsidRDefault="00F5424A" w:rsidP="00972765">
      <w:pPr>
        <w:spacing w:line="276" w:lineRule="auto"/>
      </w:pPr>
      <w:r w:rsidRPr="00F5424A">
        <w:t xml:space="preserve">Supporting information </w:t>
      </w:r>
      <w:r>
        <w:t xml:space="preserve">are included below </w:t>
      </w:r>
      <w:proofErr w:type="gramStart"/>
      <w:r w:rsidRPr="00F5424A">
        <w:t>on</w:t>
      </w:r>
      <w:r>
        <w:t>:</w:t>
      </w:r>
      <w:proofErr w:type="gramEnd"/>
      <w:r w:rsidRPr="00F5424A">
        <w:t xml:space="preserve"> local network infrastructure, impact of PV on local networks, additional details of network upgrade savings associated with flexibility deployment at a local level, impact of low carbon technology deployment on electricity networks at a regional level, and attributions for icons featuring in assembled figures.</w:t>
      </w:r>
    </w:p>
    <w:p w14:paraId="30CB843B" w14:textId="77777777" w:rsidR="00F5424A" w:rsidRDefault="00F5424A" w:rsidP="005D1232"/>
    <w:p w14:paraId="18D5A64F" w14:textId="77777777" w:rsidR="005D1232" w:rsidRDefault="005D1232" w:rsidP="005D1232">
      <w:pPr>
        <w:pStyle w:val="Heading3"/>
      </w:pPr>
      <w:r>
        <w:t>Local Network Infrastructure</w:t>
      </w:r>
    </w:p>
    <w:p w14:paraId="2CCFA7A2" w14:textId="0372E013" w:rsidR="005D1232" w:rsidRPr="00035B1B" w:rsidRDefault="005D1232" w:rsidP="00972765">
      <w:pPr>
        <w:spacing w:line="276" w:lineRule="auto"/>
      </w:pPr>
      <w:r>
        <w:t xml:space="preserve">Data on local network infrastructure are not available across </w:t>
      </w:r>
      <w:proofErr w:type="gramStart"/>
      <w:r>
        <w:t>GB as a whole, but</w:t>
      </w:r>
      <w:proofErr w:type="gramEnd"/>
      <w:r>
        <w:t xml:space="preserve"> the number of substations by type (ground-mounted or pole-mounted) are available per LSOA across the Southwest of England</w:t>
      </w:r>
      <w:r w:rsidRPr="005D1232">
        <w:rPr>
          <w:noProof/>
          <w:vertAlign w:val="superscript"/>
        </w:rPr>
        <w:t>1,2</w:t>
      </w:r>
      <w:r>
        <w:t xml:space="preserve">. Within this region, both number of meters per substation, and proportion of these which are ground-mounted, are found to correlate strongly with meter density (see </w:t>
      </w:r>
      <w:r w:rsidR="00065FC7">
        <w:rPr>
          <w:b/>
          <w:bCs/>
        </w:rPr>
        <w:t>Figure S</w:t>
      </w:r>
      <w:r w:rsidR="00E01F5A">
        <w:rPr>
          <w:b/>
          <w:bCs/>
          <w:noProof/>
        </w:rPr>
        <w:t>1</w:t>
      </w:r>
      <w:r>
        <w:t xml:space="preserve">). Data from this region is used to generate an approximate function for number of ground- and pole-mounted substations by meter density based upon a </w:t>
      </w:r>
      <w:proofErr w:type="gramStart"/>
      <w:r w:rsidRPr="00F128F0">
        <w:t>locally-weighted</w:t>
      </w:r>
      <w:proofErr w:type="gramEnd"/>
      <w:r w:rsidRPr="00F128F0">
        <w:t xml:space="preserve"> polynomial regression</w:t>
      </w:r>
      <w:r>
        <w:t xml:space="preserve">. This function is used to estimate the number of ground mounted and pole mounted substations for each LSOA in GB, assuming a similar relationship between network infrastructure and meter density across the country. </w:t>
      </w:r>
    </w:p>
    <w:p w14:paraId="355EBEE1" w14:textId="77777777" w:rsidR="005D1232" w:rsidRDefault="005D1232" w:rsidP="005D1232">
      <w:pPr>
        <w:spacing w:line="276" w:lineRule="auto"/>
      </w:pPr>
      <w:r w:rsidRPr="006D64FB">
        <w:rPr>
          <w:noProof/>
          <w:lang w:val="it-IT" w:eastAsia="it-IT"/>
        </w:rPr>
        <w:drawing>
          <wp:inline distT="0" distB="0" distL="0" distR="0" wp14:anchorId="06A802EA" wp14:editId="768486CC">
            <wp:extent cx="2880000" cy="2880000"/>
            <wp:effectExtent l="0" t="0" r="3175" b="3175"/>
            <wp:docPr id="50" name="Picture 5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Chart, scatter chart&#10;&#10;Description automatically generated"/>
                    <pic:cNvPicPr/>
                  </pic:nvPicPr>
                  <pic:blipFill>
                    <a:blip r:embed="rId7"/>
                    <a:stretch>
                      <a:fillRect/>
                    </a:stretch>
                  </pic:blipFill>
                  <pic:spPr>
                    <a:xfrm>
                      <a:off x="0" y="0"/>
                      <a:ext cx="2880000" cy="2880000"/>
                    </a:xfrm>
                    <a:prstGeom prst="rect">
                      <a:avLst/>
                    </a:prstGeom>
                  </pic:spPr>
                </pic:pic>
              </a:graphicData>
            </a:graphic>
          </wp:inline>
        </w:drawing>
      </w:r>
      <w:r w:rsidRPr="006D64FB">
        <w:rPr>
          <w:noProof/>
        </w:rPr>
        <w:t xml:space="preserve"> </w:t>
      </w:r>
      <w:r w:rsidRPr="006D64FB">
        <w:rPr>
          <w:noProof/>
          <w:lang w:val="it-IT" w:eastAsia="it-IT"/>
        </w:rPr>
        <w:drawing>
          <wp:inline distT="0" distB="0" distL="0" distR="0" wp14:anchorId="55343E5D" wp14:editId="5049522C">
            <wp:extent cx="2880000" cy="2880000"/>
            <wp:effectExtent l="0" t="0" r="3175" b="3175"/>
            <wp:docPr id="51" name="Picture 5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Chart, scatter chart&#10;&#10;Description automatically generated"/>
                    <pic:cNvPicPr/>
                  </pic:nvPicPr>
                  <pic:blipFill>
                    <a:blip r:embed="rId8"/>
                    <a:stretch>
                      <a:fillRect/>
                    </a:stretch>
                  </pic:blipFill>
                  <pic:spPr>
                    <a:xfrm>
                      <a:off x="0" y="0"/>
                      <a:ext cx="2880000" cy="2880000"/>
                    </a:xfrm>
                    <a:prstGeom prst="rect">
                      <a:avLst/>
                    </a:prstGeom>
                  </pic:spPr>
                </pic:pic>
              </a:graphicData>
            </a:graphic>
          </wp:inline>
        </w:drawing>
      </w:r>
    </w:p>
    <w:p w14:paraId="78A59400" w14:textId="3B6E1E80" w:rsidR="005D1232" w:rsidRDefault="00065FC7" w:rsidP="00972765">
      <w:pPr>
        <w:spacing w:line="276" w:lineRule="auto"/>
      </w:pPr>
      <w:bookmarkStart w:id="0" w:name="_Ref103263173"/>
      <w:r>
        <w:rPr>
          <w:b/>
          <w:bCs/>
        </w:rPr>
        <w:t>Figure S</w:t>
      </w:r>
      <w:r w:rsidR="00E01F5A">
        <w:rPr>
          <w:b/>
          <w:bCs/>
          <w:noProof/>
        </w:rPr>
        <w:t>1</w:t>
      </w:r>
      <w:bookmarkEnd w:id="0"/>
      <w:r w:rsidR="005D1232">
        <w:t xml:space="preserve"> </w:t>
      </w:r>
      <w:r w:rsidR="005D1232">
        <w:rPr>
          <w:b/>
          <w:bCs/>
        </w:rPr>
        <w:t xml:space="preserve">Correlation of LSOA level meter density with (a) meters per substation, and (b) proportion of substations which are ground mounted transformers (GMT) </w:t>
      </w:r>
      <w:r w:rsidR="005D1232">
        <w:t xml:space="preserve">Data from WPD Southwest region. Each point represents one LSOA, and blue line represents best fit using </w:t>
      </w:r>
      <w:proofErr w:type="gramStart"/>
      <w:r w:rsidR="005D1232">
        <w:t>l</w:t>
      </w:r>
      <w:r w:rsidR="005D1232" w:rsidRPr="00F128F0">
        <w:t>ocally-weighted</w:t>
      </w:r>
      <w:proofErr w:type="gramEnd"/>
      <w:r w:rsidR="005D1232" w:rsidRPr="00F128F0">
        <w:t xml:space="preserve"> polynomial regression</w:t>
      </w:r>
      <w:r w:rsidR="005D1232" w:rsidRPr="005D1232">
        <w:rPr>
          <w:noProof/>
          <w:vertAlign w:val="superscript"/>
        </w:rPr>
        <w:t>3,4</w:t>
      </w:r>
      <w:r w:rsidR="005D1232">
        <w:t xml:space="preserve">. Best fit line is used to estimate meters per substation and GMT substation proportion based upon meter density for LSOAs outside of the WPD Southwest region (see </w:t>
      </w:r>
      <w:r w:rsidR="005D1232" w:rsidRPr="00E01F5A">
        <w:t>https://github.com/sheridanfew/UKLCTD</w:t>
      </w:r>
      <w:r w:rsidR="005D1232">
        <w:t>).</w:t>
      </w:r>
    </w:p>
    <w:p w14:paraId="6B12EB62" w14:textId="77777777" w:rsidR="005D1232" w:rsidRDefault="005D1232" w:rsidP="005D1232">
      <w:pPr>
        <w:pStyle w:val="Heading3"/>
      </w:pPr>
      <w:r>
        <w:lastRenderedPageBreak/>
        <w:t>Local network upgrade costs associated with deployment of PV alone</w:t>
      </w:r>
    </w:p>
    <w:p w14:paraId="4FDCF52E" w14:textId="77777777" w:rsidR="005D1232" w:rsidRDefault="005D1232" w:rsidP="005D1232">
      <w:pPr>
        <w:spacing w:line="276" w:lineRule="auto"/>
      </w:pPr>
    </w:p>
    <w:p w14:paraId="6AB6B2CF" w14:textId="5A8D332E" w:rsidR="005D1232" w:rsidRDefault="00065FC7" w:rsidP="005D1232">
      <w:pPr>
        <w:spacing w:line="276" w:lineRule="auto"/>
      </w:pPr>
      <w:r>
        <w:rPr>
          <w:b/>
          <w:bCs/>
        </w:rPr>
        <w:t xml:space="preserve">Figure </w:t>
      </w:r>
      <w:r w:rsidRPr="00065FC7">
        <w:rPr>
          <w:b/>
          <w:bCs/>
        </w:rPr>
        <w:t>S</w:t>
      </w:r>
      <w:r w:rsidR="00E01F5A" w:rsidRPr="00065FC7">
        <w:rPr>
          <w:b/>
          <w:bCs/>
          <w:noProof/>
        </w:rPr>
        <w:t>2</w:t>
      </w:r>
      <w:proofErr w:type="gramStart"/>
      <w:r w:rsidR="005D1232" w:rsidRPr="00065FC7">
        <w:rPr>
          <w:b/>
          <w:bCs/>
        </w:rPr>
        <w:t>a,b</w:t>
      </w:r>
      <w:proofErr w:type="gramEnd"/>
      <w:r w:rsidR="005D1232" w:rsidRPr="00630B2A">
        <w:t xml:space="preserve"> show the local network upgrade costs associated with integrating </w:t>
      </w:r>
      <w:r w:rsidR="005D1232">
        <w:t xml:space="preserve">2050 levels of </w:t>
      </w:r>
      <w:r w:rsidR="005D1232" w:rsidRPr="00630B2A">
        <w:t xml:space="preserve">solar PV </w:t>
      </w:r>
      <w:r w:rsidR="005D1232">
        <w:t xml:space="preserve">alone </w:t>
      </w:r>
      <w:r w:rsidR="005D1232" w:rsidRPr="00630B2A">
        <w:t>in these two regions. Two key features are notable in these figures. First, there is sufficiently</w:t>
      </w:r>
      <w:r w:rsidR="005D1232">
        <w:t xml:space="preserve"> low PV deployment that no cost is incurred in the majority of LSOAs (in line with </w:t>
      </w:r>
      <w:r>
        <w:rPr>
          <w:b/>
          <w:bCs/>
        </w:rPr>
        <w:t>Figure 5</w:t>
      </w:r>
      <w:r w:rsidR="005D1232" w:rsidRPr="00065FC7">
        <w:rPr>
          <w:b/>
          <w:bCs/>
        </w:rPr>
        <w:t>a</w:t>
      </w:r>
      <w:r>
        <w:rPr>
          <w:b/>
          <w:bCs/>
        </w:rPr>
        <w:t xml:space="preserve"> </w:t>
      </w:r>
      <w:r>
        <w:t>in the main text</w:t>
      </w:r>
      <w:r w:rsidR="005D1232" w:rsidRPr="002941D2">
        <w:t>)</w:t>
      </w:r>
      <w:r w:rsidR="005D1232">
        <w:t xml:space="preserve">. Second, there is no clear trend in cost across either region, suggesting that costs are incurred only where a particular LSOA has exceptionally high deployment of PV. </w:t>
      </w:r>
    </w:p>
    <w:p w14:paraId="7DF6ABE0" w14:textId="77777777" w:rsidR="005D1232" w:rsidRDefault="005D1232" w:rsidP="005D1232">
      <w:pPr>
        <w:spacing w:line="276" w:lineRule="auto"/>
      </w:pPr>
    </w:p>
    <w:p w14:paraId="7B2CBA2A" w14:textId="77777777" w:rsidR="005D1232" w:rsidRDefault="005D1232" w:rsidP="005D1232">
      <w:pPr>
        <w:spacing w:line="276"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921"/>
      </w:tblGrid>
      <w:tr w:rsidR="005D1232" w14:paraId="366DB248" w14:textId="77777777" w:rsidTr="008F70F5">
        <w:tc>
          <w:tcPr>
            <w:tcW w:w="4253" w:type="dxa"/>
          </w:tcPr>
          <w:p w14:paraId="7DEEDEF5" w14:textId="77777777" w:rsidR="005D1232" w:rsidRDefault="005D1232" w:rsidP="008F70F5">
            <w:pPr>
              <w:spacing w:line="276" w:lineRule="auto"/>
              <w:rPr>
                <w:noProof/>
              </w:rPr>
            </w:pPr>
            <w:r>
              <w:rPr>
                <w:noProof/>
              </w:rPr>
              <w:t>(a)</w:t>
            </w:r>
          </w:p>
        </w:tc>
        <w:tc>
          <w:tcPr>
            <w:tcW w:w="4921" w:type="dxa"/>
          </w:tcPr>
          <w:p w14:paraId="4FEC4707" w14:textId="77777777" w:rsidR="005D1232" w:rsidRDefault="005D1232" w:rsidP="008F70F5">
            <w:pPr>
              <w:spacing w:line="276" w:lineRule="auto"/>
              <w:rPr>
                <w:noProof/>
              </w:rPr>
            </w:pPr>
            <w:r>
              <w:rPr>
                <w:noProof/>
              </w:rPr>
              <w:t>(b)</w:t>
            </w:r>
          </w:p>
        </w:tc>
      </w:tr>
    </w:tbl>
    <w:p w14:paraId="295D4CB9" w14:textId="77777777" w:rsidR="005D1232" w:rsidRDefault="005D1232" w:rsidP="005D1232">
      <w:pPr>
        <w:spacing w:line="276" w:lineRule="auto"/>
      </w:pPr>
      <w:r>
        <w:rPr>
          <w:noProof/>
          <w:lang w:val="it-IT" w:eastAsia="it-IT"/>
        </w:rPr>
        <w:drawing>
          <wp:inline distT="0" distB="0" distL="0" distR="0" wp14:anchorId="27E23A67" wp14:editId="2CE741C8">
            <wp:extent cx="5503808" cy="2799079"/>
            <wp:effectExtent l="0" t="0" r="0" b="0"/>
            <wp:docPr id="63" name="Picture 6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Map&#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03808" cy="2799079"/>
                    </a:xfrm>
                    <a:prstGeom prst="rect">
                      <a:avLst/>
                    </a:prstGeom>
                  </pic:spPr>
                </pic:pic>
              </a:graphicData>
            </a:graphic>
          </wp:inline>
        </w:drawing>
      </w:r>
    </w:p>
    <w:p w14:paraId="7B552381" w14:textId="0DDEFC20" w:rsidR="005D1232" w:rsidRDefault="00065FC7" w:rsidP="005D1232">
      <w:pPr>
        <w:spacing w:line="276" w:lineRule="auto"/>
      </w:pPr>
      <w:bookmarkStart w:id="1" w:name="_Ref104304013"/>
      <w:r>
        <w:rPr>
          <w:b/>
          <w:bCs/>
        </w:rPr>
        <w:t>Figure S</w:t>
      </w:r>
      <w:r w:rsidR="00E01F5A">
        <w:rPr>
          <w:b/>
          <w:bCs/>
          <w:noProof/>
        </w:rPr>
        <w:t>2</w:t>
      </w:r>
      <w:bookmarkEnd w:id="1"/>
      <w:r w:rsidR="005D1232">
        <w:rPr>
          <w:b/>
          <w:bCs/>
          <w:noProof/>
        </w:rPr>
        <w:t xml:space="preserve"> </w:t>
      </w:r>
      <w:r w:rsidR="005D1232">
        <w:t>LSOA-level local network upgrade costs associated with deployment of PV alone, in (a) an urban area (Greater London), and (b) a more rural area (County Durham). Note difference in colour scale across figures.</w:t>
      </w:r>
    </w:p>
    <w:p w14:paraId="0C4004F3" w14:textId="77777777" w:rsidR="005D1232" w:rsidRDefault="005D1232" w:rsidP="005D1232">
      <w:pPr>
        <w:pStyle w:val="Heading3"/>
      </w:pPr>
    </w:p>
    <w:p w14:paraId="0F0AA623" w14:textId="77777777" w:rsidR="005D1232" w:rsidRDefault="005D1232" w:rsidP="005D1232">
      <w:pPr>
        <w:pStyle w:val="Heading3"/>
      </w:pPr>
      <w:r>
        <w:t>Technology deployment and network infrastructure percentiles</w:t>
      </w:r>
    </w:p>
    <w:p w14:paraId="2694479C" w14:textId="5191BA2D" w:rsidR="005D1232" w:rsidRPr="00E01F5A" w:rsidRDefault="005D1232" w:rsidP="00E01F5A">
      <w:pPr>
        <w:pStyle w:val="Caption"/>
        <w:rPr>
          <w:b/>
          <w:bCs/>
        </w:rPr>
      </w:pPr>
      <w:r>
        <w:t xml:space="preserve">Percentiles across LSOAs in GB for low carbon technology deployment and number of meters per substation are provided in </w:t>
      </w:r>
      <w:r w:rsidR="00065FC7">
        <w:rPr>
          <w:b/>
          <w:bCs/>
        </w:rPr>
        <w:t>Table S</w:t>
      </w:r>
      <w:r w:rsidR="00E01F5A">
        <w:rPr>
          <w:b/>
          <w:bCs/>
          <w:noProof/>
        </w:rPr>
        <w:t>1</w:t>
      </w:r>
      <w:r>
        <w:t xml:space="preserve">. These are used in calculating impacts across contexts in </w:t>
      </w:r>
      <w:r w:rsidR="00065FC7">
        <w:rPr>
          <w:b/>
          <w:bCs/>
        </w:rPr>
        <w:t>Figure 5</w:t>
      </w:r>
      <w:r w:rsidR="00065FC7">
        <w:t xml:space="preserve"> in the main text.</w:t>
      </w:r>
    </w:p>
    <w:p w14:paraId="77DC8080" w14:textId="4E34536F" w:rsidR="00C8762D" w:rsidRDefault="00C8762D" w:rsidP="00C8762D">
      <w:bookmarkStart w:id="2" w:name="_Ref113017818"/>
    </w:p>
    <w:p w14:paraId="4871AA95" w14:textId="1449BB64" w:rsidR="00972765" w:rsidRDefault="00972765" w:rsidP="00C8762D"/>
    <w:p w14:paraId="6BA6A7CB" w14:textId="22DDDB2D" w:rsidR="00972765" w:rsidRDefault="00972765" w:rsidP="00C8762D"/>
    <w:p w14:paraId="342E1282" w14:textId="77777777" w:rsidR="00972765" w:rsidRPr="00C8762D" w:rsidRDefault="00972765" w:rsidP="00C8762D"/>
    <w:p w14:paraId="12691386" w14:textId="298013EE" w:rsidR="005D1232" w:rsidRPr="00FC12E2" w:rsidRDefault="00065FC7" w:rsidP="005D1232">
      <w:pPr>
        <w:pStyle w:val="Caption"/>
      </w:pPr>
      <w:r>
        <w:rPr>
          <w:b/>
          <w:bCs/>
        </w:rPr>
        <w:lastRenderedPageBreak/>
        <w:t>Table S</w:t>
      </w:r>
      <w:r w:rsidR="00E01F5A">
        <w:rPr>
          <w:b/>
          <w:bCs/>
          <w:noProof/>
        </w:rPr>
        <w:t>1</w:t>
      </w:r>
      <w:bookmarkEnd w:id="2"/>
      <w:r w:rsidR="005D1232">
        <w:t xml:space="preserve"> Percentiles across LSOAs in GB for low carbon technology deployment and number of meters per substation across ruralities</w:t>
      </w:r>
    </w:p>
    <w:tbl>
      <w:tblPr>
        <w:tblStyle w:val="TableGrid"/>
        <w:tblW w:w="0" w:type="auto"/>
        <w:tblLook w:val="04A0" w:firstRow="1" w:lastRow="0" w:firstColumn="1" w:lastColumn="0" w:noHBand="0" w:noVBand="1"/>
      </w:tblPr>
      <w:tblGrid>
        <w:gridCol w:w="3420"/>
        <w:gridCol w:w="1300"/>
        <w:gridCol w:w="1300"/>
        <w:gridCol w:w="1300"/>
      </w:tblGrid>
      <w:tr w:rsidR="005D1232" w:rsidRPr="00FC12E2" w14:paraId="05993E1C" w14:textId="77777777" w:rsidTr="008F70F5">
        <w:trPr>
          <w:trHeight w:val="320"/>
        </w:trPr>
        <w:tc>
          <w:tcPr>
            <w:tcW w:w="3420" w:type="dxa"/>
            <w:vMerge w:val="restart"/>
            <w:noWrap/>
            <w:hideMark/>
          </w:tcPr>
          <w:p w14:paraId="641EC8A1" w14:textId="77777777" w:rsidR="005D1232" w:rsidRPr="00FC12E2" w:rsidRDefault="005D1232" w:rsidP="008F70F5">
            <w:r w:rsidRPr="00FC12E2">
              <w:t>Quantity</w:t>
            </w:r>
          </w:p>
        </w:tc>
        <w:tc>
          <w:tcPr>
            <w:tcW w:w="3900" w:type="dxa"/>
            <w:gridSpan w:val="3"/>
            <w:noWrap/>
            <w:hideMark/>
          </w:tcPr>
          <w:p w14:paraId="0C03B73C" w14:textId="77777777" w:rsidR="005D1232" w:rsidRPr="00FC12E2" w:rsidRDefault="005D1232" w:rsidP="008F70F5">
            <w:r w:rsidRPr="00FC12E2">
              <w:t>Percentile</w:t>
            </w:r>
          </w:p>
        </w:tc>
      </w:tr>
      <w:tr w:rsidR="005D1232" w:rsidRPr="00FC12E2" w14:paraId="35538D9E" w14:textId="77777777" w:rsidTr="008F70F5">
        <w:trPr>
          <w:trHeight w:val="320"/>
        </w:trPr>
        <w:tc>
          <w:tcPr>
            <w:tcW w:w="3420" w:type="dxa"/>
            <w:vMerge/>
            <w:hideMark/>
          </w:tcPr>
          <w:p w14:paraId="62F06C52" w14:textId="77777777" w:rsidR="005D1232" w:rsidRPr="00FC12E2" w:rsidRDefault="005D1232" w:rsidP="008F70F5"/>
        </w:tc>
        <w:tc>
          <w:tcPr>
            <w:tcW w:w="1300" w:type="dxa"/>
            <w:noWrap/>
            <w:hideMark/>
          </w:tcPr>
          <w:p w14:paraId="3C786FD0" w14:textId="77777777" w:rsidR="005D1232" w:rsidRPr="00FC12E2" w:rsidRDefault="005D1232" w:rsidP="008F70F5">
            <w:r w:rsidRPr="00FC12E2">
              <w:t>25%</w:t>
            </w:r>
          </w:p>
        </w:tc>
        <w:tc>
          <w:tcPr>
            <w:tcW w:w="1300" w:type="dxa"/>
            <w:noWrap/>
            <w:hideMark/>
          </w:tcPr>
          <w:p w14:paraId="73665939" w14:textId="77777777" w:rsidR="005D1232" w:rsidRPr="00FC12E2" w:rsidRDefault="005D1232" w:rsidP="008F70F5">
            <w:r w:rsidRPr="00FC12E2">
              <w:t>75%</w:t>
            </w:r>
          </w:p>
        </w:tc>
        <w:tc>
          <w:tcPr>
            <w:tcW w:w="1300" w:type="dxa"/>
            <w:noWrap/>
            <w:hideMark/>
          </w:tcPr>
          <w:p w14:paraId="3879D7AB" w14:textId="77777777" w:rsidR="005D1232" w:rsidRPr="00FC12E2" w:rsidRDefault="005D1232" w:rsidP="008F70F5">
            <w:r w:rsidRPr="00FC12E2">
              <w:t>90%</w:t>
            </w:r>
          </w:p>
        </w:tc>
      </w:tr>
      <w:tr w:rsidR="005D1232" w:rsidRPr="00FC12E2" w14:paraId="1B2FE7EB" w14:textId="77777777" w:rsidTr="008F70F5">
        <w:trPr>
          <w:trHeight w:val="320"/>
        </w:trPr>
        <w:tc>
          <w:tcPr>
            <w:tcW w:w="3420" w:type="dxa"/>
            <w:noWrap/>
            <w:hideMark/>
          </w:tcPr>
          <w:p w14:paraId="616CBFB6" w14:textId="77777777" w:rsidR="005D1232" w:rsidRPr="00FC12E2" w:rsidRDefault="005D1232" w:rsidP="008F70F5">
            <w:r w:rsidRPr="00FC12E2">
              <w:t>EVs (vehicles per household)</w:t>
            </w:r>
          </w:p>
        </w:tc>
        <w:tc>
          <w:tcPr>
            <w:tcW w:w="1300" w:type="dxa"/>
            <w:noWrap/>
            <w:hideMark/>
          </w:tcPr>
          <w:p w14:paraId="240396BD" w14:textId="77777777" w:rsidR="005D1232" w:rsidRPr="00FC12E2" w:rsidRDefault="005D1232" w:rsidP="008F70F5">
            <w:r w:rsidRPr="00FC12E2">
              <w:t>1.13</w:t>
            </w:r>
          </w:p>
        </w:tc>
        <w:tc>
          <w:tcPr>
            <w:tcW w:w="1300" w:type="dxa"/>
            <w:noWrap/>
            <w:hideMark/>
          </w:tcPr>
          <w:p w14:paraId="38BAA089" w14:textId="77777777" w:rsidR="005D1232" w:rsidRPr="00FC12E2" w:rsidRDefault="005D1232" w:rsidP="008F70F5">
            <w:r w:rsidRPr="00FC12E2">
              <w:t>1.31</w:t>
            </w:r>
          </w:p>
        </w:tc>
        <w:tc>
          <w:tcPr>
            <w:tcW w:w="1300" w:type="dxa"/>
            <w:noWrap/>
            <w:hideMark/>
          </w:tcPr>
          <w:p w14:paraId="6AAD735F" w14:textId="77777777" w:rsidR="005D1232" w:rsidRPr="00FC12E2" w:rsidRDefault="005D1232" w:rsidP="008F70F5">
            <w:r w:rsidRPr="00FC12E2">
              <w:t>1.78</w:t>
            </w:r>
          </w:p>
        </w:tc>
      </w:tr>
      <w:tr w:rsidR="005D1232" w:rsidRPr="00FC12E2" w14:paraId="5CB8D322" w14:textId="77777777" w:rsidTr="008F70F5">
        <w:trPr>
          <w:trHeight w:val="320"/>
        </w:trPr>
        <w:tc>
          <w:tcPr>
            <w:tcW w:w="3420" w:type="dxa"/>
            <w:noWrap/>
            <w:hideMark/>
          </w:tcPr>
          <w:p w14:paraId="17E0E523" w14:textId="77777777" w:rsidR="005D1232" w:rsidRPr="00FC12E2" w:rsidRDefault="005D1232" w:rsidP="008F70F5">
            <w:r w:rsidRPr="00FC12E2">
              <w:t>HPs (heat pumps per household)</w:t>
            </w:r>
          </w:p>
        </w:tc>
        <w:tc>
          <w:tcPr>
            <w:tcW w:w="1300" w:type="dxa"/>
            <w:noWrap/>
            <w:hideMark/>
          </w:tcPr>
          <w:p w14:paraId="29C31D20" w14:textId="77777777" w:rsidR="005D1232" w:rsidRPr="00FC12E2" w:rsidRDefault="005D1232" w:rsidP="008F70F5">
            <w:r w:rsidRPr="00FC12E2">
              <w:t>0.38</w:t>
            </w:r>
          </w:p>
        </w:tc>
        <w:tc>
          <w:tcPr>
            <w:tcW w:w="1300" w:type="dxa"/>
            <w:noWrap/>
            <w:hideMark/>
          </w:tcPr>
          <w:p w14:paraId="3D410AF3" w14:textId="77777777" w:rsidR="005D1232" w:rsidRPr="00FC12E2" w:rsidRDefault="005D1232" w:rsidP="008F70F5">
            <w:r w:rsidRPr="00FC12E2">
              <w:t>0.82</w:t>
            </w:r>
          </w:p>
        </w:tc>
        <w:tc>
          <w:tcPr>
            <w:tcW w:w="1300" w:type="dxa"/>
            <w:noWrap/>
            <w:hideMark/>
          </w:tcPr>
          <w:p w14:paraId="034DDA35" w14:textId="77777777" w:rsidR="005D1232" w:rsidRPr="00FC12E2" w:rsidRDefault="005D1232" w:rsidP="008F70F5">
            <w:r w:rsidRPr="00FC12E2">
              <w:t>1.11</w:t>
            </w:r>
          </w:p>
        </w:tc>
      </w:tr>
      <w:tr w:rsidR="005D1232" w:rsidRPr="00FC12E2" w14:paraId="419DB6DE" w14:textId="77777777" w:rsidTr="008F70F5">
        <w:trPr>
          <w:trHeight w:val="320"/>
        </w:trPr>
        <w:tc>
          <w:tcPr>
            <w:tcW w:w="3420" w:type="dxa"/>
            <w:noWrap/>
            <w:hideMark/>
          </w:tcPr>
          <w:p w14:paraId="39889BD1" w14:textId="77777777" w:rsidR="005D1232" w:rsidRPr="00FC12E2" w:rsidRDefault="005D1232" w:rsidP="008F70F5">
            <w:r w:rsidRPr="00FC12E2">
              <w:t>PV (kW per household)</w:t>
            </w:r>
          </w:p>
        </w:tc>
        <w:tc>
          <w:tcPr>
            <w:tcW w:w="1300" w:type="dxa"/>
            <w:noWrap/>
            <w:hideMark/>
          </w:tcPr>
          <w:p w14:paraId="48CE70F3" w14:textId="77777777" w:rsidR="005D1232" w:rsidRPr="00FC12E2" w:rsidRDefault="005D1232" w:rsidP="008F70F5">
            <w:r w:rsidRPr="00FC12E2">
              <w:t>0.51</w:t>
            </w:r>
          </w:p>
        </w:tc>
        <w:tc>
          <w:tcPr>
            <w:tcW w:w="1300" w:type="dxa"/>
            <w:noWrap/>
            <w:hideMark/>
          </w:tcPr>
          <w:p w14:paraId="32CFF3D1" w14:textId="77777777" w:rsidR="005D1232" w:rsidRPr="00FC12E2" w:rsidRDefault="005D1232" w:rsidP="008F70F5">
            <w:r w:rsidRPr="00FC12E2">
              <w:t>1.29</w:t>
            </w:r>
          </w:p>
        </w:tc>
        <w:tc>
          <w:tcPr>
            <w:tcW w:w="1300" w:type="dxa"/>
            <w:noWrap/>
            <w:hideMark/>
          </w:tcPr>
          <w:p w14:paraId="6EC97516" w14:textId="77777777" w:rsidR="005D1232" w:rsidRPr="00FC12E2" w:rsidRDefault="005D1232" w:rsidP="008F70F5">
            <w:r w:rsidRPr="00FC12E2">
              <w:t>2.23</w:t>
            </w:r>
          </w:p>
        </w:tc>
      </w:tr>
      <w:tr w:rsidR="005D1232" w:rsidRPr="00FC12E2" w14:paraId="68B699B1" w14:textId="77777777" w:rsidTr="008F70F5">
        <w:trPr>
          <w:trHeight w:val="320"/>
        </w:trPr>
        <w:tc>
          <w:tcPr>
            <w:tcW w:w="3420" w:type="dxa"/>
            <w:noWrap/>
            <w:hideMark/>
          </w:tcPr>
          <w:p w14:paraId="5A7D2F73" w14:textId="77777777" w:rsidR="005D1232" w:rsidRPr="00FC12E2" w:rsidRDefault="005D1232" w:rsidP="008F70F5">
            <w:r w:rsidRPr="00FC12E2">
              <w:t>Meters per substation (Urban)</w:t>
            </w:r>
          </w:p>
        </w:tc>
        <w:tc>
          <w:tcPr>
            <w:tcW w:w="1300" w:type="dxa"/>
            <w:noWrap/>
            <w:hideMark/>
          </w:tcPr>
          <w:p w14:paraId="0F922F97" w14:textId="77777777" w:rsidR="005D1232" w:rsidRPr="00FC12E2" w:rsidRDefault="005D1232" w:rsidP="008F70F5">
            <w:r w:rsidRPr="00FC12E2">
              <w:t>94</w:t>
            </w:r>
          </w:p>
        </w:tc>
        <w:tc>
          <w:tcPr>
            <w:tcW w:w="1300" w:type="dxa"/>
            <w:noWrap/>
            <w:hideMark/>
          </w:tcPr>
          <w:p w14:paraId="76385B0A" w14:textId="77777777" w:rsidR="005D1232" w:rsidRPr="00FC12E2" w:rsidRDefault="005D1232" w:rsidP="008F70F5">
            <w:r w:rsidRPr="00FC12E2">
              <w:t>158</w:t>
            </w:r>
          </w:p>
        </w:tc>
        <w:tc>
          <w:tcPr>
            <w:tcW w:w="1300" w:type="dxa"/>
            <w:noWrap/>
            <w:hideMark/>
          </w:tcPr>
          <w:p w14:paraId="6B098EC2" w14:textId="77777777" w:rsidR="005D1232" w:rsidRPr="00FC12E2" w:rsidRDefault="005D1232" w:rsidP="008F70F5">
            <w:r w:rsidRPr="00FC12E2">
              <w:t>219</w:t>
            </w:r>
          </w:p>
        </w:tc>
      </w:tr>
      <w:tr w:rsidR="005D1232" w:rsidRPr="00FC12E2" w14:paraId="3D5683AC" w14:textId="77777777" w:rsidTr="008F70F5">
        <w:trPr>
          <w:trHeight w:val="320"/>
        </w:trPr>
        <w:tc>
          <w:tcPr>
            <w:tcW w:w="3420" w:type="dxa"/>
            <w:noWrap/>
            <w:hideMark/>
          </w:tcPr>
          <w:p w14:paraId="403306D3" w14:textId="77777777" w:rsidR="005D1232" w:rsidRPr="00FC12E2" w:rsidRDefault="005D1232" w:rsidP="008F70F5">
            <w:r w:rsidRPr="00FC12E2">
              <w:t>Meters per substation (City)</w:t>
            </w:r>
          </w:p>
        </w:tc>
        <w:tc>
          <w:tcPr>
            <w:tcW w:w="1300" w:type="dxa"/>
            <w:noWrap/>
            <w:hideMark/>
          </w:tcPr>
          <w:p w14:paraId="0099993C" w14:textId="77777777" w:rsidR="005D1232" w:rsidRPr="00FC12E2" w:rsidRDefault="005D1232" w:rsidP="008F70F5">
            <w:r w:rsidRPr="00FC12E2">
              <w:t>66</w:t>
            </w:r>
          </w:p>
        </w:tc>
        <w:tc>
          <w:tcPr>
            <w:tcW w:w="1300" w:type="dxa"/>
            <w:noWrap/>
            <w:hideMark/>
          </w:tcPr>
          <w:p w14:paraId="1F983857" w14:textId="77777777" w:rsidR="005D1232" w:rsidRPr="00FC12E2" w:rsidRDefault="005D1232" w:rsidP="008F70F5">
            <w:r w:rsidRPr="00FC12E2">
              <w:t>127</w:t>
            </w:r>
          </w:p>
        </w:tc>
        <w:tc>
          <w:tcPr>
            <w:tcW w:w="1300" w:type="dxa"/>
            <w:noWrap/>
            <w:hideMark/>
          </w:tcPr>
          <w:p w14:paraId="2DB61529" w14:textId="77777777" w:rsidR="005D1232" w:rsidRPr="00FC12E2" w:rsidRDefault="005D1232" w:rsidP="008F70F5">
            <w:r w:rsidRPr="00FC12E2">
              <w:t>154</w:t>
            </w:r>
          </w:p>
        </w:tc>
      </w:tr>
      <w:tr w:rsidR="005D1232" w:rsidRPr="00FC12E2" w14:paraId="6667BD5B" w14:textId="77777777" w:rsidTr="008F70F5">
        <w:trPr>
          <w:trHeight w:val="320"/>
        </w:trPr>
        <w:tc>
          <w:tcPr>
            <w:tcW w:w="3420" w:type="dxa"/>
            <w:noWrap/>
            <w:hideMark/>
          </w:tcPr>
          <w:p w14:paraId="3B064167" w14:textId="77777777" w:rsidR="005D1232" w:rsidRPr="00FC12E2" w:rsidRDefault="005D1232" w:rsidP="008F70F5">
            <w:r w:rsidRPr="00FC12E2">
              <w:t>Meters per substation (Town)</w:t>
            </w:r>
          </w:p>
        </w:tc>
        <w:tc>
          <w:tcPr>
            <w:tcW w:w="1300" w:type="dxa"/>
            <w:noWrap/>
            <w:hideMark/>
          </w:tcPr>
          <w:p w14:paraId="7A07DB64" w14:textId="77777777" w:rsidR="005D1232" w:rsidRPr="00FC12E2" w:rsidRDefault="005D1232" w:rsidP="008F70F5">
            <w:r w:rsidRPr="00FC12E2">
              <w:t>20</w:t>
            </w:r>
          </w:p>
        </w:tc>
        <w:tc>
          <w:tcPr>
            <w:tcW w:w="1300" w:type="dxa"/>
            <w:noWrap/>
            <w:hideMark/>
          </w:tcPr>
          <w:p w14:paraId="1A787667" w14:textId="77777777" w:rsidR="005D1232" w:rsidRPr="00FC12E2" w:rsidRDefault="005D1232" w:rsidP="008F70F5">
            <w:r w:rsidRPr="00FC12E2">
              <w:t>65</w:t>
            </w:r>
          </w:p>
        </w:tc>
        <w:tc>
          <w:tcPr>
            <w:tcW w:w="1300" w:type="dxa"/>
            <w:noWrap/>
            <w:hideMark/>
          </w:tcPr>
          <w:p w14:paraId="1A6316A0" w14:textId="77777777" w:rsidR="005D1232" w:rsidRPr="00FC12E2" w:rsidRDefault="005D1232" w:rsidP="008F70F5">
            <w:r w:rsidRPr="00FC12E2">
              <w:t>97</w:t>
            </w:r>
          </w:p>
        </w:tc>
      </w:tr>
      <w:tr w:rsidR="005D1232" w:rsidRPr="00FC12E2" w14:paraId="10B2DB68" w14:textId="77777777" w:rsidTr="008F70F5">
        <w:trPr>
          <w:trHeight w:val="320"/>
        </w:trPr>
        <w:tc>
          <w:tcPr>
            <w:tcW w:w="3420" w:type="dxa"/>
            <w:noWrap/>
            <w:hideMark/>
          </w:tcPr>
          <w:p w14:paraId="34D845F8" w14:textId="77777777" w:rsidR="005D1232" w:rsidRPr="00FC12E2" w:rsidRDefault="005D1232" w:rsidP="008F70F5">
            <w:r w:rsidRPr="00FC12E2">
              <w:t>Meters per substation (Village)</w:t>
            </w:r>
          </w:p>
        </w:tc>
        <w:tc>
          <w:tcPr>
            <w:tcW w:w="1300" w:type="dxa"/>
            <w:noWrap/>
            <w:hideMark/>
          </w:tcPr>
          <w:p w14:paraId="680102DF" w14:textId="77777777" w:rsidR="005D1232" w:rsidRPr="00FC12E2" w:rsidRDefault="005D1232" w:rsidP="008F70F5">
            <w:r w:rsidRPr="00FC12E2">
              <w:t>13</w:t>
            </w:r>
          </w:p>
        </w:tc>
        <w:tc>
          <w:tcPr>
            <w:tcW w:w="1300" w:type="dxa"/>
            <w:noWrap/>
            <w:hideMark/>
          </w:tcPr>
          <w:p w14:paraId="09D825AB" w14:textId="77777777" w:rsidR="005D1232" w:rsidRPr="00FC12E2" w:rsidRDefault="005D1232" w:rsidP="008F70F5">
            <w:r w:rsidRPr="00FC12E2">
              <w:t>16</w:t>
            </w:r>
          </w:p>
        </w:tc>
        <w:tc>
          <w:tcPr>
            <w:tcW w:w="1300" w:type="dxa"/>
            <w:noWrap/>
            <w:hideMark/>
          </w:tcPr>
          <w:p w14:paraId="4429BFE0" w14:textId="77777777" w:rsidR="005D1232" w:rsidRPr="00FC12E2" w:rsidRDefault="005D1232" w:rsidP="008F70F5">
            <w:r w:rsidRPr="00FC12E2">
              <w:t>18</w:t>
            </w:r>
          </w:p>
        </w:tc>
      </w:tr>
    </w:tbl>
    <w:p w14:paraId="3897CEE4" w14:textId="77777777" w:rsidR="005D1232" w:rsidRPr="00FC12E2" w:rsidRDefault="005D1232" w:rsidP="005D1232"/>
    <w:p w14:paraId="32E8DDD1" w14:textId="77777777" w:rsidR="005D1232" w:rsidRDefault="005D1232" w:rsidP="005D1232">
      <w:pPr>
        <w:pStyle w:val="Heading3"/>
      </w:pPr>
      <w:r>
        <w:t>Local Flexibility Savings and Rurality, L</w:t>
      </w:r>
      <w:r w:rsidRPr="00B63EF9">
        <w:t xml:space="preserve">ow </w:t>
      </w:r>
      <w:r>
        <w:t>C</w:t>
      </w:r>
      <w:r w:rsidRPr="00B63EF9">
        <w:t xml:space="preserve">arbon </w:t>
      </w:r>
      <w:r>
        <w:t>T</w:t>
      </w:r>
      <w:r w:rsidRPr="00B63EF9">
        <w:t xml:space="preserve">echnology </w:t>
      </w:r>
      <w:r>
        <w:t>Deployment, and Network Infrastructure</w:t>
      </w:r>
    </w:p>
    <w:p w14:paraId="2A925E5D" w14:textId="2888188D" w:rsidR="005D1232" w:rsidRDefault="005D1232" w:rsidP="005D1232">
      <w:pPr>
        <w:spacing w:line="240" w:lineRule="auto"/>
      </w:pPr>
      <w:r>
        <w:t>Local cost savings associated with flexibility deployment show no clear relationship with rurality, l</w:t>
      </w:r>
      <w:r w:rsidRPr="00B63EF9">
        <w:t xml:space="preserve">ow carbon technology </w:t>
      </w:r>
      <w:r>
        <w:t>deployment or substation density (</w:t>
      </w:r>
      <w:r w:rsidR="00065FC7">
        <w:rPr>
          <w:b/>
          <w:bCs/>
        </w:rPr>
        <w:t>Figure S</w:t>
      </w:r>
      <w:r w:rsidR="00E01F5A">
        <w:rPr>
          <w:b/>
          <w:bCs/>
          <w:noProof/>
        </w:rPr>
        <w:t>3</w:t>
      </w:r>
      <w:r>
        <w:t xml:space="preserve">, </w:t>
      </w:r>
      <w:r w:rsidR="00065FC7">
        <w:rPr>
          <w:b/>
          <w:bCs/>
        </w:rPr>
        <w:t>Figure S</w:t>
      </w:r>
      <w:r w:rsidR="00E01F5A">
        <w:rPr>
          <w:b/>
          <w:bCs/>
          <w:noProof/>
        </w:rPr>
        <w:t>4</w:t>
      </w:r>
      <w:r w:rsidR="00065FC7">
        <w:rPr>
          <w:b/>
          <w:bCs/>
        </w:rPr>
        <w:t xml:space="preserve">). </w:t>
      </w:r>
      <w:r>
        <w:t xml:space="preserve">This suggests that it is difficult to develop general rules for where flexibility will be most beneficial, and specific details of each </w:t>
      </w:r>
      <w:proofErr w:type="gramStart"/>
      <w:r>
        <w:t>locations</w:t>
      </w:r>
      <w:proofErr w:type="gramEnd"/>
      <w:r>
        <w:t xml:space="preserve"> should be considered on a case by case basis.</w:t>
      </w:r>
    </w:p>
    <w:p w14:paraId="4C3ADB8B" w14:textId="77777777" w:rsidR="005D1232" w:rsidRDefault="005D1232" w:rsidP="005D1232">
      <w:pPr>
        <w:spacing w:line="240" w:lineRule="auto"/>
      </w:pPr>
    </w:p>
    <w:p w14:paraId="09054176" w14:textId="77777777" w:rsidR="005D1232" w:rsidRDefault="005D1232" w:rsidP="005D1232">
      <w:pPr>
        <w:spacing w:line="276" w:lineRule="auto"/>
      </w:pPr>
      <w:r w:rsidRPr="003E5F36">
        <w:rPr>
          <w:noProof/>
          <w:lang w:val="it-IT" w:eastAsia="it-IT"/>
        </w:rPr>
        <w:drawing>
          <wp:inline distT="0" distB="0" distL="0" distR="0" wp14:anchorId="3ED3709F" wp14:editId="50944ADE">
            <wp:extent cx="5831840" cy="2915920"/>
            <wp:effectExtent l="0" t="0" r="0" b="5080"/>
            <wp:docPr id="15" name="Picture 15"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31840" cy="2915920"/>
                    </a:xfrm>
                    <a:prstGeom prst="rect">
                      <a:avLst/>
                    </a:prstGeom>
                  </pic:spPr>
                </pic:pic>
              </a:graphicData>
            </a:graphic>
          </wp:inline>
        </w:drawing>
      </w:r>
    </w:p>
    <w:p w14:paraId="29ACF6CE" w14:textId="2663B8F0" w:rsidR="005D1232" w:rsidRDefault="00065FC7" w:rsidP="005D1232">
      <w:pPr>
        <w:spacing w:line="240" w:lineRule="auto"/>
        <w:jc w:val="both"/>
      </w:pPr>
      <w:bookmarkStart w:id="3" w:name="_Ref113017574"/>
      <w:bookmarkStart w:id="4" w:name="_Ref113017565"/>
      <w:r>
        <w:rPr>
          <w:b/>
          <w:bCs/>
        </w:rPr>
        <w:t>Figure S</w:t>
      </w:r>
      <w:r w:rsidR="00E01F5A">
        <w:rPr>
          <w:b/>
          <w:bCs/>
          <w:noProof/>
        </w:rPr>
        <w:t>3</w:t>
      </w:r>
      <w:bookmarkEnd w:id="3"/>
      <w:r w:rsidR="005D1232">
        <w:t xml:space="preserve"> </w:t>
      </w:r>
      <w:r w:rsidR="005D1232">
        <w:rPr>
          <w:b/>
          <w:bCs/>
        </w:rPr>
        <w:t xml:space="preserve">Local flexibility savings </w:t>
      </w:r>
      <w:r w:rsidR="005D1232">
        <w:t>Violin plots showing distribution of local savings associated with flexibility across LSOAs of each rurality category</w:t>
      </w:r>
      <w:bookmarkEnd w:id="4"/>
      <w:r w:rsidR="005D1232">
        <w:t xml:space="preserve"> </w:t>
      </w:r>
    </w:p>
    <w:p w14:paraId="6B84F362" w14:textId="77777777" w:rsidR="005D1232" w:rsidRDefault="005D1232" w:rsidP="005D1232">
      <w:r w:rsidRPr="00597472">
        <w:rPr>
          <w:noProof/>
          <w:lang w:val="it-IT" w:eastAsia="it-IT"/>
        </w:rPr>
        <w:lastRenderedPageBreak/>
        <w:drawing>
          <wp:inline distT="0" distB="0" distL="0" distR="0" wp14:anchorId="64090EF2" wp14:editId="4A8F541F">
            <wp:extent cx="2451100" cy="1778000"/>
            <wp:effectExtent l="0" t="0" r="0" b="0"/>
            <wp:docPr id="17" name="Picture 1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hart, bar chart&#10;&#10;Description automatically generated"/>
                    <pic:cNvPicPr/>
                  </pic:nvPicPr>
                  <pic:blipFill>
                    <a:blip r:embed="rId11"/>
                    <a:stretch>
                      <a:fillRect/>
                    </a:stretch>
                  </pic:blipFill>
                  <pic:spPr>
                    <a:xfrm>
                      <a:off x="0" y="0"/>
                      <a:ext cx="2451100" cy="1778000"/>
                    </a:xfrm>
                    <a:prstGeom prst="rect">
                      <a:avLst/>
                    </a:prstGeom>
                  </pic:spPr>
                </pic:pic>
              </a:graphicData>
            </a:graphic>
          </wp:inline>
        </w:drawing>
      </w:r>
      <w:r w:rsidRPr="00597472">
        <w:rPr>
          <w:noProof/>
          <w:lang w:val="it-IT" w:eastAsia="it-IT"/>
        </w:rPr>
        <w:drawing>
          <wp:inline distT="0" distB="0" distL="0" distR="0" wp14:anchorId="779B0CEA" wp14:editId="124B5D2E">
            <wp:extent cx="2451100" cy="1778000"/>
            <wp:effectExtent l="0" t="0" r="0" b="0"/>
            <wp:docPr id="19" name="Picture 1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Chart, bar chart&#10;&#10;Description automatically generated"/>
                    <pic:cNvPicPr/>
                  </pic:nvPicPr>
                  <pic:blipFill>
                    <a:blip r:embed="rId12"/>
                    <a:stretch>
                      <a:fillRect/>
                    </a:stretch>
                  </pic:blipFill>
                  <pic:spPr>
                    <a:xfrm>
                      <a:off x="0" y="0"/>
                      <a:ext cx="2451100" cy="1778000"/>
                    </a:xfrm>
                    <a:prstGeom prst="rect">
                      <a:avLst/>
                    </a:prstGeom>
                  </pic:spPr>
                </pic:pic>
              </a:graphicData>
            </a:graphic>
          </wp:inline>
        </w:drawing>
      </w:r>
    </w:p>
    <w:p w14:paraId="6679D96E" w14:textId="77777777" w:rsidR="005D1232" w:rsidRDefault="005D1232" w:rsidP="005D1232">
      <w:r w:rsidRPr="00597472">
        <w:rPr>
          <w:noProof/>
          <w:lang w:val="it-IT" w:eastAsia="it-IT"/>
        </w:rPr>
        <w:drawing>
          <wp:inline distT="0" distB="0" distL="0" distR="0" wp14:anchorId="70425E09" wp14:editId="3D1E858B">
            <wp:extent cx="2451100" cy="1778000"/>
            <wp:effectExtent l="0" t="0" r="0" b="0"/>
            <wp:docPr id="20" name="Picture 20" descr="A picture containing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picture containing Teams&#10;&#10;Description automatically generated"/>
                    <pic:cNvPicPr/>
                  </pic:nvPicPr>
                  <pic:blipFill>
                    <a:blip r:embed="rId13"/>
                    <a:stretch>
                      <a:fillRect/>
                    </a:stretch>
                  </pic:blipFill>
                  <pic:spPr>
                    <a:xfrm>
                      <a:off x="0" y="0"/>
                      <a:ext cx="2451100" cy="1778000"/>
                    </a:xfrm>
                    <a:prstGeom prst="rect">
                      <a:avLst/>
                    </a:prstGeom>
                  </pic:spPr>
                </pic:pic>
              </a:graphicData>
            </a:graphic>
          </wp:inline>
        </w:drawing>
      </w:r>
      <w:r w:rsidRPr="00597472">
        <w:rPr>
          <w:noProof/>
          <w:lang w:val="it-IT" w:eastAsia="it-IT"/>
        </w:rPr>
        <w:drawing>
          <wp:inline distT="0" distB="0" distL="0" distR="0" wp14:anchorId="56F5EC27" wp14:editId="33717906">
            <wp:extent cx="2451100" cy="1778000"/>
            <wp:effectExtent l="0" t="0" r="0" b="0"/>
            <wp:docPr id="26" name="Picture 2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Chart, bar chart&#10;&#10;Description automatically generated"/>
                    <pic:cNvPicPr/>
                  </pic:nvPicPr>
                  <pic:blipFill>
                    <a:blip r:embed="rId14"/>
                    <a:stretch>
                      <a:fillRect/>
                    </a:stretch>
                  </pic:blipFill>
                  <pic:spPr>
                    <a:xfrm>
                      <a:off x="0" y="0"/>
                      <a:ext cx="2451100" cy="1778000"/>
                    </a:xfrm>
                    <a:prstGeom prst="rect">
                      <a:avLst/>
                    </a:prstGeom>
                  </pic:spPr>
                </pic:pic>
              </a:graphicData>
            </a:graphic>
          </wp:inline>
        </w:drawing>
      </w:r>
    </w:p>
    <w:p w14:paraId="6B974147" w14:textId="490F7B51" w:rsidR="005D1232" w:rsidRDefault="00065FC7" w:rsidP="005D1232">
      <w:pPr>
        <w:spacing w:line="276" w:lineRule="auto"/>
      </w:pPr>
      <w:bookmarkStart w:id="5" w:name="_Ref113017576"/>
      <w:r>
        <w:rPr>
          <w:b/>
          <w:bCs/>
        </w:rPr>
        <w:t>Figure S</w:t>
      </w:r>
      <w:r w:rsidR="00E01F5A">
        <w:rPr>
          <w:b/>
          <w:bCs/>
          <w:noProof/>
        </w:rPr>
        <w:t>4</w:t>
      </w:r>
      <w:bookmarkEnd w:id="5"/>
      <w:r w:rsidR="005D1232">
        <w:t xml:space="preserve"> </w:t>
      </w:r>
      <w:r w:rsidR="005D1232">
        <w:rPr>
          <w:b/>
          <w:bCs/>
        </w:rPr>
        <w:t>Local flexibility savings: combined impact of rurality, technology deployment, and network infrastructure on required local network upgrade savings</w:t>
      </w:r>
      <w:r w:rsidR="005D1232">
        <w:t xml:space="preserve"> Mean local network upgrade savings amongst LSOAs with low (below 25</w:t>
      </w:r>
      <w:r w:rsidR="005D1232" w:rsidRPr="005F71AC">
        <w:rPr>
          <w:vertAlign w:val="superscript"/>
        </w:rPr>
        <w:t>th</w:t>
      </w:r>
      <w:r w:rsidR="005D1232">
        <w:t xml:space="preserve"> percentile), medium (25</w:t>
      </w:r>
      <w:r w:rsidR="005D1232" w:rsidRPr="005F71AC">
        <w:rPr>
          <w:vertAlign w:val="superscript"/>
        </w:rPr>
        <w:t>th</w:t>
      </w:r>
      <w:r w:rsidR="005D1232">
        <w:t xml:space="preserve"> to 75</w:t>
      </w:r>
      <w:r w:rsidR="005D1232" w:rsidRPr="005F71AC">
        <w:rPr>
          <w:vertAlign w:val="superscript"/>
        </w:rPr>
        <w:t>th</w:t>
      </w:r>
      <w:r w:rsidR="005D1232">
        <w:t xml:space="preserve"> percentile), high (above 75</w:t>
      </w:r>
      <w:r w:rsidR="005D1232" w:rsidRPr="005F71AC">
        <w:rPr>
          <w:vertAlign w:val="superscript"/>
        </w:rPr>
        <w:t>th</w:t>
      </w:r>
      <w:r w:rsidR="005D1232">
        <w:t xml:space="preserve"> percentile) and very high (above 90</w:t>
      </w:r>
      <w:r w:rsidR="005D1232" w:rsidRPr="005F71AC">
        <w:rPr>
          <w:vertAlign w:val="superscript"/>
        </w:rPr>
        <w:t>th</w:t>
      </w:r>
      <w:r w:rsidR="005D1232">
        <w:t xml:space="preserve"> percentile) deployment of (a) EVs, (b) HPs, (c) PV, and (d) number of meters per substation. In (</w:t>
      </w:r>
      <w:proofErr w:type="spellStart"/>
      <w:proofErr w:type="gramStart"/>
      <w:r w:rsidR="005D1232">
        <w:t>a,b</w:t>
      </w:r>
      <w:proofErr w:type="gramEnd"/>
      <w:r w:rsidR="005D1232">
        <w:t>,c</w:t>
      </w:r>
      <w:proofErr w:type="spellEnd"/>
      <w:r w:rsidR="005D1232">
        <w:t>) these percentiles are derived from the entire distribution across GB, whilst in (d) these percentiles are only considered across LSOAs of the same rurality.</w:t>
      </w:r>
    </w:p>
    <w:p w14:paraId="24B02559" w14:textId="77777777" w:rsidR="005D1232" w:rsidRDefault="005D1232" w:rsidP="005D1232">
      <w:pPr>
        <w:spacing w:line="240" w:lineRule="auto"/>
      </w:pPr>
    </w:p>
    <w:p w14:paraId="1495982F" w14:textId="77777777" w:rsidR="005D1232" w:rsidRDefault="005D1232" w:rsidP="005D1232">
      <w:pPr>
        <w:spacing w:line="240" w:lineRule="auto"/>
      </w:pPr>
    </w:p>
    <w:p w14:paraId="49FBF62D" w14:textId="77777777" w:rsidR="005D1232" w:rsidRDefault="005D1232" w:rsidP="005D1232">
      <w:pPr>
        <w:pStyle w:val="Heading3"/>
      </w:pPr>
      <w:r>
        <w:t>Findings at a Regional Level</w:t>
      </w:r>
    </w:p>
    <w:p w14:paraId="621FF18A" w14:textId="77777777" w:rsidR="005D1232" w:rsidRDefault="005D1232" w:rsidP="005D1232">
      <w:pPr>
        <w:spacing w:line="240" w:lineRule="auto"/>
      </w:pPr>
    </w:p>
    <w:p w14:paraId="7E822920" w14:textId="0F7E8D25" w:rsidR="005D1232" w:rsidRDefault="005D1232" w:rsidP="005D1232">
      <w:pPr>
        <w:spacing w:line="276" w:lineRule="auto"/>
      </w:pPr>
      <w:r>
        <w:rPr>
          <w:rFonts w:cs="Times New Roman (Body CS)"/>
        </w:rPr>
        <w:t xml:space="preserve">Each section of regional network (high and medium voltage infrastructure from 66 kV to 6.6 kV) </w:t>
      </w:r>
      <w:r>
        <w:t>typically serves 5000 – 30,000 households</w:t>
      </w:r>
      <w:r w:rsidRPr="005D1232">
        <w:rPr>
          <w:noProof/>
          <w:vertAlign w:val="superscript"/>
        </w:rPr>
        <w:t>5,</w:t>
      </w:r>
      <w:proofErr w:type="gramStart"/>
      <w:r w:rsidRPr="005D1232">
        <w:rPr>
          <w:noProof/>
          <w:vertAlign w:val="superscript"/>
        </w:rPr>
        <w:t>6</w:t>
      </w:r>
      <w:r>
        <w:t xml:space="preserve">  spanning</w:t>
      </w:r>
      <w:proofErr w:type="gramEnd"/>
      <w:r>
        <w:t xml:space="preserve"> multiple LSOAs through multiple local networks. As such, directly simulating impacts on regional networks over a single LSOA area is not meaningful. Instead, impacts are calculated for larger areas sharing meter density, l</w:t>
      </w:r>
      <w:r w:rsidRPr="00B63EF9">
        <w:t xml:space="preserve">ow carbon technology </w:t>
      </w:r>
      <w:r>
        <w:t>deployment, and local network infrastructure of a single LSOA. Calculated costs for these larger areas are then scaled down by to estimate the contribution of each LSOA to regional upgrade costs. These costs and associated savings are presented in figures below.</w:t>
      </w:r>
    </w:p>
    <w:p w14:paraId="6270A357" w14:textId="77777777" w:rsidR="005D1232" w:rsidRDefault="005D1232" w:rsidP="005D1232">
      <w:pPr>
        <w:spacing w:line="276" w:lineRule="auto"/>
      </w:pPr>
    </w:p>
    <w:p w14:paraId="16371E0B" w14:textId="311E3E0D" w:rsidR="005D1232" w:rsidRDefault="005D1232" w:rsidP="005D1232">
      <w:pPr>
        <w:spacing w:line="276" w:lineRule="auto"/>
      </w:pPr>
      <w:r>
        <w:t xml:space="preserve">Aggregated across GB (as in </w:t>
      </w:r>
      <w:r w:rsidR="00065FC7">
        <w:rPr>
          <w:b/>
          <w:bCs/>
        </w:rPr>
        <w:t>Figure S</w:t>
      </w:r>
      <w:r w:rsidR="00E01F5A">
        <w:rPr>
          <w:b/>
          <w:bCs/>
          <w:noProof/>
        </w:rPr>
        <w:t>5</w:t>
      </w:r>
      <w:r>
        <w:t>), these regional costs a similar dependence on l</w:t>
      </w:r>
      <w:r w:rsidRPr="00B63EF9">
        <w:t xml:space="preserve">ow carbon technology </w:t>
      </w:r>
      <w:r>
        <w:t xml:space="preserve">deployment as local </w:t>
      </w:r>
      <w:proofErr w:type="gramStart"/>
      <w:r>
        <w:t>costs, but</w:t>
      </w:r>
      <w:proofErr w:type="gramEnd"/>
      <w:r>
        <w:t xml:space="preserve"> are approximately four times higher. Regional costs display the opposite trend across ruralities to local network upgrade costs. This can be rationalised in terms of differences in network infrastructure. In contrast to local </w:t>
      </w:r>
      <w:r>
        <w:lastRenderedPageBreak/>
        <w:t xml:space="preserve">feeders, regional feeders are typically longer in rural areas, where clusters of buildings served by individual local networks are well separated, and shorter in urban areas, where local networks adjoin one another. The higher length of regional feeders in rural areas makes them more susceptible to overloading than shorter regional feeders in urban areas. </w:t>
      </w:r>
    </w:p>
    <w:p w14:paraId="5B8852E0" w14:textId="77777777" w:rsidR="005D1232" w:rsidRDefault="005D1232" w:rsidP="005D1232">
      <w:pPr>
        <w:spacing w:line="276" w:lineRule="auto"/>
      </w:pPr>
    </w:p>
    <w:p w14:paraId="17E05523" w14:textId="05A58706" w:rsidR="005D1232" w:rsidRDefault="00065FC7" w:rsidP="005D1232">
      <w:pPr>
        <w:spacing w:line="276" w:lineRule="auto"/>
        <w:rPr>
          <w:noProof/>
        </w:rPr>
      </w:pPr>
      <w:r>
        <w:rPr>
          <w:b/>
          <w:bCs/>
        </w:rPr>
        <w:t>Figure S</w:t>
      </w:r>
      <w:r w:rsidR="00E01F5A">
        <w:rPr>
          <w:b/>
          <w:bCs/>
          <w:noProof/>
        </w:rPr>
        <w:t>6</w:t>
      </w:r>
      <w:r w:rsidR="005D1232">
        <w:t xml:space="preserve"> shows how, respectively and separately, the </w:t>
      </w:r>
      <w:proofErr w:type="gramStart"/>
      <w:r w:rsidR="005D1232">
        <w:t>deployment  of</w:t>
      </w:r>
      <w:proofErr w:type="gramEnd"/>
      <w:r w:rsidR="005D1232">
        <w:t xml:space="preserve"> EVs, HPs, and PV (</w:t>
      </w:r>
      <w:r>
        <w:rPr>
          <w:b/>
          <w:bCs/>
        </w:rPr>
        <w:t>Figure S</w:t>
      </w:r>
      <w:r w:rsidR="00E01F5A">
        <w:rPr>
          <w:b/>
          <w:bCs/>
          <w:noProof/>
        </w:rPr>
        <w:t>6</w:t>
      </w:r>
      <w:r w:rsidR="005D1232" w:rsidRPr="00E01F5A">
        <w:rPr>
          <w:b/>
          <w:bCs/>
        </w:rPr>
        <w:t>a-c</w:t>
      </w:r>
      <w:r w:rsidR="005D1232">
        <w:t>) as well as local network characteristics (</w:t>
      </w:r>
      <w:r>
        <w:rPr>
          <w:b/>
          <w:bCs/>
        </w:rPr>
        <w:t>Figure S</w:t>
      </w:r>
      <w:r w:rsidR="00E01F5A">
        <w:rPr>
          <w:b/>
          <w:bCs/>
          <w:noProof/>
        </w:rPr>
        <w:t>6</w:t>
      </w:r>
      <w:r w:rsidR="005D1232" w:rsidRPr="00E01F5A">
        <w:rPr>
          <w:b/>
          <w:bCs/>
        </w:rPr>
        <w:t>d</w:t>
      </w:r>
      <w:r w:rsidR="005D1232">
        <w:t xml:space="preserve">)  impact on regional network upgrade cost within each rurality. This demonstrates similar trends to local upgrade costs with EV and HP deployment. However, here higher PV deployment and lower numbers of meter per substation tends to be associated with higher costs. This is probably not a direct result of PV deployment or local network infrastructure, but because each of </w:t>
      </w:r>
      <w:proofErr w:type="gramStart"/>
      <w:r w:rsidR="005D1232">
        <w:t>these correlate</w:t>
      </w:r>
      <w:proofErr w:type="gramEnd"/>
      <w:r w:rsidR="005D1232">
        <w:t xml:space="preserve"> with rurality</w:t>
      </w:r>
      <w:r w:rsidR="005D1232" w:rsidRPr="005D1232">
        <w:rPr>
          <w:noProof/>
          <w:vertAlign w:val="superscript"/>
        </w:rPr>
        <w:t>2,7</w:t>
      </w:r>
      <w:r w:rsidR="005D1232">
        <w:t>, which plays an important role in determining regional network upgrade cost, as discussed above.</w:t>
      </w:r>
    </w:p>
    <w:p w14:paraId="142ED990" w14:textId="77777777" w:rsidR="005D1232" w:rsidRDefault="005D1232" w:rsidP="005D1232">
      <w:pPr>
        <w:spacing w:line="276" w:lineRule="auto"/>
      </w:pPr>
    </w:p>
    <w:p w14:paraId="45CF44CB" w14:textId="0F4F6846" w:rsidR="005D1232" w:rsidRPr="00C8762D" w:rsidRDefault="005D1232" w:rsidP="00C8762D">
      <w:pPr>
        <w:spacing w:line="276" w:lineRule="auto"/>
      </w:pPr>
      <w:r>
        <w:t>In contrast with results at a local level, regional cost savings associated with flexibility is substantially higher in more rural than more urban areas (see</w:t>
      </w:r>
      <w:r w:rsidRPr="00E01F5A">
        <w:rPr>
          <w:b/>
          <w:bCs/>
        </w:rPr>
        <w:t xml:space="preserve"> </w:t>
      </w:r>
      <w:r w:rsidR="00065FC7">
        <w:rPr>
          <w:b/>
          <w:bCs/>
        </w:rPr>
        <w:t>Figure S</w:t>
      </w:r>
      <w:r w:rsidR="00E01F5A" w:rsidRPr="00E01F5A">
        <w:rPr>
          <w:b/>
          <w:bCs/>
        </w:rPr>
        <w:t>7</w:t>
      </w:r>
      <w:r>
        <w:t xml:space="preserve"> and </w:t>
      </w:r>
      <w:r w:rsidR="00065FC7">
        <w:rPr>
          <w:b/>
          <w:bCs/>
        </w:rPr>
        <w:t>Figure S</w:t>
      </w:r>
      <w:r w:rsidR="00E01F5A">
        <w:rPr>
          <w:b/>
          <w:bCs/>
          <w:noProof/>
        </w:rPr>
        <w:t>8</w:t>
      </w:r>
      <w:r>
        <w:t xml:space="preserve">). As such, more rural areas could represent a higher priority for more aggregated forms of flexibility.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8"/>
        <w:gridCol w:w="2696"/>
      </w:tblGrid>
      <w:tr w:rsidR="005D1232" w14:paraId="52564529" w14:textId="77777777" w:rsidTr="008F70F5">
        <w:trPr>
          <w:trHeight w:val="352"/>
        </w:trPr>
        <w:tc>
          <w:tcPr>
            <w:tcW w:w="7225" w:type="dxa"/>
          </w:tcPr>
          <w:p w14:paraId="3B8EF311" w14:textId="77777777" w:rsidR="005D1232" w:rsidRPr="00C21BD5" w:rsidRDefault="005D1232" w:rsidP="008F70F5">
            <w:pPr>
              <w:pStyle w:val="Caption"/>
              <w:spacing w:after="0" w:line="240" w:lineRule="auto"/>
              <w:jc w:val="center"/>
            </w:pPr>
            <w:r w:rsidRPr="00C21BD5">
              <w:t>(a)</w:t>
            </w:r>
          </w:p>
        </w:tc>
        <w:tc>
          <w:tcPr>
            <w:tcW w:w="1949" w:type="dxa"/>
          </w:tcPr>
          <w:p w14:paraId="760FAC6A" w14:textId="77777777" w:rsidR="005D1232" w:rsidRPr="00C21BD5" w:rsidRDefault="005D1232" w:rsidP="008F70F5">
            <w:pPr>
              <w:pStyle w:val="Caption"/>
              <w:spacing w:after="0" w:line="240" w:lineRule="auto"/>
              <w:jc w:val="center"/>
            </w:pPr>
            <w:r>
              <w:t>(b)</w:t>
            </w:r>
          </w:p>
        </w:tc>
      </w:tr>
      <w:tr w:rsidR="005D1232" w14:paraId="7BC343CA" w14:textId="77777777" w:rsidTr="008F70F5">
        <w:tc>
          <w:tcPr>
            <w:tcW w:w="7225" w:type="dxa"/>
          </w:tcPr>
          <w:p w14:paraId="52A80A0A" w14:textId="77777777" w:rsidR="005D1232" w:rsidRPr="00C21BD5" w:rsidRDefault="005D1232" w:rsidP="008F70F5">
            <w:pPr>
              <w:pStyle w:val="Caption"/>
              <w:spacing w:after="0" w:line="240" w:lineRule="auto"/>
              <w:jc w:val="center"/>
            </w:pPr>
            <w:r w:rsidRPr="005D6A9A">
              <w:rPr>
                <w:noProof/>
                <w:lang w:val="it-IT" w:eastAsia="it-IT"/>
              </w:rPr>
              <w:drawing>
                <wp:inline distT="0" distB="0" distL="0" distR="0" wp14:anchorId="233CA164" wp14:editId="6808345F">
                  <wp:extent cx="2513966" cy="1529450"/>
                  <wp:effectExtent l="0" t="0" r="635" b="0"/>
                  <wp:docPr id="52" name="Picture 5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Chart, bar char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13966" cy="1529450"/>
                          </a:xfrm>
                          <a:prstGeom prst="rect">
                            <a:avLst/>
                          </a:prstGeom>
                        </pic:spPr>
                      </pic:pic>
                    </a:graphicData>
                  </a:graphic>
                </wp:inline>
              </w:drawing>
            </w:r>
          </w:p>
        </w:tc>
        <w:tc>
          <w:tcPr>
            <w:tcW w:w="1949" w:type="dxa"/>
            <w:vMerge w:val="restart"/>
          </w:tcPr>
          <w:p w14:paraId="1395FACD" w14:textId="77777777" w:rsidR="005D1232" w:rsidRPr="00C21BD5" w:rsidRDefault="005D1232" w:rsidP="008F70F5">
            <w:pPr>
              <w:pStyle w:val="Caption"/>
              <w:spacing w:after="0" w:line="240" w:lineRule="auto"/>
              <w:jc w:val="center"/>
            </w:pPr>
            <w:r w:rsidRPr="005D6A9A">
              <w:rPr>
                <w:noProof/>
                <w:lang w:val="it-IT" w:eastAsia="it-IT"/>
              </w:rPr>
              <w:drawing>
                <wp:anchor distT="0" distB="0" distL="114300" distR="114300" simplePos="0" relativeHeight="251659264" behindDoc="0" locked="0" layoutInCell="1" allowOverlap="1" wp14:anchorId="1DCDFF73" wp14:editId="02CD9794">
                  <wp:simplePos x="0" y="0"/>
                  <wp:positionH relativeFrom="column">
                    <wp:posOffset>-1270</wp:posOffset>
                  </wp:positionH>
                  <wp:positionV relativeFrom="paragraph">
                    <wp:posOffset>315595</wp:posOffset>
                  </wp:positionV>
                  <wp:extent cx="1570285" cy="2880000"/>
                  <wp:effectExtent l="0" t="0" r="5080" b="3175"/>
                  <wp:wrapSquare wrapText="bothSides"/>
                  <wp:docPr id="48" name="Picture 4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Map&#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70285" cy="2880000"/>
                          </a:xfrm>
                          <a:prstGeom prst="rect">
                            <a:avLst/>
                          </a:prstGeom>
                        </pic:spPr>
                      </pic:pic>
                    </a:graphicData>
                  </a:graphic>
                  <wp14:sizeRelH relativeFrom="page">
                    <wp14:pctWidth>0</wp14:pctWidth>
                  </wp14:sizeRelH>
                  <wp14:sizeRelV relativeFrom="page">
                    <wp14:pctHeight>0</wp14:pctHeight>
                  </wp14:sizeRelV>
                </wp:anchor>
              </w:drawing>
            </w:r>
          </w:p>
        </w:tc>
      </w:tr>
      <w:tr w:rsidR="005D1232" w14:paraId="3DECB92A" w14:textId="77777777" w:rsidTr="008F70F5">
        <w:tc>
          <w:tcPr>
            <w:tcW w:w="7225" w:type="dxa"/>
          </w:tcPr>
          <w:p w14:paraId="0D0C9ADD" w14:textId="77777777" w:rsidR="005D1232" w:rsidRPr="00C21BD5" w:rsidRDefault="005D1232" w:rsidP="008F70F5">
            <w:pPr>
              <w:pStyle w:val="Caption"/>
              <w:spacing w:after="0" w:line="240" w:lineRule="auto"/>
              <w:jc w:val="center"/>
            </w:pPr>
            <w:r w:rsidRPr="00C21BD5">
              <w:t>(c)</w:t>
            </w:r>
          </w:p>
        </w:tc>
        <w:tc>
          <w:tcPr>
            <w:tcW w:w="1949" w:type="dxa"/>
            <w:vMerge/>
          </w:tcPr>
          <w:p w14:paraId="379DDB24" w14:textId="77777777" w:rsidR="005D1232" w:rsidRDefault="005D1232" w:rsidP="008F70F5">
            <w:pPr>
              <w:pStyle w:val="Caption"/>
              <w:spacing w:after="0" w:line="240" w:lineRule="auto"/>
              <w:jc w:val="center"/>
              <w:rPr>
                <w:b/>
                <w:bCs/>
              </w:rPr>
            </w:pPr>
          </w:p>
        </w:tc>
      </w:tr>
      <w:tr w:rsidR="005D1232" w14:paraId="37CB1106" w14:textId="77777777" w:rsidTr="008F70F5">
        <w:tc>
          <w:tcPr>
            <w:tcW w:w="7225" w:type="dxa"/>
          </w:tcPr>
          <w:p w14:paraId="3D8845DE" w14:textId="77777777" w:rsidR="005D1232" w:rsidRDefault="005D1232" w:rsidP="008F70F5">
            <w:pPr>
              <w:pStyle w:val="Caption"/>
              <w:spacing w:after="0" w:line="240" w:lineRule="auto"/>
              <w:jc w:val="center"/>
              <w:rPr>
                <w:b/>
                <w:bCs/>
              </w:rPr>
            </w:pPr>
            <w:r>
              <w:rPr>
                <w:noProof/>
                <w:lang w:val="it-IT" w:eastAsia="it-IT"/>
              </w:rPr>
              <w:drawing>
                <wp:inline distT="0" distB="0" distL="0" distR="0" wp14:anchorId="243CB01B" wp14:editId="473CBD26">
                  <wp:extent cx="3960000" cy="1757684"/>
                  <wp:effectExtent l="0" t="0" r="2540" b="0"/>
                  <wp:docPr id="49" name="Picture 4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Diagram&#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960000" cy="1757684"/>
                          </a:xfrm>
                          <a:prstGeom prst="rect">
                            <a:avLst/>
                          </a:prstGeom>
                        </pic:spPr>
                      </pic:pic>
                    </a:graphicData>
                  </a:graphic>
                </wp:inline>
              </w:drawing>
            </w:r>
          </w:p>
        </w:tc>
        <w:tc>
          <w:tcPr>
            <w:tcW w:w="1949" w:type="dxa"/>
            <w:vMerge/>
          </w:tcPr>
          <w:p w14:paraId="2FED25AC" w14:textId="77777777" w:rsidR="005D1232" w:rsidRDefault="005D1232" w:rsidP="008F70F5">
            <w:pPr>
              <w:pStyle w:val="Caption"/>
              <w:spacing w:after="0" w:line="240" w:lineRule="auto"/>
              <w:jc w:val="center"/>
              <w:rPr>
                <w:b/>
                <w:bCs/>
              </w:rPr>
            </w:pPr>
          </w:p>
        </w:tc>
      </w:tr>
    </w:tbl>
    <w:p w14:paraId="62E2C67A" w14:textId="07E53C8A" w:rsidR="005D1232" w:rsidRDefault="00065FC7" w:rsidP="00C8762D">
      <w:pPr>
        <w:pStyle w:val="Caption"/>
        <w:spacing w:line="240" w:lineRule="auto"/>
      </w:pPr>
      <w:bookmarkStart w:id="6" w:name="_Ref103154040"/>
      <w:r>
        <w:rPr>
          <w:b/>
          <w:bCs/>
        </w:rPr>
        <w:t>Figure S</w:t>
      </w:r>
      <w:r w:rsidR="00E01F5A">
        <w:rPr>
          <w:b/>
          <w:bCs/>
          <w:noProof/>
        </w:rPr>
        <w:t>5</w:t>
      </w:r>
      <w:bookmarkEnd w:id="6"/>
      <w:r w:rsidR="005D1232">
        <w:t xml:space="preserve"> </w:t>
      </w:r>
      <w:r w:rsidR="005D1232" w:rsidRPr="00A54CBD">
        <w:rPr>
          <w:b/>
          <w:bCs/>
        </w:rPr>
        <w:t>Costs of accommodating</w:t>
      </w:r>
      <w:r w:rsidR="005D1232">
        <w:rPr>
          <w:b/>
          <w:bCs/>
        </w:rPr>
        <w:t xml:space="preserve"> distributed PV, EVs, and HPs across GB in regional </w:t>
      </w:r>
      <w:proofErr w:type="gramStart"/>
      <w:r w:rsidR="005D1232">
        <w:rPr>
          <w:b/>
          <w:bCs/>
        </w:rPr>
        <w:t xml:space="preserve">networks </w:t>
      </w:r>
      <w:r w:rsidR="005D1232">
        <w:t xml:space="preserve"> (</w:t>
      </w:r>
      <w:proofErr w:type="gramEnd"/>
      <w:r w:rsidR="005D1232">
        <w:t>a) regional distribution network upgrade costs to accommodate 2050 levels of PV, EV, and HP deployment mapped across GB (b) regional distribution network upgrade cost aggregated across GB across years and technology deployment scenarios, (c) violin plots showing distribution across LSOAs of regional network upgrade cost across years and ruralities for 2050 PV, EV, and HP deployment.</w:t>
      </w:r>
      <w:r w:rsidR="005D1232">
        <w:br w:type="page"/>
      </w:r>
    </w:p>
    <w:p w14:paraId="30E52969" w14:textId="77777777" w:rsidR="005D1232" w:rsidRDefault="005D1232" w:rsidP="005D1232">
      <w:pPr>
        <w:spacing w:line="276" w:lineRule="auto"/>
      </w:pPr>
    </w:p>
    <w:p w14:paraId="62727AFB" w14:textId="77777777" w:rsidR="005D1232" w:rsidRDefault="005D1232" w:rsidP="005D1232">
      <w:pPr>
        <w:spacing w:line="276" w:lineRule="auto"/>
      </w:pPr>
      <w:r w:rsidRPr="00597472">
        <w:rPr>
          <w:noProof/>
          <w:lang w:val="it-IT" w:eastAsia="it-IT"/>
        </w:rPr>
        <w:drawing>
          <wp:inline distT="0" distB="0" distL="0" distR="0" wp14:anchorId="00313446" wp14:editId="7AAF1042">
            <wp:extent cx="2260600" cy="1778000"/>
            <wp:effectExtent l="0" t="0" r="0" b="0"/>
            <wp:docPr id="30" name="Picture 30"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 bar chart&#10;&#10;Description automatically generated"/>
                    <pic:cNvPicPr/>
                  </pic:nvPicPr>
                  <pic:blipFill>
                    <a:blip r:embed="rId18"/>
                    <a:stretch>
                      <a:fillRect/>
                    </a:stretch>
                  </pic:blipFill>
                  <pic:spPr>
                    <a:xfrm>
                      <a:off x="0" y="0"/>
                      <a:ext cx="2260600" cy="1778000"/>
                    </a:xfrm>
                    <a:prstGeom prst="rect">
                      <a:avLst/>
                    </a:prstGeom>
                  </pic:spPr>
                </pic:pic>
              </a:graphicData>
            </a:graphic>
          </wp:inline>
        </w:drawing>
      </w:r>
      <w:r w:rsidRPr="00597472">
        <w:rPr>
          <w:noProof/>
        </w:rPr>
        <w:t xml:space="preserve"> </w:t>
      </w:r>
      <w:r w:rsidRPr="00597472">
        <w:rPr>
          <w:noProof/>
          <w:lang w:val="it-IT" w:eastAsia="it-IT"/>
        </w:rPr>
        <w:drawing>
          <wp:inline distT="0" distB="0" distL="0" distR="0" wp14:anchorId="290FA1F9" wp14:editId="57C5A832">
            <wp:extent cx="2451100" cy="1778000"/>
            <wp:effectExtent l="0" t="0" r="0" b="0"/>
            <wp:docPr id="33" name="Picture 3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rt, bar chart&#10;&#10;Description automatically generated"/>
                    <pic:cNvPicPr/>
                  </pic:nvPicPr>
                  <pic:blipFill>
                    <a:blip r:embed="rId19"/>
                    <a:stretch>
                      <a:fillRect/>
                    </a:stretch>
                  </pic:blipFill>
                  <pic:spPr>
                    <a:xfrm>
                      <a:off x="0" y="0"/>
                      <a:ext cx="2451100" cy="1778000"/>
                    </a:xfrm>
                    <a:prstGeom prst="rect">
                      <a:avLst/>
                    </a:prstGeom>
                  </pic:spPr>
                </pic:pic>
              </a:graphicData>
            </a:graphic>
          </wp:inline>
        </w:drawing>
      </w:r>
      <w:r w:rsidRPr="00597472">
        <w:rPr>
          <w:noProof/>
        </w:rPr>
        <w:t xml:space="preserve"> </w:t>
      </w:r>
      <w:r w:rsidRPr="00597472">
        <w:rPr>
          <w:noProof/>
          <w:lang w:val="it-IT" w:eastAsia="it-IT"/>
        </w:rPr>
        <w:drawing>
          <wp:inline distT="0" distB="0" distL="0" distR="0" wp14:anchorId="54D25EBA" wp14:editId="2588FA3C">
            <wp:extent cx="2451100" cy="1778000"/>
            <wp:effectExtent l="0" t="0" r="0" b="0"/>
            <wp:docPr id="29" name="Picture 2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hart, bar chart&#10;&#10;Description automatically generated"/>
                    <pic:cNvPicPr/>
                  </pic:nvPicPr>
                  <pic:blipFill>
                    <a:blip r:embed="rId20"/>
                    <a:stretch>
                      <a:fillRect/>
                    </a:stretch>
                  </pic:blipFill>
                  <pic:spPr>
                    <a:xfrm>
                      <a:off x="0" y="0"/>
                      <a:ext cx="2451100" cy="1778000"/>
                    </a:xfrm>
                    <a:prstGeom prst="rect">
                      <a:avLst/>
                    </a:prstGeom>
                  </pic:spPr>
                </pic:pic>
              </a:graphicData>
            </a:graphic>
          </wp:inline>
        </w:drawing>
      </w:r>
      <w:r w:rsidRPr="00597472">
        <w:rPr>
          <w:noProof/>
          <w:lang w:val="it-IT" w:eastAsia="it-IT"/>
        </w:rPr>
        <w:drawing>
          <wp:inline distT="0" distB="0" distL="0" distR="0" wp14:anchorId="12F4A285" wp14:editId="4E0B902C">
            <wp:extent cx="2451100" cy="1778000"/>
            <wp:effectExtent l="0" t="0" r="0" b="0"/>
            <wp:docPr id="34" name="Picture 3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hart, bar chart&#10;&#10;Description automatically generated"/>
                    <pic:cNvPicPr/>
                  </pic:nvPicPr>
                  <pic:blipFill>
                    <a:blip r:embed="rId21"/>
                    <a:stretch>
                      <a:fillRect/>
                    </a:stretch>
                  </pic:blipFill>
                  <pic:spPr>
                    <a:xfrm>
                      <a:off x="0" y="0"/>
                      <a:ext cx="2451100" cy="1778000"/>
                    </a:xfrm>
                    <a:prstGeom prst="rect">
                      <a:avLst/>
                    </a:prstGeom>
                  </pic:spPr>
                </pic:pic>
              </a:graphicData>
            </a:graphic>
          </wp:inline>
        </w:drawing>
      </w:r>
    </w:p>
    <w:p w14:paraId="5CE4E738" w14:textId="7E5DBC40" w:rsidR="005D1232" w:rsidRDefault="00065FC7" w:rsidP="005D1232">
      <w:pPr>
        <w:spacing w:line="276" w:lineRule="auto"/>
      </w:pPr>
      <w:bookmarkStart w:id="7" w:name="_Ref103183252"/>
      <w:r>
        <w:rPr>
          <w:b/>
          <w:bCs/>
        </w:rPr>
        <w:t>Figure S</w:t>
      </w:r>
      <w:r w:rsidR="00E01F5A">
        <w:rPr>
          <w:b/>
          <w:bCs/>
          <w:noProof/>
        </w:rPr>
        <w:t>6</w:t>
      </w:r>
      <w:bookmarkEnd w:id="7"/>
      <w:r w:rsidR="005D1232">
        <w:t xml:space="preserve"> </w:t>
      </w:r>
      <w:r w:rsidR="005D1232">
        <w:rPr>
          <w:b/>
          <w:bCs/>
        </w:rPr>
        <w:t>Combined impact of rurality, technology deployment, and network infrastructure on required regional network upgrade cost</w:t>
      </w:r>
      <w:r w:rsidR="005D1232">
        <w:t xml:space="preserve"> Mean total network upgrade cost amongst LSOAs with low (below 25</w:t>
      </w:r>
      <w:r w:rsidR="005D1232" w:rsidRPr="005F71AC">
        <w:rPr>
          <w:vertAlign w:val="superscript"/>
        </w:rPr>
        <w:t>th</w:t>
      </w:r>
      <w:r w:rsidR="005D1232">
        <w:t xml:space="preserve"> percentile), medium (25</w:t>
      </w:r>
      <w:r w:rsidR="005D1232" w:rsidRPr="005F71AC">
        <w:rPr>
          <w:vertAlign w:val="superscript"/>
        </w:rPr>
        <w:t>th</w:t>
      </w:r>
      <w:r w:rsidR="005D1232">
        <w:t xml:space="preserve"> to 75</w:t>
      </w:r>
      <w:r w:rsidR="005D1232" w:rsidRPr="005F71AC">
        <w:rPr>
          <w:vertAlign w:val="superscript"/>
        </w:rPr>
        <w:t>th</w:t>
      </w:r>
      <w:r w:rsidR="005D1232">
        <w:t xml:space="preserve"> percentile), high (above 75</w:t>
      </w:r>
      <w:r w:rsidR="005D1232" w:rsidRPr="005F71AC">
        <w:rPr>
          <w:vertAlign w:val="superscript"/>
        </w:rPr>
        <w:t>th</w:t>
      </w:r>
      <w:r w:rsidR="005D1232">
        <w:t xml:space="preserve"> percentile) and very high (above 90</w:t>
      </w:r>
      <w:r w:rsidR="005D1232" w:rsidRPr="005F71AC">
        <w:rPr>
          <w:vertAlign w:val="superscript"/>
        </w:rPr>
        <w:t>th</w:t>
      </w:r>
      <w:r w:rsidR="005D1232">
        <w:t xml:space="preserve"> percentile) deployment of (a) EVs, (b) HPs, (c) PV, and (d) number of meters per substation. In (</w:t>
      </w:r>
      <w:proofErr w:type="spellStart"/>
      <w:proofErr w:type="gramStart"/>
      <w:r w:rsidR="005D1232">
        <w:t>a,b</w:t>
      </w:r>
      <w:proofErr w:type="gramEnd"/>
      <w:r w:rsidR="005D1232">
        <w:t>,c</w:t>
      </w:r>
      <w:proofErr w:type="spellEnd"/>
      <w:r w:rsidR="005D1232">
        <w:t>) these percentiles are derived from the entire distribution across GB, whilst in (d) these percentiles are only considered across LSOAs of the same rurality.</w:t>
      </w:r>
    </w:p>
    <w:p w14:paraId="01D9CADC" w14:textId="549A6D57" w:rsidR="005D1232" w:rsidRDefault="005D1232" w:rsidP="00C8762D">
      <w:pPr>
        <w:spacing w:line="276" w:lineRule="auto"/>
      </w:pPr>
      <w:r>
        <w:br w:type="page"/>
      </w:r>
      <w:r w:rsidRPr="003E5F36">
        <w:rPr>
          <w:noProof/>
          <w:lang w:val="it-IT" w:eastAsia="it-IT"/>
        </w:rPr>
        <w:lastRenderedPageBreak/>
        <w:drawing>
          <wp:inline distT="0" distB="0" distL="0" distR="0" wp14:anchorId="2CA6C93E" wp14:editId="15832086">
            <wp:extent cx="5831840" cy="2915920"/>
            <wp:effectExtent l="0" t="0" r="0" b="5080"/>
            <wp:docPr id="54" name="Picture 54"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A picture containing char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831840" cy="2915920"/>
                    </a:xfrm>
                    <a:prstGeom prst="rect">
                      <a:avLst/>
                    </a:prstGeom>
                  </pic:spPr>
                </pic:pic>
              </a:graphicData>
            </a:graphic>
          </wp:inline>
        </w:drawing>
      </w:r>
    </w:p>
    <w:p w14:paraId="356ABCE9" w14:textId="6A48A819" w:rsidR="005D1232" w:rsidRDefault="00065FC7" w:rsidP="00C8762D">
      <w:pPr>
        <w:spacing w:line="276" w:lineRule="auto"/>
      </w:pPr>
      <w:bookmarkStart w:id="8" w:name="_Ref103182562"/>
      <w:r>
        <w:rPr>
          <w:b/>
          <w:bCs/>
        </w:rPr>
        <w:t>Figure S</w:t>
      </w:r>
      <w:r w:rsidR="00E01F5A">
        <w:rPr>
          <w:b/>
          <w:bCs/>
          <w:noProof/>
        </w:rPr>
        <w:t>7</w:t>
      </w:r>
      <w:bookmarkEnd w:id="8"/>
      <w:r w:rsidR="005D1232">
        <w:t xml:space="preserve"> </w:t>
      </w:r>
      <w:r w:rsidR="005D1232">
        <w:rPr>
          <w:b/>
          <w:bCs/>
        </w:rPr>
        <w:t xml:space="preserve">Total flexibility savings </w:t>
      </w:r>
      <w:r w:rsidR="005D1232">
        <w:t>Violin plots showing distribution of total (local plus regional) savings associated with local flexibility deployment across LSOAs of each rurality category</w:t>
      </w:r>
    </w:p>
    <w:p w14:paraId="0065A50C" w14:textId="77777777" w:rsidR="00C8762D" w:rsidRPr="00693EFF" w:rsidRDefault="00C8762D" w:rsidP="00C8762D">
      <w:pPr>
        <w:spacing w:line="276" w:lineRule="auto"/>
      </w:pPr>
    </w:p>
    <w:p w14:paraId="5ADE18B9" w14:textId="77777777" w:rsidR="005D1232" w:rsidRDefault="005D1232" w:rsidP="00C8762D">
      <w:pPr>
        <w:spacing w:line="276" w:lineRule="auto"/>
      </w:pPr>
      <w:r w:rsidRPr="00597472">
        <w:rPr>
          <w:noProof/>
          <w:lang w:val="it-IT" w:eastAsia="it-IT"/>
        </w:rPr>
        <w:drawing>
          <wp:inline distT="0" distB="0" distL="0" distR="0" wp14:anchorId="628375B7" wp14:editId="6847E0CB">
            <wp:extent cx="2451100" cy="1778000"/>
            <wp:effectExtent l="0" t="0" r="0" b="0"/>
            <wp:docPr id="21" name="Picture 2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bar chart&#10;&#10;Description automatically generated"/>
                    <pic:cNvPicPr/>
                  </pic:nvPicPr>
                  <pic:blipFill>
                    <a:blip r:embed="rId23"/>
                    <a:stretch>
                      <a:fillRect/>
                    </a:stretch>
                  </pic:blipFill>
                  <pic:spPr>
                    <a:xfrm>
                      <a:off x="0" y="0"/>
                      <a:ext cx="2451100" cy="1778000"/>
                    </a:xfrm>
                    <a:prstGeom prst="rect">
                      <a:avLst/>
                    </a:prstGeom>
                  </pic:spPr>
                </pic:pic>
              </a:graphicData>
            </a:graphic>
          </wp:inline>
        </w:drawing>
      </w:r>
      <w:r w:rsidRPr="00597472">
        <w:rPr>
          <w:noProof/>
          <w:lang w:val="it-IT" w:eastAsia="it-IT"/>
        </w:rPr>
        <w:drawing>
          <wp:inline distT="0" distB="0" distL="0" distR="0" wp14:anchorId="2887BA7E" wp14:editId="7A0A3914">
            <wp:extent cx="2451100" cy="1778000"/>
            <wp:effectExtent l="0" t="0" r="0" b="0"/>
            <wp:docPr id="23" name="Picture 2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bar chart&#10;&#10;Description automatically generated"/>
                    <pic:cNvPicPr/>
                  </pic:nvPicPr>
                  <pic:blipFill>
                    <a:blip r:embed="rId24"/>
                    <a:stretch>
                      <a:fillRect/>
                    </a:stretch>
                  </pic:blipFill>
                  <pic:spPr>
                    <a:xfrm>
                      <a:off x="0" y="0"/>
                      <a:ext cx="2451100" cy="1778000"/>
                    </a:xfrm>
                    <a:prstGeom prst="rect">
                      <a:avLst/>
                    </a:prstGeom>
                  </pic:spPr>
                </pic:pic>
              </a:graphicData>
            </a:graphic>
          </wp:inline>
        </w:drawing>
      </w:r>
    </w:p>
    <w:p w14:paraId="1567687F" w14:textId="77777777" w:rsidR="005D1232" w:rsidRDefault="005D1232" w:rsidP="00C8762D">
      <w:pPr>
        <w:spacing w:line="276" w:lineRule="auto"/>
      </w:pPr>
      <w:r w:rsidRPr="00597472">
        <w:rPr>
          <w:noProof/>
          <w:lang w:val="it-IT" w:eastAsia="it-IT"/>
        </w:rPr>
        <w:drawing>
          <wp:inline distT="0" distB="0" distL="0" distR="0" wp14:anchorId="753CB524" wp14:editId="34FE101A">
            <wp:extent cx="2451100" cy="1778000"/>
            <wp:effectExtent l="0" t="0" r="0" b="0"/>
            <wp:docPr id="27" name="Picture 2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 bar chart&#10;&#10;Description automatically generated"/>
                    <pic:cNvPicPr/>
                  </pic:nvPicPr>
                  <pic:blipFill>
                    <a:blip r:embed="rId25"/>
                    <a:stretch>
                      <a:fillRect/>
                    </a:stretch>
                  </pic:blipFill>
                  <pic:spPr>
                    <a:xfrm>
                      <a:off x="0" y="0"/>
                      <a:ext cx="2451100" cy="1778000"/>
                    </a:xfrm>
                    <a:prstGeom prst="rect">
                      <a:avLst/>
                    </a:prstGeom>
                  </pic:spPr>
                </pic:pic>
              </a:graphicData>
            </a:graphic>
          </wp:inline>
        </w:drawing>
      </w:r>
      <w:r w:rsidRPr="00597472">
        <w:rPr>
          <w:noProof/>
          <w:lang w:val="it-IT" w:eastAsia="it-IT"/>
        </w:rPr>
        <w:drawing>
          <wp:inline distT="0" distB="0" distL="0" distR="0" wp14:anchorId="11BC9030" wp14:editId="09F433A5">
            <wp:extent cx="2451100" cy="1879600"/>
            <wp:effectExtent l="0" t="0" r="0" b="0"/>
            <wp:docPr id="28" name="Picture 28"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 bar chart&#10;&#10;Description automatically generated"/>
                    <pic:cNvPicPr/>
                  </pic:nvPicPr>
                  <pic:blipFill>
                    <a:blip r:embed="rId26"/>
                    <a:stretch>
                      <a:fillRect/>
                    </a:stretch>
                  </pic:blipFill>
                  <pic:spPr>
                    <a:xfrm>
                      <a:off x="0" y="0"/>
                      <a:ext cx="2451100" cy="1879600"/>
                    </a:xfrm>
                    <a:prstGeom prst="rect">
                      <a:avLst/>
                    </a:prstGeom>
                  </pic:spPr>
                </pic:pic>
              </a:graphicData>
            </a:graphic>
          </wp:inline>
        </w:drawing>
      </w:r>
    </w:p>
    <w:p w14:paraId="6A62E453" w14:textId="7DD4E63F" w:rsidR="005D1232" w:rsidRDefault="00065FC7" w:rsidP="005D1232">
      <w:pPr>
        <w:spacing w:line="276" w:lineRule="auto"/>
      </w:pPr>
      <w:bookmarkStart w:id="9" w:name="_Ref103262833"/>
      <w:r>
        <w:rPr>
          <w:b/>
          <w:bCs/>
        </w:rPr>
        <w:t>Figure S</w:t>
      </w:r>
      <w:r w:rsidR="00E01F5A">
        <w:rPr>
          <w:b/>
          <w:bCs/>
          <w:noProof/>
        </w:rPr>
        <w:t>8</w:t>
      </w:r>
      <w:bookmarkEnd w:id="9"/>
      <w:r w:rsidR="005D1232">
        <w:t xml:space="preserve"> </w:t>
      </w:r>
      <w:r w:rsidR="005D1232">
        <w:rPr>
          <w:b/>
          <w:bCs/>
        </w:rPr>
        <w:t>Total smart savings: combined impact of rurality, technology deployment, and network infrastructure on required regional network upgrade savings</w:t>
      </w:r>
      <w:r w:rsidR="005D1232">
        <w:t xml:space="preserve"> Mean total (local plus regional) network upgrade savings amongst LSOAs with low (below 25</w:t>
      </w:r>
      <w:r w:rsidR="005D1232" w:rsidRPr="005F71AC">
        <w:rPr>
          <w:vertAlign w:val="superscript"/>
        </w:rPr>
        <w:t>th</w:t>
      </w:r>
      <w:r w:rsidR="005D1232">
        <w:t xml:space="preserve"> percentile), medium (25</w:t>
      </w:r>
      <w:r w:rsidR="005D1232" w:rsidRPr="005F71AC">
        <w:rPr>
          <w:vertAlign w:val="superscript"/>
        </w:rPr>
        <w:t>th</w:t>
      </w:r>
      <w:r w:rsidR="005D1232">
        <w:t xml:space="preserve"> to 75</w:t>
      </w:r>
      <w:r w:rsidR="005D1232" w:rsidRPr="005F71AC">
        <w:rPr>
          <w:vertAlign w:val="superscript"/>
        </w:rPr>
        <w:t>th</w:t>
      </w:r>
      <w:r w:rsidR="005D1232">
        <w:t xml:space="preserve"> percentile), high (above 75</w:t>
      </w:r>
      <w:r w:rsidR="005D1232" w:rsidRPr="005F71AC">
        <w:rPr>
          <w:vertAlign w:val="superscript"/>
        </w:rPr>
        <w:t>th</w:t>
      </w:r>
      <w:r w:rsidR="005D1232">
        <w:t xml:space="preserve"> percentile) and very high (above 90</w:t>
      </w:r>
      <w:r w:rsidR="005D1232" w:rsidRPr="005F71AC">
        <w:rPr>
          <w:vertAlign w:val="superscript"/>
        </w:rPr>
        <w:t>th</w:t>
      </w:r>
      <w:r w:rsidR="005D1232">
        <w:t xml:space="preserve"> percentile) deployment of (a) EVs, (b) HPs, (c) PV, and (d) number of meters per substation. In (</w:t>
      </w:r>
      <w:proofErr w:type="spellStart"/>
      <w:r w:rsidR="005D1232">
        <w:t>a,b,c</w:t>
      </w:r>
      <w:proofErr w:type="spellEnd"/>
      <w:r w:rsidR="005D1232">
        <w:t>) these percentiles are derived from the entire distribution across GB, whilst in (d) these percentiles are only considered across LSOAs of the same rurality.</w:t>
      </w:r>
    </w:p>
    <w:p w14:paraId="6EDE3285" w14:textId="217304DB" w:rsidR="005D1232" w:rsidRDefault="00065FC7" w:rsidP="005D1232">
      <w:pPr>
        <w:pStyle w:val="Heading2"/>
      </w:pPr>
      <w:r>
        <w:lastRenderedPageBreak/>
        <w:t xml:space="preserve">Figure </w:t>
      </w:r>
      <w:r w:rsidR="005D1232">
        <w:t>attribution</w:t>
      </w:r>
    </w:p>
    <w:p w14:paraId="5D450782" w14:textId="77777777" w:rsidR="005D1232" w:rsidRDefault="005D1232" w:rsidP="005D1232">
      <w:pPr>
        <w:rPr>
          <w:rFonts w:cs="Calibri"/>
          <w:color w:val="000000"/>
        </w:rPr>
      </w:pPr>
    </w:p>
    <w:p w14:paraId="3C3DF559" w14:textId="7B968588" w:rsidR="005D1232" w:rsidRDefault="005D1232" w:rsidP="005D1232">
      <w:pPr>
        <w:rPr>
          <w:rFonts w:cs="Calibri"/>
          <w:color w:val="000000"/>
        </w:rPr>
      </w:pPr>
      <w:r>
        <w:rPr>
          <w:rFonts w:cs="Calibri"/>
          <w:color w:val="000000"/>
        </w:rPr>
        <w:t xml:space="preserve">Assembled figures were produced </w:t>
      </w:r>
      <w:r w:rsidRPr="002B320B">
        <w:rPr>
          <w:rFonts w:cs="Calibri"/>
          <w:color w:val="000000"/>
        </w:rPr>
        <w:t xml:space="preserve">using icons </w:t>
      </w:r>
      <w:r>
        <w:rPr>
          <w:rFonts w:cs="Calibri"/>
          <w:color w:val="000000"/>
        </w:rPr>
        <w:t xml:space="preserve">freely available at </w:t>
      </w:r>
      <w:r w:rsidRPr="002B320B">
        <w:rPr>
          <w:rFonts w:cs="Calibri"/>
          <w:color w:val="000000"/>
        </w:rPr>
        <w:t>flaticon.com</w:t>
      </w:r>
      <w:r>
        <w:rPr>
          <w:rFonts w:cs="Calibri"/>
          <w:color w:val="000000"/>
        </w:rPr>
        <w:t xml:space="preserve">. Artist attributions are included in </w:t>
      </w:r>
      <w:r w:rsidR="00065FC7">
        <w:rPr>
          <w:b/>
          <w:bCs/>
        </w:rPr>
        <w:t>Table S</w:t>
      </w:r>
      <w:r w:rsidR="00E01F5A">
        <w:rPr>
          <w:b/>
          <w:bCs/>
          <w:noProof/>
        </w:rPr>
        <w:t>2</w:t>
      </w:r>
      <w:r>
        <w:rPr>
          <w:rFonts w:cs="Calibri"/>
          <w:color w:val="000000"/>
        </w:rPr>
        <w:t xml:space="preserve"> below.</w:t>
      </w:r>
    </w:p>
    <w:p w14:paraId="2FFA191F" w14:textId="1DB1A959" w:rsidR="005D1232" w:rsidRPr="005D1232" w:rsidRDefault="00065FC7" w:rsidP="005D1232">
      <w:pPr>
        <w:pStyle w:val="Caption"/>
      </w:pPr>
      <w:bookmarkStart w:id="10" w:name="_Ref116310146"/>
      <w:r>
        <w:rPr>
          <w:b/>
          <w:bCs/>
        </w:rPr>
        <w:t>Table S</w:t>
      </w:r>
      <w:r w:rsidR="00E01F5A">
        <w:rPr>
          <w:b/>
          <w:bCs/>
          <w:noProof/>
        </w:rPr>
        <w:t>2</w:t>
      </w:r>
      <w:bookmarkEnd w:id="10"/>
      <w:r w:rsidR="005D1232">
        <w:t xml:space="preserve"> Artist attributions for icons used to produce assembled figures.</w:t>
      </w:r>
    </w:p>
    <w:tbl>
      <w:tblPr>
        <w:tblStyle w:val="TableGrid"/>
        <w:tblW w:w="0" w:type="auto"/>
        <w:tblLook w:val="04A0" w:firstRow="1" w:lastRow="0" w:firstColumn="1" w:lastColumn="0" w:noHBand="0" w:noVBand="1"/>
      </w:tblPr>
      <w:tblGrid>
        <w:gridCol w:w="988"/>
        <w:gridCol w:w="7512"/>
      </w:tblGrid>
      <w:tr w:rsidR="005D1232" w:rsidRPr="00A03900" w14:paraId="310E005F" w14:textId="77777777" w:rsidTr="008F70F5">
        <w:trPr>
          <w:trHeight w:val="320"/>
        </w:trPr>
        <w:tc>
          <w:tcPr>
            <w:tcW w:w="988" w:type="dxa"/>
            <w:noWrap/>
          </w:tcPr>
          <w:p w14:paraId="28A2802C" w14:textId="77777777" w:rsidR="005D1232" w:rsidRPr="00A03900" w:rsidRDefault="005D1232" w:rsidP="008F70F5">
            <w:pPr>
              <w:jc w:val="center"/>
            </w:pPr>
            <w:r>
              <w:t>Icon</w:t>
            </w:r>
          </w:p>
        </w:tc>
        <w:tc>
          <w:tcPr>
            <w:tcW w:w="7512" w:type="dxa"/>
            <w:noWrap/>
          </w:tcPr>
          <w:p w14:paraId="7D1BDD84" w14:textId="77777777" w:rsidR="005D1232" w:rsidRPr="00A03900" w:rsidRDefault="005D1232" w:rsidP="008F70F5">
            <w:r>
              <w:t>Attribution</w:t>
            </w:r>
          </w:p>
        </w:tc>
      </w:tr>
      <w:tr w:rsidR="005D1232" w:rsidRPr="00A03900" w14:paraId="58530DDA" w14:textId="77777777" w:rsidTr="008F70F5">
        <w:trPr>
          <w:trHeight w:val="320"/>
        </w:trPr>
        <w:tc>
          <w:tcPr>
            <w:tcW w:w="988" w:type="dxa"/>
            <w:noWrap/>
            <w:hideMark/>
          </w:tcPr>
          <w:p w14:paraId="01311A40" w14:textId="77777777" w:rsidR="005D1232" w:rsidRPr="00A03900" w:rsidRDefault="005D1232" w:rsidP="008F70F5">
            <w:pPr>
              <w:jc w:val="center"/>
            </w:pPr>
            <w:r w:rsidRPr="00A03900">
              <w:rPr>
                <w:noProof/>
              </w:rPr>
              <w:drawing>
                <wp:inline distT="0" distB="0" distL="0" distR="0" wp14:anchorId="786DE8E0" wp14:editId="2B8BD276">
                  <wp:extent cx="409982" cy="409982"/>
                  <wp:effectExtent l="0" t="0" r="0" b="0"/>
                  <wp:docPr id="44" name="Picture 44"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Shape&#10;&#10;Description automatically generated with low confidenc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09982" cy="409982"/>
                          </a:xfrm>
                          <a:prstGeom prst="rect">
                            <a:avLst/>
                          </a:prstGeom>
                        </pic:spPr>
                      </pic:pic>
                    </a:graphicData>
                  </a:graphic>
                </wp:inline>
              </w:drawing>
            </w:r>
          </w:p>
        </w:tc>
        <w:tc>
          <w:tcPr>
            <w:tcW w:w="7512" w:type="dxa"/>
            <w:noWrap/>
            <w:hideMark/>
          </w:tcPr>
          <w:p w14:paraId="53C8C5A4" w14:textId="77777777" w:rsidR="005D1232" w:rsidRPr="00A03900" w:rsidRDefault="005D1232" w:rsidP="008F70F5">
            <w:r w:rsidRPr="00A03900">
              <w:t xml:space="preserve"> Dave Gandy</w:t>
            </w:r>
          </w:p>
        </w:tc>
      </w:tr>
      <w:tr w:rsidR="005D1232" w:rsidRPr="00A03900" w14:paraId="2C3E9EBC" w14:textId="77777777" w:rsidTr="008F70F5">
        <w:trPr>
          <w:trHeight w:val="320"/>
        </w:trPr>
        <w:tc>
          <w:tcPr>
            <w:tcW w:w="988" w:type="dxa"/>
            <w:noWrap/>
            <w:hideMark/>
          </w:tcPr>
          <w:p w14:paraId="0547515F" w14:textId="77777777" w:rsidR="005D1232" w:rsidRPr="00A03900" w:rsidRDefault="005D1232" w:rsidP="008F70F5">
            <w:pPr>
              <w:jc w:val="center"/>
            </w:pPr>
            <w:r w:rsidRPr="00A03900">
              <w:rPr>
                <w:noProof/>
              </w:rPr>
              <w:drawing>
                <wp:inline distT="0" distB="0" distL="0" distR="0" wp14:anchorId="2E15C0BA" wp14:editId="138F5A78">
                  <wp:extent cx="409982" cy="409982"/>
                  <wp:effectExtent l="0" t="0" r="0" b="0"/>
                  <wp:docPr id="45" name="Picture 45"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Shape&#10;&#10;Description automatically generated with low confidenc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09982" cy="409982"/>
                          </a:xfrm>
                          <a:prstGeom prst="rect">
                            <a:avLst/>
                          </a:prstGeom>
                        </pic:spPr>
                      </pic:pic>
                    </a:graphicData>
                  </a:graphic>
                </wp:inline>
              </w:drawing>
            </w:r>
          </w:p>
        </w:tc>
        <w:tc>
          <w:tcPr>
            <w:tcW w:w="7512" w:type="dxa"/>
            <w:noWrap/>
            <w:hideMark/>
          </w:tcPr>
          <w:p w14:paraId="1C094F94" w14:textId="77777777" w:rsidR="005D1232" w:rsidRPr="00A03900" w:rsidRDefault="005D1232" w:rsidP="008F70F5">
            <w:r w:rsidRPr="00A03900">
              <w:t xml:space="preserve"> </w:t>
            </w:r>
            <w:proofErr w:type="spellStart"/>
            <w:r w:rsidRPr="00A03900">
              <w:t>Freepik</w:t>
            </w:r>
            <w:proofErr w:type="spellEnd"/>
          </w:p>
        </w:tc>
      </w:tr>
      <w:tr w:rsidR="005D1232" w:rsidRPr="00A03900" w14:paraId="7C0C6D45" w14:textId="77777777" w:rsidTr="008F70F5">
        <w:trPr>
          <w:trHeight w:val="320"/>
        </w:trPr>
        <w:tc>
          <w:tcPr>
            <w:tcW w:w="988" w:type="dxa"/>
            <w:noWrap/>
            <w:hideMark/>
          </w:tcPr>
          <w:p w14:paraId="795C4E16" w14:textId="77777777" w:rsidR="005D1232" w:rsidRPr="00A03900" w:rsidRDefault="005D1232" w:rsidP="008F70F5">
            <w:pPr>
              <w:jc w:val="center"/>
            </w:pPr>
            <w:r w:rsidRPr="00A03900">
              <w:rPr>
                <w:noProof/>
              </w:rPr>
              <w:drawing>
                <wp:inline distT="0" distB="0" distL="0" distR="0" wp14:anchorId="7D8E5839" wp14:editId="58DB9078">
                  <wp:extent cx="409982" cy="409982"/>
                  <wp:effectExtent l="0" t="0" r="0" b="0"/>
                  <wp:docPr id="57" name="Picture 57"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Shape&#10;&#10;Description automatically generated with low confidenc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09982" cy="409982"/>
                          </a:xfrm>
                          <a:prstGeom prst="rect">
                            <a:avLst/>
                          </a:prstGeom>
                        </pic:spPr>
                      </pic:pic>
                    </a:graphicData>
                  </a:graphic>
                </wp:inline>
              </w:drawing>
            </w:r>
          </w:p>
        </w:tc>
        <w:tc>
          <w:tcPr>
            <w:tcW w:w="7512" w:type="dxa"/>
            <w:noWrap/>
            <w:hideMark/>
          </w:tcPr>
          <w:p w14:paraId="652CA03F" w14:textId="77777777" w:rsidR="005D1232" w:rsidRPr="00A03900" w:rsidRDefault="005D1232" w:rsidP="008F70F5">
            <w:r w:rsidRPr="00A03900">
              <w:t xml:space="preserve"> </w:t>
            </w:r>
            <w:proofErr w:type="spellStart"/>
            <w:r w:rsidRPr="00A03900">
              <w:t>Freepik</w:t>
            </w:r>
            <w:proofErr w:type="spellEnd"/>
          </w:p>
        </w:tc>
      </w:tr>
      <w:tr w:rsidR="005D1232" w:rsidRPr="00A03900" w14:paraId="153D4821" w14:textId="77777777" w:rsidTr="008F70F5">
        <w:trPr>
          <w:trHeight w:val="320"/>
        </w:trPr>
        <w:tc>
          <w:tcPr>
            <w:tcW w:w="988" w:type="dxa"/>
            <w:noWrap/>
            <w:hideMark/>
          </w:tcPr>
          <w:p w14:paraId="03C8EED9" w14:textId="77777777" w:rsidR="005D1232" w:rsidRPr="00A03900" w:rsidRDefault="005D1232" w:rsidP="008F70F5">
            <w:pPr>
              <w:jc w:val="center"/>
            </w:pPr>
            <w:r w:rsidRPr="00A03900">
              <w:rPr>
                <w:noProof/>
              </w:rPr>
              <w:drawing>
                <wp:inline distT="0" distB="0" distL="0" distR="0" wp14:anchorId="7A423EE8" wp14:editId="5A743906">
                  <wp:extent cx="409982" cy="409982"/>
                  <wp:effectExtent l="0" t="0" r="0" b="0"/>
                  <wp:docPr id="56" name="Picture 56"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Shape&#10;&#10;Description automatically generated with low confidenc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09982" cy="409982"/>
                          </a:xfrm>
                          <a:prstGeom prst="rect">
                            <a:avLst/>
                          </a:prstGeom>
                        </pic:spPr>
                      </pic:pic>
                    </a:graphicData>
                  </a:graphic>
                </wp:inline>
              </w:drawing>
            </w:r>
          </w:p>
        </w:tc>
        <w:tc>
          <w:tcPr>
            <w:tcW w:w="7512" w:type="dxa"/>
            <w:noWrap/>
            <w:hideMark/>
          </w:tcPr>
          <w:p w14:paraId="4E7FBB32" w14:textId="77777777" w:rsidR="005D1232" w:rsidRPr="00A03900" w:rsidRDefault="005D1232" w:rsidP="008F70F5">
            <w:r w:rsidRPr="00A03900">
              <w:t xml:space="preserve"> </w:t>
            </w:r>
            <w:proofErr w:type="spellStart"/>
            <w:r w:rsidRPr="00A03900">
              <w:t>Freepik</w:t>
            </w:r>
            <w:proofErr w:type="spellEnd"/>
          </w:p>
        </w:tc>
      </w:tr>
      <w:tr w:rsidR="005D1232" w:rsidRPr="00A03900" w14:paraId="632419A9" w14:textId="77777777" w:rsidTr="008F70F5">
        <w:trPr>
          <w:trHeight w:val="320"/>
        </w:trPr>
        <w:tc>
          <w:tcPr>
            <w:tcW w:w="988" w:type="dxa"/>
            <w:noWrap/>
            <w:hideMark/>
          </w:tcPr>
          <w:p w14:paraId="6B04E118" w14:textId="77777777" w:rsidR="005D1232" w:rsidRPr="00A03900" w:rsidRDefault="005D1232" w:rsidP="008F70F5">
            <w:pPr>
              <w:jc w:val="center"/>
            </w:pPr>
            <w:r w:rsidRPr="00A03900">
              <w:rPr>
                <w:noProof/>
              </w:rPr>
              <w:drawing>
                <wp:inline distT="0" distB="0" distL="0" distR="0" wp14:anchorId="37BC8701" wp14:editId="5693F373">
                  <wp:extent cx="409982" cy="409982"/>
                  <wp:effectExtent l="0" t="0" r="0" b="0"/>
                  <wp:docPr id="61" name="Picture 6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Shape&#10;&#10;Description automatically generated with low confidenc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09982" cy="409982"/>
                          </a:xfrm>
                          <a:prstGeom prst="rect">
                            <a:avLst/>
                          </a:prstGeom>
                        </pic:spPr>
                      </pic:pic>
                    </a:graphicData>
                  </a:graphic>
                </wp:inline>
              </w:drawing>
            </w:r>
          </w:p>
        </w:tc>
        <w:tc>
          <w:tcPr>
            <w:tcW w:w="7512" w:type="dxa"/>
            <w:noWrap/>
            <w:hideMark/>
          </w:tcPr>
          <w:p w14:paraId="353C3E05" w14:textId="77777777" w:rsidR="005D1232" w:rsidRPr="00A03900" w:rsidRDefault="005D1232" w:rsidP="008F70F5">
            <w:r w:rsidRPr="00A03900">
              <w:t xml:space="preserve"> </w:t>
            </w:r>
            <w:proofErr w:type="spellStart"/>
            <w:r>
              <w:t>F</w:t>
            </w:r>
            <w:r w:rsidRPr="00A03900">
              <w:t>jstudio</w:t>
            </w:r>
            <w:proofErr w:type="spellEnd"/>
          </w:p>
        </w:tc>
      </w:tr>
      <w:tr w:rsidR="005D1232" w:rsidRPr="00A03900" w14:paraId="6E3C09BC" w14:textId="77777777" w:rsidTr="008F70F5">
        <w:trPr>
          <w:trHeight w:val="320"/>
        </w:trPr>
        <w:tc>
          <w:tcPr>
            <w:tcW w:w="988" w:type="dxa"/>
            <w:noWrap/>
            <w:hideMark/>
          </w:tcPr>
          <w:p w14:paraId="7AF94C0C" w14:textId="77777777" w:rsidR="005D1232" w:rsidRPr="00A03900" w:rsidRDefault="005D1232" w:rsidP="008F70F5">
            <w:pPr>
              <w:jc w:val="center"/>
            </w:pPr>
            <w:r w:rsidRPr="00A03900">
              <w:rPr>
                <w:noProof/>
              </w:rPr>
              <w:drawing>
                <wp:inline distT="0" distB="0" distL="0" distR="0" wp14:anchorId="04EF6490" wp14:editId="6EF19D5C">
                  <wp:extent cx="409982" cy="409982"/>
                  <wp:effectExtent l="0" t="0" r="0" b="0"/>
                  <wp:docPr id="47" name="Picture 47"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Shape&#10;&#10;Description automatically generated with low confidenc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09982" cy="409982"/>
                          </a:xfrm>
                          <a:prstGeom prst="rect">
                            <a:avLst/>
                          </a:prstGeom>
                        </pic:spPr>
                      </pic:pic>
                    </a:graphicData>
                  </a:graphic>
                </wp:inline>
              </w:drawing>
            </w:r>
          </w:p>
        </w:tc>
        <w:tc>
          <w:tcPr>
            <w:tcW w:w="7512" w:type="dxa"/>
            <w:noWrap/>
            <w:hideMark/>
          </w:tcPr>
          <w:p w14:paraId="48E75887" w14:textId="77777777" w:rsidR="005D1232" w:rsidRPr="00A03900" w:rsidRDefault="005D1232" w:rsidP="008F70F5">
            <w:r w:rsidRPr="00A03900">
              <w:t xml:space="preserve"> </w:t>
            </w:r>
            <w:proofErr w:type="spellStart"/>
            <w:r w:rsidRPr="00A03900">
              <w:t>Freepik</w:t>
            </w:r>
            <w:proofErr w:type="spellEnd"/>
          </w:p>
        </w:tc>
      </w:tr>
      <w:tr w:rsidR="005D1232" w:rsidRPr="00A03900" w14:paraId="132AE380" w14:textId="77777777" w:rsidTr="008F70F5">
        <w:trPr>
          <w:trHeight w:val="320"/>
        </w:trPr>
        <w:tc>
          <w:tcPr>
            <w:tcW w:w="988" w:type="dxa"/>
            <w:noWrap/>
            <w:hideMark/>
          </w:tcPr>
          <w:p w14:paraId="104E5135" w14:textId="77777777" w:rsidR="005D1232" w:rsidRPr="00A03900" w:rsidRDefault="005D1232" w:rsidP="008F70F5">
            <w:pPr>
              <w:jc w:val="center"/>
            </w:pPr>
            <w:r w:rsidRPr="00A03900">
              <w:rPr>
                <w:noProof/>
              </w:rPr>
              <w:drawing>
                <wp:inline distT="0" distB="0" distL="0" distR="0" wp14:anchorId="462EC357" wp14:editId="0B08B042">
                  <wp:extent cx="409982" cy="409982"/>
                  <wp:effectExtent l="0" t="0" r="0" b="0"/>
                  <wp:docPr id="55" name="Picture 55"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Shape&#10;&#10;Description automatically generated with low confidenc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09982" cy="409982"/>
                          </a:xfrm>
                          <a:prstGeom prst="rect">
                            <a:avLst/>
                          </a:prstGeom>
                        </pic:spPr>
                      </pic:pic>
                    </a:graphicData>
                  </a:graphic>
                </wp:inline>
              </w:drawing>
            </w:r>
          </w:p>
        </w:tc>
        <w:tc>
          <w:tcPr>
            <w:tcW w:w="7512" w:type="dxa"/>
            <w:noWrap/>
            <w:hideMark/>
          </w:tcPr>
          <w:p w14:paraId="278E24EA" w14:textId="77777777" w:rsidR="005D1232" w:rsidRPr="00A03900" w:rsidRDefault="005D1232" w:rsidP="008F70F5">
            <w:r w:rsidRPr="00A03900">
              <w:t xml:space="preserve"> </w:t>
            </w:r>
            <w:proofErr w:type="spellStart"/>
            <w:r w:rsidRPr="00A03900">
              <w:t>Kosonicon</w:t>
            </w:r>
            <w:proofErr w:type="spellEnd"/>
          </w:p>
        </w:tc>
      </w:tr>
      <w:tr w:rsidR="005D1232" w:rsidRPr="00A03900" w14:paraId="522A63D4" w14:textId="77777777" w:rsidTr="008F70F5">
        <w:trPr>
          <w:trHeight w:val="320"/>
        </w:trPr>
        <w:tc>
          <w:tcPr>
            <w:tcW w:w="988" w:type="dxa"/>
            <w:noWrap/>
            <w:hideMark/>
          </w:tcPr>
          <w:p w14:paraId="6F666BB5" w14:textId="77777777" w:rsidR="005D1232" w:rsidRPr="00A03900" w:rsidRDefault="005D1232" w:rsidP="008F70F5">
            <w:pPr>
              <w:jc w:val="center"/>
            </w:pPr>
            <w:r w:rsidRPr="00A03900">
              <w:rPr>
                <w:noProof/>
              </w:rPr>
              <w:drawing>
                <wp:inline distT="0" distB="0" distL="0" distR="0" wp14:anchorId="675E8AAC" wp14:editId="30FAD941">
                  <wp:extent cx="409982" cy="409982"/>
                  <wp:effectExtent l="0" t="0" r="0" b="0"/>
                  <wp:docPr id="46" name="Picture 46"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Shape&#10;&#10;Description automatically generated with low confidenc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09982" cy="409982"/>
                          </a:xfrm>
                          <a:prstGeom prst="rect">
                            <a:avLst/>
                          </a:prstGeom>
                        </pic:spPr>
                      </pic:pic>
                    </a:graphicData>
                  </a:graphic>
                </wp:inline>
              </w:drawing>
            </w:r>
          </w:p>
        </w:tc>
        <w:tc>
          <w:tcPr>
            <w:tcW w:w="7512" w:type="dxa"/>
            <w:noWrap/>
            <w:hideMark/>
          </w:tcPr>
          <w:p w14:paraId="473EE029" w14:textId="77777777" w:rsidR="005D1232" w:rsidRPr="00A03900" w:rsidRDefault="005D1232" w:rsidP="008F70F5">
            <w:r w:rsidRPr="00A03900">
              <w:t xml:space="preserve"> Creative Stall Premium</w:t>
            </w:r>
          </w:p>
        </w:tc>
      </w:tr>
      <w:tr w:rsidR="005D1232" w:rsidRPr="00A03900" w14:paraId="503D430F" w14:textId="77777777" w:rsidTr="008F70F5">
        <w:trPr>
          <w:trHeight w:val="320"/>
        </w:trPr>
        <w:tc>
          <w:tcPr>
            <w:tcW w:w="988" w:type="dxa"/>
            <w:noWrap/>
            <w:hideMark/>
          </w:tcPr>
          <w:p w14:paraId="3F449B2D" w14:textId="77777777" w:rsidR="005D1232" w:rsidRPr="00A03900" w:rsidRDefault="005D1232" w:rsidP="008F70F5">
            <w:pPr>
              <w:jc w:val="center"/>
            </w:pPr>
            <w:r w:rsidRPr="00A03900">
              <w:rPr>
                <w:noProof/>
              </w:rPr>
              <w:drawing>
                <wp:inline distT="0" distB="0" distL="0" distR="0" wp14:anchorId="226D5441" wp14:editId="5745F995">
                  <wp:extent cx="397240" cy="397240"/>
                  <wp:effectExtent l="0" t="0" r="0" b="0"/>
                  <wp:docPr id="38" name="Picture 38"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Shape&#10;&#10;Description automatically generated with low confidence"/>
                          <pic:cNvPicPr/>
                        </pic:nvPicPr>
                        <pic:blipFill>
                          <a:blip r:embed="rId35"/>
                          <a:stretch>
                            <a:fillRect/>
                          </a:stretch>
                        </pic:blipFill>
                        <pic:spPr>
                          <a:xfrm>
                            <a:off x="0" y="0"/>
                            <a:ext cx="409982" cy="409982"/>
                          </a:xfrm>
                          <a:prstGeom prst="rect">
                            <a:avLst/>
                          </a:prstGeom>
                        </pic:spPr>
                      </pic:pic>
                    </a:graphicData>
                  </a:graphic>
                </wp:inline>
              </w:drawing>
            </w:r>
          </w:p>
        </w:tc>
        <w:tc>
          <w:tcPr>
            <w:tcW w:w="7512" w:type="dxa"/>
            <w:noWrap/>
            <w:hideMark/>
          </w:tcPr>
          <w:p w14:paraId="4601DB0C" w14:textId="77777777" w:rsidR="005D1232" w:rsidRPr="00A03900" w:rsidRDefault="005D1232" w:rsidP="008F70F5">
            <w:r w:rsidRPr="00A03900">
              <w:t xml:space="preserve"> Pixel Perfect</w:t>
            </w:r>
          </w:p>
        </w:tc>
      </w:tr>
      <w:tr w:rsidR="005D1232" w:rsidRPr="00A03900" w14:paraId="581E131B" w14:textId="77777777" w:rsidTr="008F70F5">
        <w:trPr>
          <w:trHeight w:val="542"/>
        </w:trPr>
        <w:tc>
          <w:tcPr>
            <w:tcW w:w="988" w:type="dxa"/>
            <w:noWrap/>
          </w:tcPr>
          <w:p w14:paraId="59427F46" w14:textId="77777777" w:rsidR="005D1232" w:rsidRPr="00A03900" w:rsidRDefault="005D1232" w:rsidP="008F70F5">
            <w:pPr>
              <w:jc w:val="center"/>
            </w:pPr>
            <w:r w:rsidRPr="00664EFE">
              <w:rPr>
                <w:noProof/>
              </w:rPr>
              <w:drawing>
                <wp:inline distT="0" distB="0" distL="0" distR="0" wp14:anchorId="3284BD45" wp14:editId="295DC860">
                  <wp:extent cx="412229" cy="412229"/>
                  <wp:effectExtent l="0" t="0" r="0" b="0"/>
                  <wp:docPr id="1026" name="Picture 2" descr="Shape&#10;&#10;Description automatically generated with low confidence">
                    <a:extLst xmlns:a="http://schemas.openxmlformats.org/drawingml/2006/main">
                      <a:ext uri="{FF2B5EF4-FFF2-40B4-BE49-F238E27FC236}">
                        <a16:creationId xmlns:a16="http://schemas.microsoft.com/office/drawing/2014/main" id="{EA251486-C69D-AA63-279A-89F34AD6D4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Shape&#10;&#10;Description automatically generated with low confidence">
                            <a:extLst>
                              <a:ext uri="{FF2B5EF4-FFF2-40B4-BE49-F238E27FC236}">
                                <a16:creationId xmlns:a16="http://schemas.microsoft.com/office/drawing/2014/main" id="{EA251486-C69D-AA63-279A-89F34AD6D472}"/>
                              </a:ext>
                            </a:extLst>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26070" cy="426070"/>
                          </a:xfrm>
                          <a:prstGeom prst="rect">
                            <a:avLst/>
                          </a:prstGeom>
                          <a:noFill/>
                        </pic:spPr>
                      </pic:pic>
                    </a:graphicData>
                  </a:graphic>
                </wp:inline>
              </w:drawing>
            </w:r>
          </w:p>
        </w:tc>
        <w:tc>
          <w:tcPr>
            <w:tcW w:w="7512" w:type="dxa"/>
            <w:noWrap/>
          </w:tcPr>
          <w:p w14:paraId="67197EB0" w14:textId="77777777" w:rsidR="005D1232" w:rsidRPr="00A03900" w:rsidRDefault="005D1232" w:rsidP="008F70F5">
            <w:proofErr w:type="spellStart"/>
            <w:r>
              <w:t>Becris</w:t>
            </w:r>
            <w:proofErr w:type="spellEnd"/>
          </w:p>
        </w:tc>
      </w:tr>
    </w:tbl>
    <w:p w14:paraId="14CFE59A" w14:textId="77777777" w:rsidR="005D1232" w:rsidRPr="002B320B" w:rsidRDefault="005D1232" w:rsidP="005D1232"/>
    <w:p w14:paraId="0CEA52E9" w14:textId="77777777" w:rsidR="005D1232" w:rsidRDefault="005D1232">
      <w:pPr>
        <w:spacing w:line="240" w:lineRule="auto"/>
        <w:rPr>
          <w:rFonts w:asciiTheme="majorHAnsi" w:eastAsiaTheme="majorEastAsia" w:hAnsiTheme="majorHAnsi" w:cstheme="majorBidi"/>
          <w:i/>
          <w:color w:val="2F5496" w:themeColor="accent1" w:themeShade="BF"/>
          <w:sz w:val="26"/>
          <w:szCs w:val="26"/>
        </w:rPr>
      </w:pPr>
      <w:r>
        <w:br w:type="page"/>
      </w:r>
    </w:p>
    <w:p w14:paraId="222D866E" w14:textId="6597D59A" w:rsidR="005D1232" w:rsidRDefault="005D1232" w:rsidP="005D1232">
      <w:pPr>
        <w:pStyle w:val="Heading2"/>
      </w:pPr>
      <w:r>
        <w:lastRenderedPageBreak/>
        <w:t>References</w:t>
      </w:r>
    </w:p>
    <w:p w14:paraId="435C1DB3" w14:textId="2412CD8E" w:rsidR="002226EF" w:rsidRDefault="002226EF">
      <w:pPr>
        <w:rPr>
          <w:b/>
          <w:bCs/>
        </w:rPr>
      </w:pPr>
    </w:p>
    <w:p w14:paraId="76955964" w14:textId="56EAAFFF" w:rsidR="005D1232" w:rsidRPr="005D1232" w:rsidRDefault="005D1232" w:rsidP="005D1232">
      <w:pPr>
        <w:widowControl w:val="0"/>
        <w:autoSpaceDE w:val="0"/>
        <w:autoSpaceDN w:val="0"/>
        <w:adjustRightInd w:val="0"/>
        <w:ind w:left="640" w:hanging="640"/>
        <w:rPr>
          <w:rFonts w:ascii="Calibri" w:hAnsi="Calibri" w:cs="Calibri"/>
          <w:noProof/>
        </w:rPr>
      </w:pPr>
      <w:r w:rsidRPr="005D1232">
        <w:rPr>
          <w:rFonts w:ascii="Calibri" w:hAnsi="Calibri" w:cs="Calibri"/>
          <w:noProof/>
        </w:rPr>
        <w:t>1.</w:t>
      </w:r>
      <w:r w:rsidRPr="005D1232">
        <w:rPr>
          <w:rFonts w:ascii="Calibri" w:hAnsi="Calibri" w:cs="Calibri"/>
          <w:noProof/>
        </w:rPr>
        <w:tab/>
        <w:t>Western Power Distribution. Data Portal. at https://dataportal2.westernpower.co.uk/.</w:t>
      </w:r>
    </w:p>
    <w:p w14:paraId="5A935B0C" w14:textId="77777777" w:rsidR="005D1232" w:rsidRPr="005D1232" w:rsidRDefault="005D1232" w:rsidP="005D1232">
      <w:pPr>
        <w:widowControl w:val="0"/>
        <w:autoSpaceDE w:val="0"/>
        <w:autoSpaceDN w:val="0"/>
        <w:adjustRightInd w:val="0"/>
        <w:ind w:left="640" w:hanging="640"/>
        <w:rPr>
          <w:rFonts w:ascii="Calibri" w:hAnsi="Calibri" w:cs="Calibri"/>
          <w:noProof/>
        </w:rPr>
      </w:pPr>
      <w:r w:rsidRPr="005D1232">
        <w:rPr>
          <w:rFonts w:ascii="Calibri" w:hAnsi="Calibri" w:cs="Calibri"/>
          <w:noProof/>
        </w:rPr>
        <w:t>2.</w:t>
      </w:r>
      <w:r w:rsidRPr="005D1232">
        <w:rPr>
          <w:rFonts w:ascii="Calibri" w:hAnsi="Calibri" w:cs="Calibri"/>
          <w:noProof/>
        </w:rPr>
        <w:tab/>
        <w:t xml:space="preserve">Few, S., Djapic, P., Strbac, G., Nelson, J. &amp; Candelise, C. Assessing local costs and impacts of distributed solar PV using high resolution data from across Great Britain. </w:t>
      </w:r>
      <w:r w:rsidRPr="005D1232">
        <w:rPr>
          <w:rFonts w:ascii="Calibri" w:hAnsi="Calibri" w:cs="Calibri"/>
          <w:i/>
          <w:iCs/>
          <w:noProof/>
        </w:rPr>
        <w:t>Renewable Energy</w:t>
      </w:r>
      <w:r w:rsidRPr="005D1232">
        <w:rPr>
          <w:rFonts w:ascii="Calibri" w:hAnsi="Calibri" w:cs="Calibri"/>
          <w:noProof/>
        </w:rPr>
        <w:t xml:space="preserve"> </w:t>
      </w:r>
      <w:r w:rsidRPr="005D1232">
        <w:rPr>
          <w:rFonts w:ascii="Calibri" w:hAnsi="Calibri" w:cs="Calibri"/>
          <w:b/>
          <w:bCs/>
          <w:noProof/>
        </w:rPr>
        <w:t>162</w:t>
      </w:r>
      <w:r w:rsidRPr="005D1232">
        <w:rPr>
          <w:rFonts w:ascii="Calibri" w:hAnsi="Calibri" w:cs="Calibri"/>
          <w:noProof/>
        </w:rPr>
        <w:t>, 1140–1150 (2020).</w:t>
      </w:r>
    </w:p>
    <w:p w14:paraId="6218BE0A" w14:textId="77777777" w:rsidR="005D1232" w:rsidRPr="005D1232" w:rsidRDefault="005D1232" w:rsidP="005D1232">
      <w:pPr>
        <w:widowControl w:val="0"/>
        <w:autoSpaceDE w:val="0"/>
        <w:autoSpaceDN w:val="0"/>
        <w:adjustRightInd w:val="0"/>
        <w:ind w:left="640" w:hanging="640"/>
        <w:rPr>
          <w:rFonts w:ascii="Calibri" w:hAnsi="Calibri" w:cs="Calibri"/>
          <w:noProof/>
        </w:rPr>
      </w:pPr>
      <w:r w:rsidRPr="005D1232">
        <w:rPr>
          <w:rFonts w:ascii="Calibri" w:hAnsi="Calibri" w:cs="Calibri"/>
          <w:noProof/>
        </w:rPr>
        <w:t>3.</w:t>
      </w:r>
      <w:r w:rsidRPr="005D1232">
        <w:rPr>
          <w:rFonts w:ascii="Calibri" w:hAnsi="Calibri" w:cs="Calibri"/>
          <w:noProof/>
        </w:rPr>
        <w:tab/>
        <w:t xml:space="preserve">Cleveland, W. S. Robust locally weighted regression and smoothing scatterplots. </w:t>
      </w:r>
      <w:r w:rsidRPr="005D1232">
        <w:rPr>
          <w:rFonts w:ascii="Calibri" w:hAnsi="Calibri" w:cs="Calibri"/>
          <w:i/>
          <w:iCs/>
          <w:noProof/>
        </w:rPr>
        <w:t>Journal of the American Statistical Association</w:t>
      </w:r>
      <w:r w:rsidRPr="005D1232">
        <w:rPr>
          <w:rFonts w:ascii="Calibri" w:hAnsi="Calibri" w:cs="Calibri"/>
          <w:noProof/>
        </w:rPr>
        <w:t xml:space="preserve"> </w:t>
      </w:r>
      <w:r w:rsidRPr="005D1232">
        <w:rPr>
          <w:rFonts w:ascii="Calibri" w:hAnsi="Calibri" w:cs="Calibri"/>
          <w:b/>
          <w:bCs/>
          <w:noProof/>
        </w:rPr>
        <w:t>74</w:t>
      </w:r>
      <w:r w:rsidRPr="005D1232">
        <w:rPr>
          <w:rFonts w:ascii="Calibri" w:hAnsi="Calibri" w:cs="Calibri"/>
          <w:noProof/>
        </w:rPr>
        <w:t>, 829–836 (1979).</w:t>
      </w:r>
    </w:p>
    <w:p w14:paraId="6A3F67F0" w14:textId="77777777" w:rsidR="005D1232" w:rsidRPr="005D1232" w:rsidRDefault="005D1232" w:rsidP="005D1232">
      <w:pPr>
        <w:widowControl w:val="0"/>
        <w:autoSpaceDE w:val="0"/>
        <w:autoSpaceDN w:val="0"/>
        <w:adjustRightInd w:val="0"/>
        <w:ind w:left="640" w:hanging="640"/>
        <w:rPr>
          <w:rFonts w:ascii="Calibri" w:hAnsi="Calibri" w:cs="Calibri"/>
          <w:noProof/>
        </w:rPr>
      </w:pPr>
      <w:r w:rsidRPr="005D1232">
        <w:rPr>
          <w:rFonts w:ascii="Calibri" w:hAnsi="Calibri" w:cs="Calibri"/>
          <w:noProof/>
        </w:rPr>
        <w:t>4.</w:t>
      </w:r>
      <w:r w:rsidRPr="005D1232">
        <w:rPr>
          <w:rFonts w:ascii="Calibri" w:hAnsi="Calibri" w:cs="Calibri"/>
          <w:noProof/>
        </w:rPr>
        <w:tab/>
        <w:t xml:space="preserve">Cleveland, W. S. LOWESS: A program for smoothing scatterplots by robust locally weighted regression. </w:t>
      </w:r>
      <w:r w:rsidRPr="005D1232">
        <w:rPr>
          <w:rFonts w:ascii="Calibri" w:hAnsi="Calibri" w:cs="Calibri"/>
          <w:i/>
          <w:iCs/>
          <w:noProof/>
        </w:rPr>
        <w:t>The American Statistician</w:t>
      </w:r>
      <w:r w:rsidRPr="005D1232">
        <w:rPr>
          <w:rFonts w:ascii="Calibri" w:hAnsi="Calibri" w:cs="Calibri"/>
          <w:noProof/>
        </w:rPr>
        <w:t xml:space="preserve"> </w:t>
      </w:r>
      <w:r w:rsidRPr="005D1232">
        <w:rPr>
          <w:rFonts w:ascii="Calibri" w:hAnsi="Calibri" w:cs="Calibri"/>
          <w:b/>
          <w:bCs/>
          <w:noProof/>
        </w:rPr>
        <w:t>35</w:t>
      </w:r>
      <w:r w:rsidRPr="005D1232">
        <w:rPr>
          <w:rFonts w:ascii="Calibri" w:hAnsi="Calibri" w:cs="Calibri"/>
          <w:noProof/>
        </w:rPr>
        <w:t>, 54 (1981).</w:t>
      </w:r>
    </w:p>
    <w:p w14:paraId="1D834804" w14:textId="77777777" w:rsidR="005D1232" w:rsidRPr="005D1232" w:rsidRDefault="005D1232" w:rsidP="005D1232">
      <w:pPr>
        <w:widowControl w:val="0"/>
        <w:autoSpaceDE w:val="0"/>
        <w:autoSpaceDN w:val="0"/>
        <w:adjustRightInd w:val="0"/>
        <w:ind w:left="640" w:hanging="640"/>
        <w:rPr>
          <w:rFonts w:ascii="Calibri" w:hAnsi="Calibri" w:cs="Calibri"/>
          <w:noProof/>
        </w:rPr>
      </w:pPr>
      <w:r w:rsidRPr="005D1232">
        <w:rPr>
          <w:rFonts w:ascii="Calibri" w:hAnsi="Calibri" w:cs="Calibri"/>
          <w:noProof/>
        </w:rPr>
        <w:t>5.</w:t>
      </w:r>
      <w:r w:rsidRPr="005D1232">
        <w:rPr>
          <w:rFonts w:ascii="Calibri" w:hAnsi="Calibri" w:cs="Calibri"/>
          <w:noProof/>
        </w:rPr>
        <w:tab/>
        <w:t>Speakman, L. P. Climate Change Adaptation Report Round 2 Update. (2015).</w:t>
      </w:r>
    </w:p>
    <w:p w14:paraId="506E9586" w14:textId="77777777" w:rsidR="005D1232" w:rsidRPr="005D1232" w:rsidRDefault="005D1232" w:rsidP="005D1232">
      <w:pPr>
        <w:widowControl w:val="0"/>
        <w:autoSpaceDE w:val="0"/>
        <w:autoSpaceDN w:val="0"/>
        <w:adjustRightInd w:val="0"/>
        <w:ind w:left="640" w:hanging="640"/>
        <w:rPr>
          <w:rFonts w:ascii="Calibri" w:hAnsi="Calibri" w:cs="Calibri"/>
          <w:noProof/>
        </w:rPr>
      </w:pPr>
      <w:r w:rsidRPr="005D1232">
        <w:rPr>
          <w:rFonts w:ascii="Calibri" w:hAnsi="Calibri" w:cs="Calibri"/>
          <w:noProof/>
        </w:rPr>
        <w:t>6.</w:t>
      </w:r>
      <w:r w:rsidRPr="005D1232">
        <w:rPr>
          <w:rFonts w:ascii="Calibri" w:hAnsi="Calibri" w:cs="Calibri"/>
          <w:noProof/>
        </w:rPr>
        <w:tab/>
        <w:t xml:space="preserve">Energy Networks Association. </w:t>
      </w:r>
      <w:r w:rsidRPr="005D1232">
        <w:rPr>
          <w:rFonts w:ascii="Calibri" w:hAnsi="Calibri" w:cs="Calibri"/>
          <w:i/>
          <w:iCs/>
          <w:noProof/>
        </w:rPr>
        <w:t>Climate Change Adaptation Reporting Power Second Round</w:t>
      </w:r>
      <w:r w:rsidRPr="005D1232">
        <w:rPr>
          <w:rFonts w:ascii="Calibri" w:hAnsi="Calibri" w:cs="Calibri"/>
          <w:noProof/>
        </w:rPr>
        <w:t>. (2015).</w:t>
      </w:r>
    </w:p>
    <w:p w14:paraId="3D6B07E0" w14:textId="77777777" w:rsidR="005D1232" w:rsidRPr="005D1232" w:rsidRDefault="005D1232" w:rsidP="005D1232">
      <w:pPr>
        <w:widowControl w:val="0"/>
        <w:autoSpaceDE w:val="0"/>
        <w:autoSpaceDN w:val="0"/>
        <w:adjustRightInd w:val="0"/>
        <w:ind w:left="640" w:hanging="640"/>
        <w:rPr>
          <w:rFonts w:ascii="Calibri" w:hAnsi="Calibri" w:cs="Calibri"/>
          <w:noProof/>
        </w:rPr>
      </w:pPr>
      <w:r w:rsidRPr="005D1232">
        <w:rPr>
          <w:rFonts w:ascii="Calibri" w:hAnsi="Calibri" w:cs="Calibri"/>
          <w:noProof/>
        </w:rPr>
        <w:t>7.</w:t>
      </w:r>
      <w:r w:rsidRPr="005D1232">
        <w:rPr>
          <w:rFonts w:ascii="Calibri" w:hAnsi="Calibri" w:cs="Calibri"/>
          <w:noProof/>
        </w:rPr>
        <w:tab/>
        <w:t xml:space="preserve">Westacott, P. &amp; Candelise, C. A novel geographical information systems framework to characterize photovoltaic deployment in the UK: Initial evidence. </w:t>
      </w:r>
      <w:r w:rsidRPr="005D1232">
        <w:rPr>
          <w:rFonts w:ascii="Calibri" w:hAnsi="Calibri" w:cs="Calibri"/>
          <w:i/>
          <w:iCs/>
          <w:noProof/>
        </w:rPr>
        <w:t>Energies</w:t>
      </w:r>
      <w:r w:rsidRPr="005D1232">
        <w:rPr>
          <w:rFonts w:ascii="Calibri" w:hAnsi="Calibri" w:cs="Calibri"/>
          <w:noProof/>
        </w:rPr>
        <w:t xml:space="preserve"> </w:t>
      </w:r>
      <w:r w:rsidRPr="005D1232">
        <w:rPr>
          <w:rFonts w:ascii="Calibri" w:hAnsi="Calibri" w:cs="Calibri"/>
          <w:b/>
          <w:bCs/>
          <w:noProof/>
        </w:rPr>
        <w:t>9</w:t>
      </w:r>
      <w:r w:rsidRPr="005D1232">
        <w:rPr>
          <w:rFonts w:ascii="Calibri" w:hAnsi="Calibri" w:cs="Calibri"/>
          <w:noProof/>
        </w:rPr>
        <w:t>, (2016).</w:t>
      </w:r>
    </w:p>
    <w:p w14:paraId="00647BA2" w14:textId="44AA5E26" w:rsidR="005D1232" w:rsidRPr="005D1232" w:rsidRDefault="005D1232">
      <w:pPr>
        <w:rPr>
          <w:b/>
          <w:bCs/>
        </w:rPr>
      </w:pPr>
    </w:p>
    <w:sectPr w:rsidR="005D1232" w:rsidRPr="005D1232" w:rsidSect="002C6DE8">
      <w:footerReference w:type="even" r:id="rId37"/>
      <w:footerReference w:type="default" r:id="rId38"/>
      <w:pgSz w:w="11906" w:h="16838"/>
      <w:pgMar w:top="1440" w:right="1361" w:bottom="1440" w:left="1361"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1EF0A" w14:textId="77777777" w:rsidR="003B1194" w:rsidRDefault="003B1194">
      <w:pPr>
        <w:spacing w:line="240" w:lineRule="auto"/>
      </w:pPr>
      <w:r>
        <w:separator/>
      </w:r>
    </w:p>
  </w:endnote>
  <w:endnote w:type="continuationSeparator" w:id="0">
    <w:p w14:paraId="65F784F3" w14:textId="77777777" w:rsidR="003B1194" w:rsidRDefault="003B11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Body C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24000836"/>
      <w:docPartObj>
        <w:docPartGallery w:val="Page Numbers (Bottom of Page)"/>
        <w:docPartUnique/>
      </w:docPartObj>
    </w:sdtPr>
    <w:sdtContent>
      <w:p w14:paraId="0DDCC938" w14:textId="77777777" w:rsidR="006E1A63" w:rsidRDefault="00000000" w:rsidP="00B3552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A20219D" w14:textId="77777777" w:rsidR="006E1A63" w:rsidRDefault="00000000" w:rsidP="002C6D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61932933"/>
      <w:docPartObj>
        <w:docPartGallery w:val="Page Numbers (Bottom of Page)"/>
        <w:docPartUnique/>
      </w:docPartObj>
    </w:sdtPr>
    <w:sdtContent>
      <w:p w14:paraId="0A9AB0C3" w14:textId="77777777" w:rsidR="006E1A63" w:rsidRDefault="00000000" w:rsidP="00B3552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p>
    </w:sdtContent>
  </w:sdt>
  <w:p w14:paraId="6B7BE8C0" w14:textId="77777777" w:rsidR="006E1A63" w:rsidRDefault="00000000" w:rsidP="002C6DE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10DD2" w14:textId="77777777" w:rsidR="003B1194" w:rsidRDefault="003B1194">
      <w:pPr>
        <w:spacing w:line="240" w:lineRule="auto"/>
      </w:pPr>
      <w:r>
        <w:separator/>
      </w:r>
    </w:p>
  </w:footnote>
  <w:footnote w:type="continuationSeparator" w:id="0">
    <w:p w14:paraId="3E911EDB" w14:textId="77777777" w:rsidR="003B1194" w:rsidRDefault="003B119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232"/>
    <w:rsid w:val="00065FC7"/>
    <w:rsid w:val="002226EF"/>
    <w:rsid w:val="0023744B"/>
    <w:rsid w:val="003B1194"/>
    <w:rsid w:val="005D1232"/>
    <w:rsid w:val="00970BA2"/>
    <w:rsid w:val="00972765"/>
    <w:rsid w:val="00AE76ED"/>
    <w:rsid w:val="00C023F5"/>
    <w:rsid w:val="00C8762D"/>
    <w:rsid w:val="00E01F5A"/>
    <w:rsid w:val="00F542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10CA8"/>
  <w15:chartTrackingRefBased/>
  <w15:docId w15:val="{4C2B3F06-CCCF-5341-B271-E6D435B80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1232"/>
    <w:pPr>
      <w:spacing w:line="360" w:lineRule="auto"/>
    </w:pPr>
  </w:style>
  <w:style w:type="paragraph" w:styleId="Heading2">
    <w:name w:val="heading 2"/>
    <w:basedOn w:val="Normal"/>
    <w:next w:val="Normal"/>
    <w:link w:val="Heading2Char"/>
    <w:autoRedefine/>
    <w:uiPriority w:val="9"/>
    <w:unhideWhenUsed/>
    <w:qFormat/>
    <w:rsid w:val="005D1232"/>
    <w:pPr>
      <w:keepNext/>
      <w:keepLines/>
      <w:spacing w:before="40" w:line="276" w:lineRule="auto"/>
      <w:outlineLvl w:val="1"/>
    </w:pPr>
    <w:rPr>
      <w:rFonts w:asciiTheme="majorHAnsi" w:eastAsiaTheme="majorEastAsia" w:hAnsiTheme="majorHAnsi" w:cstheme="majorBidi"/>
      <w:i/>
      <w:color w:val="2F5496" w:themeColor="accent1" w:themeShade="BF"/>
      <w:sz w:val="26"/>
      <w:szCs w:val="26"/>
    </w:rPr>
  </w:style>
  <w:style w:type="paragraph" w:styleId="Heading3">
    <w:name w:val="heading 3"/>
    <w:basedOn w:val="Normal"/>
    <w:next w:val="Normal"/>
    <w:link w:val="Heading3Char"/>
    <w:uiPriority w:val="9"/>
    <w:unhideWhenUsed/>
    <w:qFormat/>
    <w:rsid w:val="005D1232"/>
    <w:pPr>
      <w:keepNext/>
      <w:keepLines/>
      <w:spacing w:before="40"/>
      <w:outlineLvl w:val="2"/>
    </w:pPr>
    <w:rPr>
      <w:rFonts w:asciiTheme="majorHAnsi" w:eastAsiaTheme="majorEastAsia" w:hAnsiTheme="majorHAnsi" w:cstheme="majorBidi"/>
      <w: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D1232"/>
    <w:rPr>
      <w:rFonts w:asciiTheme="majorHAnsi" w:eastAsiaTheme="majorEastAsia" w:hAnsiTheme="majorHAnsi" w:cstheme="majorBidi"/>
      <w:i/>
      <w:color w:val="2F5496" w:themeColor="accent1" w:themeShade="BF"/>
      <w:sz w:val="26"/>
      <w:szCs w:val="26"/>
    </w:rPr>
  </w:style>
  <w:style w:type="character" w:customStyle="1" w:styleId="Heading3Char">
    <w:name w:val="Heading 3 Char"/>
    <w:basedOn w:val="DefaultParagraphFont"/>
    <w:link w:val="Heading3"/>
    <w:uiPriority w:val="9"/>
    <w:rsid w:val="005D1232"/>
    <w:rPr>
      <w:rFonts w:asciiTheme="majorHAnsi" w:eastAsiaTheme="majorEastAsia" w:hAnsiTheme="majorHAnsi" w:cstheme="majorBidi"/>
      <w:i/>
      <w:color w:val="1F3763" w:themeColor="accent1" w:themeShade="7F"/>
    </w:rPr>
  </w:style>
  <w:style w:type="table" w:styleId="TableGrid">
    <w:name w:val="Table Grid"/>
    <w:basedOn w:val="TableNormal"/>
    <w:uiPriority w:val="39"/>
    <w:rsid w:val="005D1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D1232"/>
    <w:pPr>
      <w:spacing w:after="200"/>
    </w:pPr>
    <w:rPr>
      <w:iCs/>
      <w:szCs w:val="18"/>
    </w:rPr>
  </w:style>
  <w:style w:type="paragraph" w:styleId="Footer">
    <w:name w:val="footer"/>
    <w:basedOn w:val="Normal"/>
    <w:link w:val="FooterChar"/>
    <w:uiPriority w:val="99"/>
    <w:unhideWhenUsed/>
    <w:rsid w:val="005D1232"/>
    <w:pPr>
      <w:tabs>
        <w:tab w:val="center" w:pos="4513"/>
        <w:tab w:val="right" w:pos="9026"/>
      </w:tabs>
      <w:spacing w:line="240" w:lineRule="auto"/>
    </w:pPr>
  </w:style>
  <w:style w:type="character" w:customStyle="1" w:styleId="FooterChar">
    <w:name w:val="Footer Char"/>
    <w:basedOn w:val="DefaultParagraphFont"/>
    <w:link w:val="Footer"/>
    <w:uiPriority w:val="99"/>
    <w:rsid w:val="005D1232"/>
  </w:style>
  <w:style w:type="character" w:styleId="PageNumber">
    <w:name w:val="page number"/>
    <w:basedOn w:val="DefaultParagraphFont"/>
    <w:uiPriority w:val="99"/>
    <w:semiHidden/>
    <w:unhideWhenUsed/>
    <w:rsid w:val="005D1232"/>
  </w:style>
  <w:style w:type="character" w:styleId="Hyperlink">
    <w:name w:val="Hyperlink"/>
    <w:basedOn w:val="DefaultParagraphFont"/>
    <w:uiPriority w:val="99"/>
    <w:unhideWhenUsed/>
    <w:rsid w:val="005D1232"/>
    <w:rPr>
      <w:color w:val="0000FF"/>
      <w:u w:val="single"/>
    </w:rPr>
  </w:style>
  <w:style w:type="character" w:styleId="LineNumber">
    <w:name w:val="line number"/>
    <w:basedOn w:val="DefaultParagraphFont"/>
    <w:uiPriority w:val="99"/>
    <w:semiHidden/>
    <w:unhideWhenUsed/>
    <w:rsid w:val="005D12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fontTable" Target="fontTable.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tiff"/><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8" Type="http://schemas.openxmlformats.org/officeDocument/2006/relationships/image" Target="media/image2.tiff"/><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489836-1AD9-E24C-A06C-9EE369F7C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Pages>
  <Words>1534</Words>
  <Characters>8714</Characters>
  <Application>Microsoft Office Word</Application>
  <DocSecurity>0</DocSecurity>
  <Lines>152</Lines>
  <Paragraphs>39</Paragraphs>
  <ScaleCrop>false</ScaleCrop>
  <Company/>
  <LinksUpToDate>false</LinksUpToDate>
  <CharactersWithSpaces>10209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Sheridan Few</dc:creator>
  <cp:keywords/>
  <dc:description/>
  <cp:lastModifiedBy>Sheridan Few</cp:lastModifiedBy>
  <cp:revision>6</cp:revision>
  <cp:lastPrinted>2022-10-17T10:36:00Z</cp:lastPrinted>
  <dcterms:created xsi:type="dcterms:W3CDTF">2022-10-10T14:58:00Z</dcterms:created>
  <dcterms:modified xsi:type="dcterms:W3CDTF">2022-10-17T11:25:00Z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http://www.zotero.org/styles/american-chemical-society-page-first</vt:lpwstr>
  </property>
  <property fmtid="{D5CDD505-2E9C-101B-9397-08002B2CF9AE}" pid="3" name="Mendeley Recent Style Name 0_1">
    <vt:lpwstr>American Chemical Society (page-first)</vt:lpwstr>
  </property>
  <property fmtid="{D5CDD505-2E9C-101B-9397-08002B2CF9AE}" pid="4" name="Mendeley Recent Style Id 1_1">
    <vt:lpwstr>http://www.zotero.org/styles/chicago-note-bibliography</vt:lpwstr>
  </property>
  <property fmtid="{D5CDD505-2E9C-101B-9397-08002B2CF9AE}" pid="5" name="Mendeley Recent Style Name 1_1">
    <vt:lpwstr>Chicago Manual of Style 17th edition (note)</vt:lpwstr>
  </property>
  <property fmtid="{D5CDD505-2E9C-101B-9397-08002B2CF9AE}" pid="6" name="Mendeley Recent Style Id 2_1">
    <vt:lpwstr>https://csl.mendeley.com/styles/526070031/journal-of-the-electrochemical-society</vt:lpwstr>
  </property>
  <property fmtid="{D5CDD505-2E9C-101B-9397-08002B2CF9AE}" pid="7" name="Mendeley Recent Style Name 2_1">
    <vt:lpwstr>Journal of The Electrochemical Society - Jake Sowe</vt:lpwstr>
  </property>
  <property fmtid="{D5CDD505-2E9C-101B-9397-08002B2CF9AE}" pid="8" name="Mendeley Recent Style Id 3_1">
    <vt:lpwstr>http://www.zotero.org/styles/journal-of-the-american-chemical-society</vt:lpwstr>
  </property>
  <property fmtid="{D5CDD505-2E9C-101B-9397-08002B2CF9AE}" pid="9" name="Mendeley Recent Style Name 3_1">
    <vt:lpwstr>Journal of the American Chemical Society</vt:lpwstr>
  </property>
  <property fmtid="{D5CDD505-2E9C-101B-9397-08002B2CF9AE}" pid="10" name="Mendeley Recent Style Id 4_1">
    <vt:lpwstr>http://www.zotero.org/styles/modern-language-association</vt:lpwstr>
  </property>
  <property fmtid="{D5CDD505-2E9C-101B-9397-08002B2CF9AE}" pid="11" name="Mendeley Recent Style Name 4_1">
    <vt:lpwstr>Modern Language Association 8th edition</vt:lpwstr>
  </property>
  <property fmtid="{D5CDD505-2E9C-101B-9397-08002B2CF9AE}" pid="12" name="Mendeley Recent Style Id 5_1">
    <vt:lpwstr>http://www.zotero.org/styles/nature</vt:lpwstr>
  </property>
  <property fmtid="{D5CDD505-2E9C-101B-9397-08002B2CF9AE}" pid="13" name="Mendeley Recent Style Name 5_1">
    <vt:lpwstr>Nature</vt:lpwstr>
  </property>
  <property fmtid="{D5CDD505-2E9C-101B-9397-08002B2CF9AE}" pid="14" name="Mendeley Recent Style Id 6_1">
    <vt:lpwstr>http://csl.mendeley.com/styles/637499041/nature-more-authors</vt:lpwstr>
  </property>
  <property fmtid="{D5CDD505-2E9C-101B-9397-08002B2CF9AE}" pid="15" name="Mendeley Recent Style Name 6_1">
    <vt:lpwstr>Nature more authors</vt:lpwstr>
  </property>
  <property fmtid="{D5CDD505-2E9C-101B-9397-08002B2CF9AE}" pid="16" name="Mendeley Recent Style Id 7_1">
    <vt:lpwstr>https://csl.mendeley.com/styles/637499041/nature-more-authors</vt:lpwstr>
  </property>
  <property fmtid="{D5CDD505-2E9C-101B-9397-08002B2CF9AE}" pid="17" name="Mendeley Recent Style Name 7_1">
    <vt:lpwstr>Nature more authors</vt:lpwstr>
  </property>
  <property fmtid="{D5CDD505-2E9C-101B-9397-08002B2CF9AE}" pid="18" name="Mendeley Recent Style Id 8_1">
    <vt:lpwstr>http://www.zotero.org/styles/technological-forecasting-and-social-change</vt:lpwstr>
  </property>
  <property fmtid="{D5CDD505-2E9C-101B-9397-08002B2CF9AE}" pid="19" name="Mendeley Recent Style Name 8_1">
    <vt:lpwstr>Technological Forecasting &amp; Social Change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f37c0cae-9d60-3485-8f12-6e58ce80b209</vt:lpwstr>
  </property>
  <property fmtid="{D5CDD505-2E9C-101B-9397-08002B2CF9AE}" pid="24" name="Mendeley Citation Style_1">
    <vt:lpwstr>https://csl.mendeley.com/styles/637499041/nature-more-authors</vt:lpwstr>
  </property>
</Properties>
</file>