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C3BA16" w14:textId="1E409272" w:rsidR="001B2F04" w:rsidRPr="00AF6261" w:rsidRDefault="00AF6261">
      <w:pPr>
        <w:rPr>
          <w:lang w:val="en-US"/>
        </w:rPr>
      </w:pPr>
      <w:r>
        <w:rPr>
          <w:b/>
          <w:lang w:val="en-US"/>
        </w:rPr>
        <w:t>Additional file 1.</w:t>
      </w:r>
      <w:r w:rsidR="001B2F04" w:rsidRPr="00AF6261">
        <w:rPr>
          <w:lang w:val="en-US"/>
        </w:rPr>
        <w:t xml:space="preserve"> </w:t>
      </w:r>
      <w:r w:rsidR="00DC5D76" w:rsidRPr="00DC5D76">
        <w:rPr>
          <w:lang w:val="en-US"/>
        </w:rPr>
        <w:t>List of the 48 studies selected for the putative AOP construction</w:t>
      </w:r>
    </w:p>
    <w:tbl>
      <w:tblPr>
        <w:tblW w:w="14850" w:type="dxa"/>
        <w:tblLayout w:type="fixed"/>
        <w:tblCellMar>
          <w:left w:w="70" w:type="dxa"/>
          <w:right w:w="70" w:type="dxa"/>
        </w:tblCellMar>
        <w:tblLook w:val="04A0" w:firstRow="1" w:lastRow="0" w:firstColumn="1" w:lastColumn="0" w:noHBand="0" w:noVBand="1"/>
      </w:tblPr>
      <w:tblGrid>
        <w:gridCol w:w="1408"/>
        <w:gridCol w:w="1276"/>
        <w:gridCol w:w="1275"/>
        <w:gridCol w:w="1668"/>
        <w:gridCol w:w="1703"/>
        <w:gridCol w:w="2010"/>
        <w:gridCol w:w="2273"/>
        <w:gridCol w:w="2386"/>
        <w:gridCol w:w="851"/>
      </w:tblGrid>
      <w:tr w:rsidR="00795DF1" w:rsidRPr="00912134" w14:paraId="5E464940" w14:textId="77777777" w:rsidTr="007F3FC3">
        <w:trPr>
          <w:cantSplit/>
          <w:trHeight w:val="1297"/>
          <w:tblHeader/>
        </w:trPr>
        <w:tc>
          <w:tcPr>
            <w:tcW w:w="1408" w:type="dxa"/>
            <w:tcBorders>
              <w:top w:val="single" w:sz="8" w:space="0" w:color="auto"/>
              <w:left w:val="single" w:sz="8" w:space="0" w:color="auto"/>
              <w:bottom w:val="single" w:sz="4" w:space="0" w:color="auto"/>
              <w:right w:val="nil"/>
            </w:tcBorders>
            <w:shd w:val="clear" w:color="000000" w:fill="BFBFBF"/>
            <w:vAlign w:val="center"/>
            <w:hideMark/>
          </w:tcPr>
          <w:p w14:paraId="48B17077" w14:textId="3461AA7C" w:rsidR="00795DF1" w:rsidRPr="00AF6261" w:rsidRDefault="00795DF1" w:rsidP="00B15EC0">
            <w:pPr>
              <w:spacing w:after="0" w:line="240" w:lineRule="auto"/>
              <w:jc w:val="center"/>
              <w:rPr>
                <w:rFonts w:eastAsia="Times New Roman" w:cstheme="minorHAnsi"/>
                <w:b/>
                <w:bCs/>
                <w:color w:val="000000"/>
                <w:sz w:val="18"/>
                <w:szCs w:val="18"/>
                <w:lang w:val="en-US" w:eastAsia="fr-FR"/>
              </w:rPr>
            </w:pPr>
            <w:r w:rsidRPr="00AF6261">
              <w:rPr>
                <w:rFonts w:eastAsia="Times New Roman" w:cstheme="minorHAnsi"/>
                <w:b/>
                <w:bCs/>
                <w:color w:val="000000"/>
                <w:sz w:val="18"/>
                <w:szCs w:val="18"/>
                <w:lang w:val="en-US" w:eastAsia="fr-FR"/>
              </w:rPr>
              <w:t>Ag NP</w:t>
            </w:r>
          </w:p>
          <w:p w14:paraId="5A346104" w14:textId="77777777" w:rsidR="00795DF1" w:rsidRPr="00AF6261" w:rsidRDefault="00795DF1" w:rsidP="00B15EC0">
            <w:pPr>
              <w:spacing w:after="0" w:line="240" w:lineRule="auto"/>
              <w:jc w:val="center"/>
              <w:rPr>
                <w:rFonts w:eastAsia="Times New Roman" w:cstheme="minorHAnsi"/>
                <w:b/>
                <w:bCs/>
                <w:color w:val="000000"/>
                <w:sz w:val="18"/>
                <w:szCs w:val="18"/>
                <w:lang w:val="en-US" w:eastAsia="fr-FR"/>
              </w:rPr>
            </w:pPr>
            <w:r w:rsidRPr="00AF6261">
              <w:rPr>
                <w:rFonts w:eastAsia="Times New Roman" w:cstheme="minorHAnsi"/>
                <w:b/>
                <w:bCs/>
                <w:color w:val="000000"/>
                <w:sz w:val="18"/>
                <w:szCs w:val="18"/>
                <w:lang w:val="en-US" w:eastAsia="fr-FR"/>
              </w:rPr>
              <w:t>p-chem</w:t>
            </w:r>
          </w:p>
        </w:tc>
        <w:tc>
          <w:tcPr>
            <w:tcW w:w="1276" w:type="dxa"/>
            <w:tcBorders>
              <w:top w:val="single" w:sz="8" w:space="0" w:color="auto"/>
              <w:left w:val="nil"/>
              <w:bottom w:val="single" w:sz="4" w:space="0" w:color="auto"/>
              <w:right w:val="nil"/>
            </w:tcBorders>
            <w:shd w:val="clear" w:color="000000" w:fill="BFBFBF"/>
            <w:vAlign w:val="center"/>
            <w:hideMark/>
          </w:tcPr>
          <w:p w14:paraId="267AC3DA" w14:textId="77777777" w:rsidR="00795DF1" w:rsidRPr="000270BA" w:rsidRDefault="00795DF1" w:rsidP="00B15EC0">
            <w:pPr>
              <w:spacing w:after="0" w:line="240" w:lineRule="auto"/>
              <w:jc w:val="center"/>
              <w:rPr>
                <w:rFonts w:eastAsia="Times New Roman" w:cstheme="minorHAnsi"/>
                <w:b/>
                <w:bCs/>
                <w:color w:val="000000"/>
                <w:sz w:val="18"/>
                <w:szCs w:val="18"/>
                <w:lang w:val="en-US" w:eastAsia="fr-FR"/>
              </w:rPr>
            </w:pPr>
            <w:r w:rsidRPr="000270BA">
              <w:rPr>
                <w:rFonts w:eastAsia="Times New Roman" w:cstheme="minorHAnsi"/>
                <w:b/>
                <w:bCs/>
                <w:color w:val="000000"/>
                <w:sz w:val="18"/>
                <w:szCs w:val="18"/>
                <w:lang w:val="en-US" w:eastAsia="fr-FR"/>
              </w:rPr>
              <w:t>Experimental model and mode of exposure</w:t>
            </w:r>
          </w:p>
        </w:tc>
        <w:tc>
          <w:tcPr>
            <w:tcW w:w="1275" w:type="dxa"/>
            <w:tcBorders>
              <w:top w:val="single" w:sz="8" w:space="0" w:color="auto"/>
              <w:left w:val="nil"/>
              <w:bottom w:val="single" w:sz="4" w:space="0" w:color="auto"/>
              <w:right w:val="nil"/>
            </w:tcBorders>
            <w:shd w:val="clear" w:color="000000" w:fill="BFBFBF"/>
            <w:vAlign w:val="center"/>
            <w:hideMark/>
          </w:tcPr>
          <w:p w14:paraId="4EB83D2A" w14:textId="77777777" w:rsidR="00795DF1" w:rsidRPr="00AF6261" w:rsidRDefault="00795DF1" w:rsidP="00B15EC0">
            <w:pPr>
              <w:spacing w:after="0" w:line="240" w:lineRule="auto"/>
              <w:jc w:val="center"/>
              <w:rPr>
                <w:rFonts w:eastAsia="Times New Roman" w:cstheme="minorHAnsi"/>
                <w:b/>
                <w:bCs/>
                <w:color w:val="000000"/>
                <w:sz w:val="18"/>
                <w:szCs w:val="18"/>
                <w:lang w:val="en-US" w:eastAsia="fr-FR"/>
              </w:rPr>
            </w:pPr>
            <w:r w:rsidRPr="00AF6261">
              <w:rPr>
                <w:rFonts w:eastAsia="Times New Roman" w:cstheme="minorHAnsi"/>
                <w:b/>
                <w:bCs/>
                <w:color w:val="000000"/>
                <w:sz w:val="18"/>
                <w:szCs w:val="18"/>
                <w:lang w:val="en-US" w:eastAsia="fr-FR"/>
              </w:rPr>
              <w:t>Exposure dose, sampling time</w:t>
            </w:r>
          </w:p>
        </w:tc>
        <w:tc>
          <w:tcPr>
            <w:tcW w:w="1668" w:type="dxa"/>
            <w:tcBorders>
              <w:top w:val="single" w:sz="8" w:space="0" w:color="auto"/>
              <w:left w:val="nil"/>
              <w:bottom w:val="single" w:sz="4" w:space="0" w:color="auto"/>
              <w:right w:val="nil"/>
            </w:tcBorders>
            <w:shd w:val="clear" w:color="000000" w:fill="BFBFBF"/>
            <w:vAlign w:val="center"/>
            <w:hideMark/>
          </w:tcPr>
          <w:p w14:paraId="0D0F4C3A" w14:textId="77777777" w:rsidR="00795DF1" w:rsidRPr="00AF6261" w:rsidRDefault="00795DF1" w:rsidP="00795DF1">
            <w:pPr>
              <w:spacing w:after="0" w:line="240" w:lineRule="auto"/>
              <w:jc w:val="center"/>
              <w:rPr>
                <w:rFonts w:eastAsia="Times New Roman" w:cstheme="minorHAnsi"/>
                <w:b/>
                <w:bCs/>
                <w:color w:val="000000"/>
                <w:sz w:val="18"/>
                <w:szCs w:val="18"/>
                <w:lang w:val="en-US" w:eastAsia="fr-FR"/>
              </w:rPr>
            </w:pPr>
            <w:r w:rsidRPr="00AF6261">
              <w:rPr>
                <w:rFonts w:eastAsia="Times New Roman" w:cstheme="minorHAnsi"/>
                <w:b/>
                <w:bCs/>
                <w:color w:val="000000"/>
                <w:sz w:val="18"/>
                <w:szCs w:val="18"/>
                <w:lang w:val="en-US" w:eastAsia="fr-FR"/>
              </w:rPr>
              <w:t xml:space="preserve">Biological/ toxicological </w:t>
            </w:r>
          </w:p>
          <w:p w14:paraId="1EEC09FD" w14:textId="77777777" w:rsidR="00795DF1" w:rsidRPr="00AF6261" w:rsidRDefault="00795DF1" w:rsidP="00795DF1">
            <w:pPr>
              <w:spacing w:after="0" w:line="240" w:lineRule="auto"/>
              <w:jc w:val="center"/>
              <w:rPr>
                <w:rFonts w:eastAsia="Times New Roman" w:cstheme="minorHAnsi"/>
                <w:b/>
                <w:bCs/>
                <w:color w:val="000000"/>
                <w:sz w:val="18"/>
                <w:szCs w:val="18"/>
                <w:lang w:val="en-US" w:eastAsia="fr-FR"/>
              </w:rPr>
            </w:pPr>
            <w:r w:rsidRPr="00AF6261">
              <w:rPr>
                <w:rFonts w:eastAsia="Times New Roman" w:cstheme="minorHAnsi"/>
                <w:b/>
                <w:bCs/>
                <w:color w:val="000000"/>
                <w:sz w:val="18"/>
                <w:szCs w:val="18"/>
                <w:lang w:val="en-US" w:eastAsia="fr-FR"/>
              </w:rPr>
              <w:t>Endpoints</w:t>
            </w:r>
          </w:p>
        </w:tc>
        <w:tc>
          <w:tcPr>
            <w:tcW w:w="1703" w:type="dxa"/>
            <w:tcBorders>
              <w:top w:val="single" w:sz="8" w:space="0" w:color="auto"/>
              <w:left w:val="nil"/>
              <w:bottom w:val="single" w:sz="4" w:space="0" w:color="auto"/>
              <w:right w:val="nil"/>
            </w:tcBorders>
            <w:shd w:val="clear" w:color="000000" w:fill="BFBFBF"/>
            <w:vAlign w:val="center"/>
            <w:hideMark/>
          </w:tcPr>
          <w:p w14:paraId="6047FC3C" w14:textId="77777777" w:rsidR="00795DF1" w:rsidRPr="000270BA" w:rsidRDefault="00795DF1" w:rsidP="00795DF1">
            <w:pPr>
              <w:spacing w:after="0" w:line="240" w:lineRule="auto"/>
              <w:jc w:val="center"/>
              <w:rPr>
                <w:rFonts w:eastAsia="Times New Roman" w:cstheme="minorHAnsi"/>
                <w:b/>
                <w:bCs/>
                <w:color w:val="000000"/>
                <w:sz w:val="18"/>
                <w:szCs w:val="18"/>
                <w:lang w:eastAsia="fr-FR"/>
              </w:rPr>
            </w:pPr>
            <w:r w:rsidRPr="00AF6261">
              <w:rPr>
                <w:rFonts w:eastAsia="Times New Roman" w:cstheme="minorHAnsi"/>
                <w:b/>
                <w:bCs/>
                <w:color w:val="000000"/>
                <w:sz w:val="18"/>
                <w:szCs w:val="18"/>
                <w:lang w:val="en-US" w:eastAsia="fr-FR"/>
              </w:rPr>
              <w:t>Actual m</w:t>
            </w:r>
            <w:r w:rsidRPr="000270BA">
              <w:rPr>
                <w:rFonts w:eastAsia="Times New Roman" w:cstheme="minorHAnsi"/>
                <w:b/>
                <w:bCs/>
                <w:color w:val="000000"/>
                <w:sz w:val="18"/>
                <w:szCs w:val="18"/>
                <w:lang w:eastAsia="fr-FR"/>
              </w:rPr>
              <w:t>easurements</w:t>
            </w:r>
            <w:r w:rsidR="00EA2CF7">
              <w:rPr>
                <w:rFonts w:eastAsia="Times New Roman" w:cstheme="minorHAnsi"/>
                <w:b/>
                <w:bCs/>
                <w:color w:val="000000"/>
                <w:sz w:val="18"/>
                <w:szCs w:val="18"/>
                <w:lang w:eastAsia="fr-FR"/>
              </w:rPr>
              <w:t xml:space="preserve"> and methods</w:t>
            </w:r>
          </w:p>
        </w:tc>
        <w:tc>
          <w:tcPr>
            <w:tcW w:w="2010" w:type="dxa"/>
            <w:tcBorders>
              <w:top w:val="single" w:sz="4" w:space="0" w:color="auto"/>
              <w:left w:val="nil"/>
              <w:bottom w:val="single" w:sz="4" w:space="0" w:color="auto"/>
            </w:tcBorders>
            <w:shd w:val="clear" w:color="000000" w:fill="BFBFBF"/>
            <w:vAlign w:val="center"/>
            <w:hideMark/>
          </w:tcPr>
          <w:p w14:paraId="44A47505" w14:textId="77777777" w:rsidR="00795DF1" w:rsidRPr="000270BA" w:rsidRDefault="00795DF1" w:rsidP="00795DF1">
            <w:pPr>
              <w:spacing w:after="0" w:line="240" w:lineRule="auto"/>
              <w:jc w:val="center"/>
              <w:rPr>
                <w:rFonts w:eastAsia="Times New Roman" w:cstheme="minorHAnsi"/>
                <w:b/>
                <w:bCs/>
                <w:color w:val="000000"/>
                <w:sz w:val="18"/>
                <w:szCs w:val="18"/>
                <w:lang w:eastAsia="fr-FR"/>
              </w:rPr>
            </w:pPr>
            <w:r w:rsidRPr="000270BA">
              <w:rPr>
                <w:rFonts w:eastAsia="Times New Roman" w:cstheme="minorHAnsi"/>
                <w:b/>
                <w:bCs/>
                <w:color w:val="000000"/>
                <w:sz w:val="18"/>
                <w:szCs w:val="18"/>
                <w:lang w:eastAsia="fr-FR"/>
              </w:rPr>
              <w:t>Result</w:t>
            </w:r>
          </w:p>
        </w:tc>
        <w:tc>
          <w:tcPr>
            <w:tcW w:w="2273" w:type="dxa"/>
            <w:tcBorders>
              <w:top w:val="single" w:sz="4" w:space="0" w:color="auto"/>
              <w:bottom w:val="single" w:sz="4" w:space="0" w:color="auto"/>
            </w:tcBorders>
            <w:shd w:val="clear" w:color="000000" w:fill="BFBFBF"/>
            <w:vAlign w:val="center"/>
          </w:tcPr>
          <w:p w14:paraId="742A17E1" w14:textId="77777777" w:rsidR="00795DF1" w:rsidRPr="002B1711" w:rsidRDefault="00795DF1" w:rsidP="00795DF1">
            <w:pPr>
              <w:spacing w:after="0" w:line="240" w:lineRule="auto"/>
              <w:jc w:val="center"/>
              <w:rPr>
                <w:rFonts w:eastAsia="Times New Roman" w:cstheme="minorHAnsi"/>
                <w:b/>
                <w:bCs/>
                <w:color w:val="000000"/>
                <w:sz w:val="18"/>
                <w:szCs w:val="18"/>
                <w:lang w:val="en-US" w:eastAsia="fr-FR"/>
              </w:rPr>
            </w:pPr>
            <w:r w:rsidRPr="000270BA">
              <w:rPr>
                <w:rFonts w:eastAsia="Times New Roman" w:cstheme="minorHAnsi"/>
                <w:b/>
                <w:bCs/>
                <w:color w:val="000000"/>
                <w:sz w:val="18"/>
                <w:szCs w:val="18"/>
                <w:lang w:val="en-US" w:eastAsia="fr-FR"/>
              </w:rPr>
              <w:t>Potential key event(s) (KE nr. from AOP</w:t>
            </w:r>
            <w:r>
              <w:rPr>
                <w:rFonts w:eastAsia="Times New Roman" w:cstheme="minorHAnsi"/>
                <w:b/>
                <w:bCs/>
                <w:color w:val="000000"/>
                <w:sz w:val="18"/>
                <w:szCs w:val="18"/>
                <w:lang w:val="en-US" w:eastAsia="fr-FR"/>
              </w:rPr>
              <w:t>-W</w:t>
            </w:r>
            <w:r w:rsidRPr="002B1711">
              <w:rPr>
                <w:rFonts w:eastAsia="Times New Roman" w:cstheme="minorHAnsi"/>
                <w:b/>
                <w:bCs/>
                <w:color w:val="000000"/>
                <w:sz w:val="18"/>
                <w:szCs w:val="18"/>
                <w:lang w:val="en-US" w:eastAsia="fr-FR"/>
              </w:rPr>
              <w:t xml:space="preserve">iki) </w:t>
            </w:r>
            <w:r w:rsidRPr="002B1711">
              <w:rPr>
                <w:rFonts w:eastAsia="Times New Roman" w:cstheme="minorHAnsi"/>
                <w:b/>
                <w:bCs/>
                <w:i/>
                <w:color w:val="000000"/>
                <w:sz w:val="18"/>
                <w:szCs w:val="18"/>
                <w:vertAlign w:val="superscript"/>
                <w:lang w:val="en-US" w:eastAsia="fr-FR"/>
              </w:rPr>
              <w:t>a</w:t>
            </w:r>
          </w:p>
        </w:tc>
        <w:tc>
          <w:tcPr>
            <w:tcW w:w="2386" w:type="dxa"/>
            <w:tcBorders>
              <w:top w:val="single" w:sz="4" w:space="0" w:color="auto"/>
              <w:bottom w:val="single" w:sz="4" w:space="0" w:color="auto"/>
            </w:tcBorders>
            <w:shd w:val="clear" w:color="000000" w:fill="BFBFBF"/>
            <w:vAlign w:val="center"/>
            <w:hideMark/>
          </w:tcPr>
          <w:p w14:paraId="0DE3157E" w14:textId="77777777" w:rsidR="00795DF1" w:rsidRPr="002B1711" w:rsidRDefault="00795DF1" w:rsidP="00795DF1">
            <w:pPr>
              <w:spacing w:after="0" w:line="240" w:lineRule="auto"/>
              <w:jc w:val="center"/>
              <w:rPr>
                <w:rFonts w:eastAsia="Times New Roman" w:cstheme="minorHAnsi"/>
                <w:b/>
                <w:bCs/>
                <w:color w:val="000000"/>
                <w:sz w:val="18"/>
                <w:szCs w:val="18"/>
                <w:lang w:val="en-US" w:eastAsia="fr-FR"/>
              </w:rPr>
            </w:pPr>
            <w:r w:rsidRPr="000270BA">
              <w:rPr>
                <w:rFonts w:eastAsia="Times New Roman" w:cstheme="minorHAnsi"/>
                <w:b/>
                <w:bCs/>
                <w:color w:val="000000"/>
                <w:sz w:val="18"/>
                <w:szCs w:val="18"/>
                <w:lang w:val="en-US" w:eastAsia="fr-FR"/>
              </w:rPr>
              <w:t>Potential adverse outcomes (AOs) associated with the key event (AO nr. from AOP</w:t>
            </w:r>
            <w:r>
              <w:rPr>
                <w:rFonts w:eastAsia="Times New Roman" w:cstheme="minorHAnsi"/>
                <w:b/>
                <w:bCs/>
                <w:color w:val="000000"/>
                <w:sz w:val="18"/>
                <w:szCs w:val="18"/>
                <w:lang w:val="en-US" w:eastAsia="fr-FR"/>
              </w:rPr>
              <w:t>-W</w:t>
            </w:r>
            <w:r w:rsidRPr="002B1711">
              <w:rPr>
                <w:rFonts w:eastAsia="Times New Roman" w:cstheme="minorHAnsi"/>
                <w:b/>
                <w:bCs/>
                <w:color w:val="000000"/>
                <w:sz w:val="18"/>
                <w:szCs w:val="18"/>
                <w:lang w:val="en-US" w:eastAsia="fr-FR"/>
              </w:rPr>
              <w:t>iki</w:t>
            </w:r>
            <w:r w:rsidRPr="002B1711">
              <w:rPr>
                <w:rFonts w:eastAsia="Times New Roman" w:cstheme="minorHAnsi"/>
                <w:b/>
                <w:bCs/>
                <w:i/>
                <w:color w:val="000000"/>
                <w:sz w:val="18"/>
                <w:szCs w:val="18"/>
                <w:vertAlign w:val="superscript"/>
                <w:lang w:val="en-US" w:eastAsia="fr-FR"/>
              </w:rPr>
              <w:t>a</w:t>
            </w:r>
          </w:p>
        </w:tc>
        <w:tc>
          <w:tcPr>
            <w:tcW w:w="851" w:type="dxa"/>
            <w:tcBorders>
              <w:top w:val="single" w:sz="8" w:space="0" w:color="auto"/>
              <w:left w:val="nil"/>
              <w:bottom w:val="single" w:sz="8" w:space="0" w:color="auto"/>
              <w:right w:val="single" w:sz="8" w:space="0" w:color="auto"/>
            </w:tcBorders>
            <w:shd w:val="clear" w:color="000000" w:fill="BFBFBF"/>
            <w:vAlign w:val="center"/>
          </w:tcPr>
          <w:p w14:paraId="5BBC34E6" w14:textId="77777777" w:rsidR="00795DF1" w:rsidRPr="000270BA" w:rsidRDefault="00795DF1" w:rsidP="007F3FC3">
            <w:pPr>
              <w:spacing w:after="0" w:line="240" w:lineRule="auto"/>
              <w:jc w:val="center"/>
              <w:rPr>
                <w:rFonts w:eastAsia="Times New Roman" w:cstheme="minorHAnsi"/>
                <w:b/>
                <w:bCs/>
                <w:color w:val="000000"/>
                <w:sz w:val="18"/>
                <w:szCs w:val="18"/>
                <w:lang w:val="en-US" w:eastAsia="fr-FR"/>
              </w:rPr>
            </w:pPr>
            <w:r w:rsidRPr="000270BA">
              <w:rPr>
                <w:rFonts w:eastAsia="Times New Roman" w:cstheme="minorHAnsi"/>
                <w:b/>
                <w:bCs/>
                <w:color w:val="000000"/>
                <w:sz w:val="18"/>
                <w:szCs w:val="18"/>
                <w:lang w:val="en-US" w:eastAsia="fr-FR"/>
              </w:rPr>
              <w:t>Ref</w:t>
            </w:r>
          </w:p>
        </w:tc>
      </w:tr>
      <w:tr w:rsidR="00AE73B3" w:rsidRPr="00912134" w14:paraId="16E6D186" w14:textId="77777777" w:rsidTr="007F3FC3">
        <w:trPr>
          <w:cantSplit/>
          <w:trHeight w:val="490"/>
        </w:trPr>
        <w:tc>
          <w:tcPr>
            <w:tcW w:w="14850" w:type="dxa"/>
            <w:gridSpan w:val="9"/>
            <w:tcBorders>
              <w:top w:val="single" w:sz="4" w:space="0" w:color="auto"/>
              <w:left w:val="single" w:sz="4" w:space="0" w:color="auto"/>
              <w:bottom w:val="single" w:sz="4" w:space="0" w:color="auto"/>
              <w:right w:val="single" w:sz="8" w:space="0" w:color="auto"/>
            </w:tcBorders>
            <w:shd w:val="clear" w:color="auto" w:fill="F2F2F2" w:themeFill="background1" w:themeFillShade="F2"/>
            <w:vAlign w:val="center"/>
          </w:tcPr>
          <w:p w14:paraId="154BC590" w14:textId="0F2EC6FA" w:rsidR="00AE73B3" w:rsidRPr="00AE73B3" w:rsidRDefault="00AE73B3" w:rsidP="007F3FC3">
            <w:pPr>
              <w:spacing w:after="0" w:line="240" w:lineRule="auto"/>
              <w:jc w:val="center"/>
              <w:rPr>
                <w:rFonts w:ascii="Calibri" w:eastAsia="Times New Roman" w:hAnsi="Calibri" w:cstheme="minorHAnsi"/>
                <w:b/>
                <w:i/>
                <w:color w:val="000000"/>
                <w:sz w:val="18"/>
                <w:szCs w:val="18"/>
                <w:lang w:eastAsia="fr-FR"/>
              </w:rPr>
            </w:pPr>
            <w:r w:rsidRPr="00AE73B3">
              <w:rPr>
                <w:rFonts w:ascii="Calibri" w:eastAsia="Times New Roman" w:hAnsi="Calibri" w:cstheme="minorHAnsi"/>
                <w:b/>
                <w:i/>
                <w:color w:val="000000"/>
                <w:sz w:val="18"/>
                <w:szCs w:val="18"/>
                <w:lang w:eastAsia="fr-FR"/>
              </w:rPr>
              <w:t>IN VIVO</w:t>
            </w:r>
          </w:p>
        </w:tc>
      </w:tr>
      <w:tr w:rsidR="00912134" w:rsidRPr="00912134" w14:paraId="1DF46C4A" w14:textId="77777777" w:rsidTr="007F1961">
        <w:trPr>
          <w:trHeight w:val="507"/>
        </w:trPr>
        <w:tc>
          <w:tcPr>
            <w:tcW w:w="1408" w:type="dxa"/>
            <w:vMerge w:val="restart"/>
            <w:tcBorders>
              <w:top w:val="single" w:sz="4" w:space="0" w:color="auto"/>
              <w:left w:val="single" w:sz="4" w:space="0" w:color="auto"/>
              <w:bottom w:val="single" w:sz="4" w:space="0" w:color="auto"/>
            </w:tcBorders>
            <w:shd w:val="clear" w:color="auto" w:fill="auto"/>
            <w:textDirection w:val="btLr"/>
            <w:vAlign w:val="center"/>
            <w:hideMark/>
          </w:tcPr>
          <w:p w14:paraId="4974F317" w14:textId="77777777" w:rsidR="00912134" w:rsidRPr="00AF6261" w:rsidRDefault="00912134" w:rsidP="00B15EC0">
            <w:pPr>
              <w:spacing w:after="0" w:line="240" w:lineRule="auto"/>
              <w:ind w:left="113" w:right="113"/>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Size:50 nm</w:t>
            </w:r>
          </w:p>
          <w:p w14:paraId="269EA734" w14:textId="77777777" w:rsidR="00912134" w:rsidRPr="00AF6261" w:rsidRDefault="00912134" w:rsidP="00B15EC0">
            <w:pPr>
              <w:spacing w:after="0" w:line="240" w:lineRule="auto"/>
              <w:ind w:left="113" w:right="113"/>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Shape:</w:t>
            </w:r>
            <w:r w:rsidR="00E21E37" w:rsidRPr="00AF6261">
              <w:rPr>
                <w:rFonts w:ascii="Calibri" w:eastAsia="Times New Roman" w:hAnsi="Calibri" w:cstheme="minorHAnsi"/>
                <w:color w:val="000000"/>
                <w:sz w:val="18"/>
                <w:szCs w:val="18"/>
                <w:lang w:val="en-US" w:eastAsia="fr-FR"/>
              </w:rPr>
              <w:t xml:space="preserve"> </w:t>
            </w:r>
            <w:r w:rsidRPr="00AF6261">
              <w:rPr>
                <w:rFonts w:ascii="Calibri" w:eastAsia="Times New Roman" w:hAnsi="Calibri" w:cstheme="minorHAnsi"/>
                <w:color w:val="000000"/>
                <w:sz w:val="18"/>
                <w:szCs w:val="18"/>
                <w:lang w:val="en-US" w:eastAsia="fr-FR"/>
              </w:rPr>
              <w:t>Spherical</w:t>
            </w:r>
          </w:p>
          <w:p w14:paraId="2F81344F" w14:textId="77777777" w:rsidR="00912134" w:rsidRPr="00AF6261" w:rsidRDefault="00912134" w:rsidP="00B15EC0">
            <w:pPr>
              <w:spacing w:after="0" w:line="240" w:lineRule="auto"/>
              <w:ind w:left="113" w:right="113"/>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Hydrodynamic size :113.4±12.1 nm</w:t>
            </w:r>
          </w:p>
          <w:p w14:paraId="0AC079F1"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Zeta potential: −12.30 ± 0.4 mV</w:t>
            </w:r>
          </w:p>
          <w:p w14:paraId="1512D1B8"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p w14:paraId="0E04380B"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p w14:paraId="52E6BA50"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p w14:paraId="7886715E"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6" w:type="dxa"/>
            <w:vMerge w:val="restart"/>
            <w:tcBorders>
              <w:top w:val="single" w:sz="4" w:space="0" w:color="auto"/>
              <w:bottom w:val="single" w:sz="4" w:space="0" w:color="auto"/>
            </w:tcBorders>
            <w:shd w:val="clear" w:color="auto" w:fill="auto"/>
            <w:textDirection w:val="btLr"/>
            <w:vAlign w:val="center"/>
            <w:hideMark/>
          </w:tcPr>
          <w:p w14:paraId="58B808FA" w14:textId="77777777" w:rsidR="00912134" w:rsidRPr="00AF6261" w:rsidRDefault="000D750E" w:rsidP="00B15EC0">
            <w:pPr>
              <w:spacing w:after="0" w:line="240" w:lineRule="auto"/>
              <w:ind w:left="113" w:right="113"/>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A</w:t>
            </w:r>
            <w:r w:rsidR="00912134" w:rsidRPr="00AF6261">
              <w:rPr>
                <w:rFonts w:ascii="Calibri" w:eastAsia="Times New Roman" w:hAnsi="Calibri" w:cstheme="minorHAnsi"/>
                <w:color w:val="000000"/>
                <w:sz w:val="18"/>
                <w:szCs w:val="18"/>
                <w:lang w:val="en-US" w:eastAsia="fr-FR"/>
              </w:rPr>
              <w:t>dult male SD rats</w:t>
            </w:r>
            <w:r w:rsidR="0032246C" w:rsidRPr="00AF6261">
              <w:rPr>
                <w:rFonts w:ascii="Calibri" w:eastAsia="Times New Roman" w:hAnsi="Calibri" w:cstheme="minorHAnsi"/>
                <w:color w:val="000000"/>
                <w:sz w:val="18"/>
                <w:szCs w:val="18"/>
                <w:lang w:val="en-US" w:eastAsia="fr-FR"/>
              </w:rPr>
              <w:t xml:space="preserve">, </w:t>
            </w:r>
            <w:r w:rsidR="00912134" w:rsidRPr="00AF6261">
              <w:rPr>
                <w:rFonts w:ascii="Calibri" w:eastAsia="Times New Roman" w:hAnsi="Calibri" w:cstheme="minorHAnsi"/>
                <w:color w:val="000000"/>
                <w:sz w:val="18"/>
                <w:szCs w:val="18"/>
                <w:lang w:val="en-US" w:eastAsia="fr-FR"/>
              </w:rPr>
              <w:t>Oral gavage</w:t>
            </w:r>
          </w:p>
          <w:p w14:paraId="273D32F7" w14:textId="77777777" w:rsidR="00912134" w:rsidRPr="00AF6261" w:rsidRDefault="00912134" w:rsidP="00B15EC0">
            <w:pPr>
              <w:spacing w:after="0" w:line="240" w:lineRule="auto"/>
              <w:ind w:left="113" w:right="113"/>
              <w:jc w:val="center"/>
              <w:rPr>
                <w:rFonts w:ascii="Calibri" w:eastAsia="Times New Roman" w:hAnsi="Calibri" w:cstheme="minorHAnsi"/>
                <w:color w:val="000000"/>
                <w:sz w:val="18"/>
                <w:szCs w:val="18"/>
                <w:lang w:val="en-US" w:eastAsia="fr-FR"/>
              </w:rPr>
            </w:pPr>
          </w:p>
        </w:tc>
        <w:tc>
          <w:tcPr>
            <w:tcW w:w="1275" w:type="dxa"/>
            <w:vMerge w:val="restart"/>
            <w:tcBorders>
              <w:top w:val="single" w:sz="4" w:space="0" w:color="auto"/>
              <w:bottom w:val="single" w:sz="4" w:space="0" w:color="auto"/>
            </w:tcBorders>
            <w:shd w:val="clear" w:color="auto" w:fill="auto"/>
            <w:textDirection w:val="btLr"/>
            <w:vAlign w:val="center"/>
            <w:hideMark/>
          </w:tcPr>
          <w:p w14:paraId="71D906E4" w14:textId="3BEADAB0" w:rsidR="00912134" w:rsidRPr="00912134" w:rsidRDefault="00C37000" w:rsidP="00B15EC0">
            <w:pPr>
              <w:spacing w:after="0" w:line="240" w:lineRule="auto"/>
              <w:ind w:left="113" w:right="113"/>
              <w:jc w:val="center"/>
              <w:rPr>
                <w:rFonts w:ascii="Calibri" w:eastAsia="Times New Roman" w:hAnsi="Calibri" w:cstheme="minorHAnsi"/>
                <w:color w:val="000000"/>
                <w:sz w:val="18"/>
                <w:szCs w:val="18"/>
                <w:lang w:eastAsia="fr-FR"/>
              </w:rPr>
            </w:pPr>
            <w:r>
              <w:rPr>
                <w:rFonts w:ascii="Calibri" w:eastAsia="Times New Roman" w:hAnsi="Calibri" w:cstheme="minorHAnsi"/>
                <w:color w:val="000000"/>
                <w:sz w:val="18"/>
                <w:szCs w:val="18"/>
                <w:lang w:eastAsia="fr-FR"/>
              </w:rPr>
              <w:t>50 mg/kg bw</w:t>
            </w:r>
            <w:r w:rsidR="00912134" w:rsidRPr="00912134">
              <w:rPr>
                <w:rFonts w:ascii="Calibri" w:eastAsia="Times New Roman" w:hAnsi="Calibri" w:cstheme="minorHAnsi"/>
                <w:color w:val="000000"/>
                <w:sz w:val="18"/>
                <w:szCs w:val="18"/>
                <w:lang w:eastAsia="fr-FR"/>
              </w:rPr>
              <w:t>, 3 months</w:t>
            </w:r>
          </w:p>
        </w:tc>
        <w:tc>
          <w:tcPr>
            <w:tcW w:w="1668" w:type="dxa"/>
            <w:tcBorders>
              <w:top w:val="single" w:sz="4" w:space="0" w:color="auto"/>
              <w:bottom w:val="single" w:sz="4" w:space="0" w:color="auto"/>
            </w:tcBorders>
            <w:shd w:val="clear" w:color="auto" w:fill="auto"/>
            <w:vAlign w:val="center"/>
            <w:hideMark/>
          </w:tcPr>
          <w:p w14:paraId="2DEA5EE0" w14:textId="6F969987" w:rsidR="00912134" w:rsidRPr="00912134" w:rsidRDefault="00912134" w:rsidP="007F1961">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Sperm Evaluation</w:t>
            </w:r>
          </w:p>
        </w:tc>
        <w:tc>
          <w:tcPr>
            <w:tcW w:w="1703" w:type="dxa"/>
            <w:tcBorders>
              <w:top w:val="single" w:sz="4" w:space="0" w:color="auto"/>
              <w:bottom w:val="single" w:sz="4" w:space="0" w:color="auto"/>
            </w:tcBorders>
            <w:shd w:val="clear" w:color="auto" w:fill="auto"/>
            <w:vAlign w:val="center"/>
            <w:hideMark/>
          </w:tcPr>
          <w:p w14:paraId="13468F92" w14:textId="77777777"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Sperm Motility, Concentration, and Viability</w:t>
            </w:r>
            <w:r w:rsidR="00EA2CF7" w:rsidRPr="00AF6261">
              <w:rPr>
                <w:rFonts w:ascii="Calibri" w:eastAsia="Times New Roman" w:hAnsi="Calibri" w:cstheme="minorHAnsi"/>
                <w:color w:val="000000"/>
                <w:sz w:val="18"/>
                <w:szCs w:val="18"/>
                <w:lang w:val="en-US" w:eastAsia="fr-FR"/>
              </w:rPr>
              <w:t xml:space="preserve"> by eosin staining</w:t>
            </w:r>
          </w:p>
          <w:p w14:paraId="14FE7F80" w14:textId="77777777" w:rsidR="002D21A3" w:rsidRPr="00AF6261" w:rsidRDefault="002D21A3" w:rsidP="007F1961">
            <w:pPr>
              <w:spacing w:after="0" w:line="240" w:lineRule="auto"/>
              <w:jc w:val="center"/>
              <w:rPr>
                <w:rFonts w:ascii="Calibri" w:eastAsia="Times New Roman" w:hAnsi="Calibri" w:cstheme="minorHAnsi"/>
                <w:color w:val="000000"/>
                <w:sz w:val="18"/>
                <w:szCs w:val="18"/>
                <w:lang w:val="en-US" w:eastAsia="fr-FR"/>
              </w:rPr>
            </w:pPr>
          </w:p>
        </w:tc>
        <w:tc>
          <w:tcPr>
            <w:tcW w:w="2010" w:type="dxa"/>
            <w:tcBorders>
              <w:top w:val="single" w:sz="4" w:space="0" w:color="auto"/>
              <w:bottom w:val="single" w:sz="4" w:space="0" w:color="auto"/>
            </w:tcBorders>
            <w:shd w:val="clear" w:color="auto" w:fill="auto"/>
            <w:vAlign w:val="center"/>
            <w:hideMark/>
          </w:tcPr>
          <w:p w14:paraId="026E1278" w14:textId="77777777"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Increased sperm morphological abnormalities</w:t>
            </w:r>
          </w:p>
          <w:p w14:paraId="53C72536" w14:textId="77777777"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Decreased sperm conce</w:t>
            </w:r>
            <w:bookmarkStart w:id="0" w:name="_GoBack"/>
            <w:bookmarkEnd w:id="0"/>
            <w:r w:rsidRPr="00AF6261">
              <w:rPr>
                <w:rFonts w:ascii="Calibri" w:eastAsia="Times New Roman" w:hAnsi="Calibri" w:cstheme="minorHAnsi"/>
                <w:color w:val="000000"/>
                <w:sz w:val="18"/>
                <w:szCs w:val="18"/>
                <w:lang w:val="en-US" w:eastAsia="fr-FR"/>
              </w:rPr>
              <w:t>ntrations motility</w:t>
            </w:r>
          </w:p>
          <w:p w14:paraId="19EB7B7D" w14:textId="3BD46E8D" w:rsidR="00912134" w:rsidRPr="00912134" w:rsidRDefault="00912134" w:rsidP="007F1961">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and viability</w:t>
            </w:r>
          </w:p>
        </w:tc>
        <w:tc>
          <w:tcPr>
            <w:tcW w:w="2273" w:type="dxa"/>
            <w:tcBorders>
              <w:top w:val="single" w:sz="4" w:space="0" w:color="auto"/>
              <w:bottom w:val="single" w:sz="4" w:space="0" w:color="auto"/>
            </w:tcBorders>
            <w:vAlign w:val="center"/>
          </w:tcPr>
          <w:p w14:paraId="79ED1FFB" w14:textId="77777777" w:rsidR="00912134" w:rsidRPr="00AF6261" w:rsidRDefault="00795DF1" w:rsidP="007F1961">
            <w:pPr>
              <w:spacing w:after="0" w:line="240" w:lineRule="auto"/>
              <w:jc w:val="center"/>
              <w:rPr>
                <w:rFonts w:ascii="Calibri" w:eastAsia="Times New Roman" w:hAnsi="Calibri" w:cstheme="minorHAnsi"/>
                <w:b/>
                <w:sz w:val="18"/>
                <w:szCs w:val="18"/>
                <w:lang w:val="en-US" w:eastAsia="fr-FR"/>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hideMark/>
          </w:tcPr>
          <w:p w14:paraId="18F0DB85" w14:textId="5FA1DE2E" w:rsidR="00795DF1" w:rsidRPr="000270BA" w:rsidRDefault="00795DF1"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Impaired fertility</w:t>
            </w:r>
          </w:p>
          <w:p w14:paraId="6B223031" w14:textId="77777777" w:rsidR="00912134" w:rsidRPr="000D750E" w:rsidRDefault="00795DF1" w:rsidP="007F1961">
            <w:pPr>
              <w:spacing w:after="0" w:line="240" w:lineRule="auto"/>
              <w:jc w:val="center"/>
              <w:rPr>
                <w:rFonts w:ascii="Calibri" w:eastAsia="Times New Roman" w:hAnsi="Calibri" w:cstheme="minorHAnsi"/>
                <w:b/>
                <w:sz w:val="18"/>
                <w:szCs w:val="18"/>
                <w:lang w:eastAsia="fr-FR"/>
              </w:rPr>
            </w:pPr>
            <w:r w:rsidRPr="000270BA">
              <w:rPr>
                <w:rFonts w:eastAsia="Times New Roman" w:cstheme="minorHAnsi"/>
                <w:sz w:val="18"/>
                <w:szCs w:val="18"/>
                <w:lang w:eastAsia="fr-FR"/>
              </w:rPr>
              <w:t>(ID330 , ID406)</w:t>
            </w:r>
          </w:p>
        </w:tc>
        <w:tc>
          <w:tcPr>
            <w:tcW w:w="851" w:type="dxa"/>
            <w:vMerge w:val="restart"/>
            <w:tcBorders>
              <w:top w:val="nil"/>
              <w:left w:val="nil"/>
              <w:right w:val="single" w:sz="8" w:space="0" w:color="auto"/>
            </w:tcBorders>
            <w:vAlign w:val="center"/>
          </w:tcPr>
          <w:p w14:paraId="199FAE75" w14:textId="31BE47CA" w:rsidR="00912134" w:rsidRPr="00912134" w:rsidRDefault="00912134"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{"citationItems":[{"id":"ITEM-1","itemData":{"DOI":"10.2147/IJN.S307189","ISSN":"11782013","PMID":"33833511","abstract":"Introduction: Silver nanoparticles (Ag-NPs) are among the most commonly used nanopar- ticles in different fields. Zinc nanoparticles (Zn-NPs) are known for their antioxidant effect. This study was designed to investigate the adverse effects of Ag-NPs (50 nm) on the male reproductive system and also the ameliorative effect of Zn-NPs (100 nm) against these harmful effects. Methods: Forty adult male rats were used in this study; they were randomly divided into four equal groups: control group, Ag-NPs group, Zn-NPs group, Ag-NPs + Zn-NPs group. Ag-NPs (50 mg/kg) and/or Zn-NPs (30 mg/kg) were administered orally for 90 days. Results: The results revealed that exposure to Ag-NPs adversely affected sperm motility, morphology, viability, and concentration. Ag-NPs also induced oxidative stress and lipid peroxidation in testicular tissue. The exposure to Ag-NPs decreased serum FSH, LH, and testosterone hormones. Additionally, comet assay revealed DNA degeneration in the testi- cular tissue of rats exposed to Ag-NPs. Histopathological examination showed various histological alterations in the testes of rats intoxicated with Ag-NPs. Furthermore, co- administration of Zn-NPs ameliorated most of the toxic effects of Ag-NPs via their anti- oxidative capacity.","author":[{"dropping-particle":"","family":"Shehata","given":"Asmaa M.","non-dropping-particle":"","parse-names":false,"suffix":""},{"dropping-particle":"","family":"Salem","given":"Fatma M.S.","non-dropping-particle":"","parse-names":false,"suffix":""},{"dropping-particle":"","family":"El-Saied","given":"Eiman M.","non-dropping-particle":"","parse-names":false,"suffix":""},{"dropping-particle":"","family":"Abd El-Rahman","given":"Sahar S.","non-dropping-particle":"","parse-names":false,"suffix":""},{"dropping-particle":"","family":"Mahmoud","given":"Mohamed Y.","non-dropping-particle":"","parse-names":false,"suffix":""},{"dropping-particle":"","family":"Noshy","given":"Peter A.","non-dropping-particle":"","parse-names":false,"suffix":""}],"container-title":"International Journal of Nanomedicine","id":"ITEM-1","issued":{"date-parts":[["2021"]]},"page":"2555-2568","title":"Zinc nanoparticles ameliorate the reproductive toxicity induced by silver nanoparticles in male rats","type":"article-journal","volume":"16"},"uris":["http://www.mendeley.com/documents/?uuid=02d2ab4f-555f-42be-a30e-d9965e945fce"]}],"mendeley":{"formattedCitation":"(1)","plainTextFormattedCitation":"(1)","previouslyFormattedCitation":"(Shehata et al. 2021)"},"properties":{"noteIndex":0},"schema":"https://github.com/citation-style-language/schema/raw/master/csl-citation.json"}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(1)</w:t>
            </w:r>
            <w:r w:rsidRPr="00912134">
              <w:rPr>
                <w:rFonts w:ascii="Calibri" w:eastAsia="Times New Roman" w:hAnsi="Calibri" w:cstheme="minorHAnsi"/>
                <w:color w:val="000000"/>
                <w:sz w:val="18"/>
                <w:szCs w:val="18"/>
                <w:lang w:eastAsia="fr-FR"/>
              </w:rPr>
              <w:fldChar w:fldCharType="end"/>
            </w:r>
          </w:p>
        </w:tc>
      </w:tr>
      <w:tr w:rsidR="00912134" w:rsidRPr="00912134" w14:paraId="1F57F143" w14:textId="77777777" w:rsidTr="007F1961">
        <w:trPr>
          <w:trHeight w:val="443"/>
        </w:trPr>
        <w:tc>
          <w:tcPr>
            <w:tcW w:w="1408" w:type="dxa"/>
            <w:vMerge/>
            <w:tcBorders>
              <w:left w:val="single" w:sz="4" w:space="0" w:color="auto"/>
              <w:bottom w:val="single" w:sz="4" w:space="0" w:color="auto"/>
            </w:tcBorders>
            <w:shd w:val="clear" w:color="auto" w:fill="auto"/>
            <w:textDirection w:val="btLr"/>
            <w:vAlign w:val="center"/>
            <w:hideMark/>
          </w:tcPr>
          <w:p w14:paraId="44EB05AF"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6" w:type="dxa"/>
            <w:vMerge/>
            <w:tcBorders>
              <w:bottom w:val="single" w:sz="4" w:space="0" w:color="auto"/>
            </w:tcBorders>
            <w:shd w:val="clear" w:color="auto" w:fill="auto"/>
            <w:textDirection w:val="btLr"/>
            <w:vAlign w:val="center"/>
            <w:hideMark/>
          </w:tcPr>
          <w:p w14:paraId="0745EA43"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5" w:type="dxa"/>
            <w:vMerge/>
            <w:tcBorders>
              <w:bottom w:val="single" w:sz="4" w:space="0" w:color="auto"/>
            </w:tcBorders>
            <w:textDirection w:val="btLr"/>
            <w:vAlign w:val="center"/>
            <w:hideMark/>
          </w:tcPr>
          <w:p w14:paraId="2038BE18"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668" w:type="dxa"/>
            <w:tcBorders>
              <w:top w:val="single" w:sz="4" w:space="0" w:color="auto"/>
              <w:bottom w:val="single" w:sz="4" w:space="0" w:color="auto"/>
            </w:tcBorders>
            <w:shd w:val="clear" w:color="auto" w:fill="auto"/>
            <w:vAlign w:val="center"/>
            <w:hideMark/>
          </w:tcPr>
          <w:p w14:paraId="3BE16993" w14:textId="7F8CCE98" w:rsidR="00912134" w:rsidRPr="00912134" w:rsidRDefault="0049112B" w:rsidP="007F1961">
            <w:pPr>
              <w:spacing w:after="0" w:line="240" w:lineRule="auto"/>
              <w:jc w:val="center"/>
              <w:rPr>
                <w:rFonts w:ascii="Calibri" w:eastAsia="Times New Roman" w:hAnsi="Calibri" w:cstheme="minorHAnsi"/>
                <w:color w:val="000000"/>
                <w:sz w:val="18"/>
                <w:szCs w:val="18"/>
                <w:lang w:eastAsia="fr-FR"/>
              </w:rPr>
            </w:pPr>
            <w:r>
              <w:rPr>
                <w:rFonts w:ascii="Calibri" w:eastAsia="Times New Roman" w:hAnsi="Calibri" w:cstheme="minorHAnsi"/>
                <w:color w:val="000000"/>
                <w:sz w:val="18"/>
                <w:szCs w:val="18"/>
                <w:lang w:eastAsia="fr-FR"/>
              </w:rPr>
              <w:t>Oxidative Status</w:t>
            </w:r>
          </w:p>
        </w:tc>
        <w:tc>
          <w:tcPr>
            <w:tcW w:w="1703" w:type="dxa"/>
            <w:tcBorders>
              <w:top w:val="single" w:sz="4" w:space="0" w:color="auto"/>
              <w:bottom w:val="single" w:sz="4" w:space="0" w:color="auto"/>
            </w:tcBorders>
            <w:shd w:val="clear" w:color="auto" w:fill="auto"/>
            <w:vAlign w:val="center"/>
            <w:hideMark/>
          </w:tcPr>
          <w:p w14:paraId="519BF17C" w14:textId="57DE957A"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GSH</w:t>
            </w:r>
            <w:r w:rsidR="00EA2CF7" w:rsidRPr="00AF6261">
              <w:rPr>
                <w:rFonts w:ascii="Calibri" w:eastAsia="Times New Roman" w:hAnsi="Calibri" w:cstheme="minorHAnsi"/>
                <w:color w:val="000000"/>
                <w:sz w:val="18"/>
                <w:szCs w:val="18"/>
                <w:lang w:val="en-US" w:eastAsia="fr-FR"/>
              </w:rPr>
              <w:t xml:space="preserve"> level</w:t>
            </w:r>
            <w:r w:rsidRPr="00AF6261">
              <w:rPr>
                <w:rFonts w:ascii="Calibri" w:eastAsia="Times New Roman" w:hAnsi="Calibri" w:cstheme="minorHAnsi"/>
                <w:color w:val="000000"/>
                <w:sz w:val="18"/>
                <w:szCs w:val="18"/>
                <w:lang w:val="en-US" w:eastAsia="fr-FR"/>
              </w:rPr>
              <w:t>, CAT</w:t>
            </w:r>
            <w:r w:rsidR="00EA2CF7" w:rsidRPr="00AF6261">
              <w:rPr>
                <w:rFonts w:ascii="Calibri" w:eastAsia="Times New Roman" w:hAnsi="Calibri" w:cstheme="minorHAnsi"/>
                <w:color w:val="000000"/>
                <w:sz w:val="18"/>
                <w:szCs w:val="18"/>
                <w:lang w:val="en-US" w:eastAsia="fr-FR"/>
              </w:rPr>
              <w:t xml:space="preserve"> activity and lipid peroxidation MDA content </w:t>
            </w:r>
            <w:r w:rsidR="002D21A3" w:rsidRPr="00AF6261">
              <w:rPr>
                <w:rFonts w:ascii="Calibri" w:eastAsia="Times New Roman" w:hAnsi="Calibri" w:cstheme="minorHAnsi"/>
                <w:color w:val="000000"/>
                <w:sz w:val="18"/>
                <w:szCs w:val="18"/>
                <w:lang w:val="en-US" w:eastAsia="fr-FR"/>
              </w:rPr>
              <w:t>in testicular tissue</w:t>
            </w:r>
            <w:r w:rsidR="00EA2CF7" w:rsidRPr="00AF6261">
              <w:rPr>
                <w:rFonts w:ascii="Calibri" w:eastAsia="Times New Roman" w:hAnsi="Calibri" w:cstheme="minorHAnsi"/>
                <w:color w:val="000000"/>
                <w:sz w:val="18"/>
                <w:szCs w:val="18"/>
                <w:lang w:val="en-US" w:eastAsia="fr-FR"/>
              </w:rPr>
              <w:t xml:space="preserve"> by commercial kits</w:t>
            </w:r>
          </w:p>
        </w:tc>
        <w:tc>
          <w:tcPr>
            <w:tcW w:w="2010" w:type="dxa"/>
            <w:tcBorders>
              <w:top w:val="single" w:sz="4" w:space="0" w:color="auto"/>
              <w:bottom w:val="single" w:sz="4" w:space="0" w:color="auto"/>
            </w:tcBorders>
            <w:shd w:val="clear" w:color="auto" w:fill="auto"/>
            <w:vAlign w:val="center"/>
            <w:hideMark/>
          </w:tcPr>
          <w:p w14:paraId="668C0E04" w14:textId="77777777"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Decreased CAT activity,</w:t>
            </w:r>
          </w:p>
          <w:p w14:paraId="2602A5D7" w14:textId="77777777"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Increased MDA content,</w:t>
            </w:r>
          </w:p>
          <w:p w14:paraId="4EA102A5" w14:textId="77777777"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Non-significant change in GSH level</w:t>
            </w:r>
          </w:p>
        </w:tc>
        <w:tc>
          <w:tcPr>
            <w:tcW w:w="2273" w:type="dxa"/>
            <w:tcBorders>
              <w:top w:val="single" w:sz="4" w:space="0" w:color="auto"/>
              <w:bottom w:val="single" w:sz="4" w:space="0" w:color="auto"/>
            </w:tcBorders>
            <w:vAlign w:val="center"/>
          </w:tcPr>
          <w:p w14:paraId="11EF501B" w14:textId="77777777" w:rsidR="00795DF1" w:rsidRPr="000270BA" w:rsidRDefault="00795DF1"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24E0DF52" w14:textId="77777777" w:rsidR="00912134" w:rsidRPr="00AF6261" w:rsidRDefault="00795DF1" w:rsidP="007F1961">
            <w:pPr>
              <w:jc w:val="center"/>
              <w:rPr>
                <w:rFonts w:ascii="Calibri" w:hAnsi="Calibri" w:cstheme="minorHAnsi"/>
                <w:b/>
                <w:bCs/>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hideMark/>
          </w:tcPr>
          <w:p w14:paraId="61E41984" w14:textId="111957B1" w:rsidR="00795DF1" w:rsidRPr="000270BA" w:rsidRDefault="00795DF1"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Oxidative Damage</w:t>
            </w:r>
          </w:p>
          <w:p w14:paraId="06B3B6CC" w14:textId="77777777" w:rsidR="00912134" w:rsidRPr="000D750E" w:rsidRDefault="00795DF1" w:rsidP="007F1961">
            <w:pPr>
              <w:spacing w:after="0" w:line="240" w:lineRule="auto"/>
              <w:jc w:val="center"/>
              <w:rPr>
                <w:rFonts w:ascii="Calibri" w:eastAsia="Times New Roman" w:hAnsi="Calibri" w:cstheme="minorHAnsi"/>
                <w:b/>
                <w:sz w:val="18"/>
                <w:szCs w:val="18"/>
                <w:lang w:eastAsia="fr-FR"/>
              </w:rPr>
            </w:pPr>
            <w:r w:rsidRPr="000270BA">
              <w:rPr>
                <w:rFonts w:eastAsia="Times New Roman" w:cstheme="minorHAnsi"/>
                <w:sz w:val="18"/>
                <w:szCs w:val="18"/>
                <w:lang w:eastAsia="fr-FR"/>
              </w:rPr>
              <w:t>(ID356)</w:t>
            </w:r>
          </w:p>
        </w:tc>
        <w:tc>
          <w:tcPr>
            <w:tcW w:w="851" w:type="dxa"/>
            <w:vMerge/>
            <w:tcBorders>
              <w:left w:val="nil"/>
              <w:right w:val="single" w:sz="8" w:space="0" w:color="auto"/>
            </w:tcBorders>
          </w:tcPr>
          <w:p w14:paraId="37785B6B" w14:textId="77777777" w:rsidR="00912134" w:rsidRPr="00912134" w:rsidRDefault="00912134" w:rsidP="007F3FC3">
            <w:pPr>
              <w:spacing w:after="0" w:line="240" w:lineRule="auto"/>
              <w:jc w:val="center"/>
              <w:rPr>
                <w:rFonts w:ascii="Calibri" w:eastAsia="Times New Roman" w:hAnsi="Calibri" w:cstheme="minorHAnsi"/>
                <w:color w:val="000000"/>
                <w:sz w:val="18"/>
                <w:szCs w:val="18"/>
                <w:lang w:eastAsia="fr-FR"/>
              </w:rPr>
            </w:pPr>
          </w:p>
        </w:tc>
      </w:tr>
      <w:tr w:rsidR="00912134" w:rsidRPr="00DC5D76" w14:paraId="76607CC0" w14:textId="77777777" w:rsidTr="007F1961">
        <w:trPr>
          <w:trHeight w:val="528"/>
        </w:trPr>
        <w:tc>
          <w:tcPr>
            <w:tcW w:w="1408" w:type="dxa"/>
            <w:vMerge/>
            <w:tcBorders>
              <w:left w:val="single" w:sz="4" w:space="0" w:color="auto"/>
              <w:bottom w:val="single" w:sz="4" w:space="0" w:color="auto"/>
            </w:tcBorders>
            <w:shd w:val="clear" w:color="auto" w:fill="auto"/>
            <w:textDirection w:val="btLr"/>
            <w:vAlign w:val="center"/>
            <w:hideMark/>
          </w:tcPr>
          <w:p w14:paraId="0BCF6592"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6" w:type="dxa"/>
            <w:vMerge/>
            <w:tcBorders>
              <w:bottom w:val="single" w:sz="4" w:space="0" w:color="auto"/>
            </w:tcBorders>
            <w:shd w:val="clear" w:color="auto" w:fill="auto"/>
            <w:textDirection w:val="btLr"/>
            <w:vAlign w:val="center"/>
            <w:hideMark/>
          </w:tcPr>
          <w:p w14:paraId="2E78376E"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5" w:type="dxa"/>
            <w:vMerge/>
            <w:tcBorders>
              <w:bottom w:val="single" w:sz="4" w:space="0" w:color="auto"/>
            </w:tcBorders>
            <w:textDirection w:val="btLr"/>
            <w:vAlign w:val="center"/>
            <w:hideMark/>
          </w:tcPr>
          <w:p w14:paraId="54F342F0"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668" w:type="dxa"/>
            <w:tcBorders>
              <w:top w:val="single" w:sz="4" w:space="0" w:color="auto"/>
              <w:bottom w:val="single" w:sz="4" w:space="0" w:color="auto"/>
            </w:tcBorders>
            <w:shd w:val="clear" w:color="auto" w:fill="auto"/>
            <w:vAlign w:val="center"/>
            <w:hideMark/>
          </w:tcPr>
          <w:p w14:paraId="135BD213" w14:textId="1445EA22" w:rsidR="00912134" w:rsidRPr="00912134" w:rsidRDefault="00912134" w:rsidP="007F1961">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Hormonal Assessment</w:t>
            </w:r>
          </w:p>
        </w:tc>
        <w:tc>
          <w:tcPr>
            <w:tcW w:w="1703" w:type="dxa"/>
            <w:tcBorders>
              <w:top w:val="single" w:sz="4" w:space="0" w:color="auto"/>
              <w:bottom w:val="single" w:sz="4" w:space="0" w:color="auto"/>
            </w:tcBorders>
            <w:shd w:val="clear" w:color="auto" w:fill="auto"/>
            <w:vAlign w:val="center"/>
            <w:hideMark/>
          </w:tcPr>
          <w:p w14:paraId="4496D10F" w14:textId="77777777"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Serum testosterone, LH and FSH</w:t>
            </w:r>
            <w:r w:rsidR="002D21A3" w:rsidRPr="00AF6261">
              <w:rPr>
                <w:rFonts w:ascii="Calibri" w:eastAsia="Times New Roman" w:hAnsi="Calibri" w:cstheme="minorHAnsi"/>
                <w:color w:val="000000"/>
                <w:sz w:val="18"/>
                <w:szCs w:val="18"/>
                <w:lang w:val="en-US" w:eastAsia="fr-FR"/>
              </w:rPr>
              <w:t xml:space="preserve"> </w:t>
            </w:r>
            <w:r w:rsidR="00EA2CF7" w:rsidRPr="00AF6261">
              <w:rPr>
                <w:rFonts w:ascii="Calibri" w:eastAsia="Times New Roman" w:hAnsi="Calibri" w:cstheme="minorHAnsi"/>
                <w:color w:val="000000"/>
                <w:sz w:val="18"/>
                <w:szCs w:val="18"/>
                <w:lang w:val="en-US" w:eastAsia="fr-FR"/>
              </w:rPr>
              <w:t>by ELISA kit</w:t>
            </w:r>
          </w:p>
        </w:tc>
        <w:tc>
          <w:tcPr>
            <w:tcW w:w="2010" w:type="dxa"/>
            <w:tcBorders>
              <w:top w:val="single" w:sz="4" w:space="0" w:color="auto"/>
              <w:bottom w:val="single" w:sz="4" w:space="0" w:color="auto"/>
            </w:tcBorders>
            <w:shd w:val="clear" w:color="auto" w:fill="auto"/>
            <w:vAlign w:val="center"/>
            <w:hideMark/>
          </w:tcPr>
          <w:p w14:paraId="68DF0217" w14:textId="5933E31B"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Decreased testost</w:t>
            </w:r>
            <w:r w:rsidR="005C3D15" w:rsidRPr="00AF6261">
              <w:rPr>
                <w:rFonts w:ascii="Calibri" w:eastAsia="Times New Roman" w:hAnsi="Calibri" w:cstheme="minorHAnsi"/>
                <w:color w:val="000000"/>
                <w:sz w:val="18"/>
                <w:szCs w:val="18"/>
                <w:lang w:val="en-US" w:eastAsia="fr-FR"/>
              </w:rPr>
              <w:t>eron, LH and FSH levels</w:t>
            </w:r>
          </w:p>
        </w:tc>
        <w:tc>
          <w:tcPr>
            <w:tcW w:w="2273" w:type="dxa"/>
            <w:tcBorders>
              <w:top w:val="single" w:sz="4" w:space="0" w:color="auto"/>
              <w:bottom w:val="single" w:sz="4" w:space="0" w:color="auto"/>
            </w:tcBorders>
            <w:vAlign w:val="center"/>
          </w:tcPr>
          <w:p w14:paraId="4E601DCC" w14:textId="77777777" w:rsidR="00795DF1" w:rsidRPr="000270BA" w:rsidRDefault="00795DF1" w:rsidP="007F1961">
            <w:pPr>
              <w:jc w:val="center"/>
              <w:rPr>
                <w:sz w:val="18"/>
                <w:szCs w:val="18"/>
                <w:lang w:val="en-US"/>
              </w:rPr>
            </w:pPr>
            <w:r w:rsidRPr="000270BA">
              <w:rPr>
                <w:sz w:val="18"/>
                <w:szCs w:val="18"/>
                <w:lang w:val="en-US"/>
              </w:rPr>
              <w:t>Reduction, testosterone level (ID1613, ID1689, ID1612)</w:t>
            </w:r>
          </w:p>
          <w:p w14:paraId="5863F519" w14:textId="77777777" w:rsidR="00912134" w:rsidRPr="000D750E" w:rsidRDefault="00795DF1" w:rsidP="007F1961">
            <w:pPr>
              <w:jc w:val="center"/>
              <w:rPr>
                <w:b/>
                <w:bCs/>
                <w:sz w:val="18"/>
                <w:szCs w:val="20"/>
              </w:rPr>
            </w:pPr>
            <w:r w:rsidRPr="000270BA">
              <w:rPr>
                <w:bCs/>
                <w:sz w:val="18"/>
                <w:szCs w:val="18"/>
                <w:lang w:val="en-US"/>
              </w:rPr>
              <w:t>Reduced, Gonadotropins (ID1986)</w:t>
            </w:r>
          </w:p>
        </w:tc>
        <w:tc>
          <w:tcPr>
            <w:tcW w:w="2386" w:type="dxa"/>
            <w:tcBorders>
              <w:top w:val="single" w:sz="4" w:space="0" w:color="auto"/>
              <w:bottom w:val="single" w:sz="4" w:space="0" w:color="auto"/>
            </w:tcBorders>
            <w:shd w:val="clear" w:color="auto" w:fill="auto"/>
            <w:vAlign w:val="center"/>
            <w:hideMark/>
          </w:tcPr>
          <w:p w14:paraId="0DBE9FB2" w14:textId="29C02547" w:rsidR="00912134" w:rsidRPr="00AF6261" w:rsidRDefault="006E12D8" w:rsidP="007F1961">
            <w:pPr>
              <w:spacing w:after="0" w:line="240" w:lineRule="auto"/>
              <w:jc w:val="center"/>
              <w:rPr>
                <w:rFonts w:ascii="Calibri" w:eastAsia="Times New Roman" w:hAnsi="Calibri" w:cstheme="minorHAnsi"/>
                <w:sz w:val="18"/>
                <w:szCs w:val="18"/>
                <w:lang w:val="en-US" w:eastAsia="fr-FR"/>
              </w:rPr>
            </w:pPr>
            <w:r w:rsidRPr="00AF6261">
              <w:rPr>
                <w:rFonts w:ascii="Calibri" w:eastAsia="Times New Roman" w:hAnsi="Calibri" w:cstheme="minorHAnsi"/>
                <w:sz w:val="18"/>
                <w:szCs w:val="18"/>
                <w:lang w:val="en-US" w:eastAsia="fr-FR"/>
              </w:rPr>
              <w:t>Decreased sperm quantity or quality in the adult, Decreased fertility</w:t>
            </w:r>
          </w:p>
        </w:tc>
        <w:tc>
          <w:tcPr>
            <w:tcW w:w="851" w:type="dxa"/>
            <w:vMerge/>
            <w:tcBorders>
              <w:left w:val="nil"/>
              <w:right w:val="single" w:sz="8" w:space="0" w:color="auto"/>
            </w:tcBorders>
          </w:tcPr>
          <w:p w14:paraId="65011A72" w14:textId="77777777" w:rsidR="00912134" w:rsidRPr="00AF6261" w:rsidRDefault="00912134" w:rsidP="007F3FC3">
            <w:pPr>
              <w:spacing w:after="0" w:line="240" w:lineRule="auto"/>
              <w:jc w:val="center"/>
              <w:rPr>
                <w:rFonts w:ascii="Calibri" w:eastAsia="Times New Roman" w:hAnsi="Calibri" w:cstheme="minorHAnsi"/>
                <w:color w:val="000000"/>
                <w:sz w:val="18"/>
                <w:szCs w:val="18"/>
                <w:lang w:val="en-US" w:eastAsia="fr-FR"/>
              </w:rPr>
            </w:pPr>
          </w:p>
        </w:tc>
      </w:tr>
      <w:tr w:rsidR="00912134" w:rsidRPr="00912134" w14:paraId="321D0D79" w14:textId="77777777" w:rsidTr="007F1961">
        <w:trPr>
          <w:trHeight w:val="316"/>
        </w:trPr>
        <w:tc>
          <w:tcPr>
            <w:tcW w:w="1408" w:type="dxa"/>
            <w:vMerge/>
            <w:tcBorders>
              <w:left w:val="single" w:sz="4" w:space="0" w:color="auto"/>
              <w:bottom w:val="single" w:sz="4" w:space="0" w:color="auto"/>
            </w:tcBorders>
            <w:shd w:val="clear" w:color="auto" w:fill="auto"/>
            <w:textDirection w:val="btLr"/>
            <w:vAlign w:val="center"/>
            <w:hideMark/>
          </w:tcPr>
          <w:p w14:paraId="6E9EBCD2" w14:textId="77777777" w:rsidR="00912134" w:rsidRPr="00AF6261" w:rsidRDefault="00912134" w:rsidP="00B15EC0">
            <w:pPr>
              <w:spacing w:after="0" w:line="240" w:lineRule="auto"/>
              <w:ind w:left="113" w:right="113"/>
              <w:jc w:val="center"/>
              <w:rPr>
                <w:rFonts w:ascii="Calibri" w:eastAsia="Times New Roman" w:hAnsi="Calibri" w:cstheme="minorHAnsi"/>
                <w:color w:val="000000"/>
                <w:sz w:val="18"/>
                <w:szCs w:val="18"/>
                <w:lang w:val="en-US" w:eastAsia="fr-FR"/>
              </w:rPr>
            </w:pPr>
          </w:p>
        </w:tc>
        <w:tc>
          <w:tcPr>
            <w:tcW w:w="1276" w:type="dxa"/>
            <w:vMerge/>
            <w:tcBorders>
              <w:bottom w:val="single" w:sz="4" w:space="0" w:color="auto"/>
            </w:tcBorders>
            <w:shd w:val="clear" w:color="auto" w:fill="auto"/>
            <w:textDirection w:val="btLr"/>
            <w:vAlign w:val="center"/>
            <w:hideMark/>
          </w:tcPr>
          <w:p w14:paraId="5ABEB3DB" w14:textId="77777777" w:rsidR="00912134" w:rsidRPr="00AF6261" w:rsidRDefault="00912134" w:rsidP="00B15EC0">
            <w:pPr>
              <w:spacing w:after="0" w:line="240" w:lineRule="auto"/>
              <w:ind w:left="113" w:right="113"/>
              <w:jc w:val="center"/>
              <w:rPr>
                <w:rFonts w:ascii="Calibri" w:eastAsia="Times New Roman" w:hAnsi="Calibri" w:cstheme="minorHAnsi"/>
                <w:color w:val="000000"/>
                <w:sz w:val="18"/>
                <w:szCs w:val="18"/>
                <w:lang w:val="en-US" w:eastAsia="fr-FR"/>
              </w:rPr>
            </w:pPr>
          </w:p>
        </w:tc>
        <w:tc>
          <w:tcPr>
            <w:tcW w:w="1275" w:type="dxa"/>
            <w:vMerge/>
            <w:tcBorders>
              <w:bottom w:val="single" w:sz="4" w:space="0" w:color="auto"/>
            </w:tcBorders>
            <w:textDirection w:val="btLr"/>
            <w:vAlign w:val="center"/>
            <w:hideMark/>
          </w:tcPr>
          <w:p w14:paraId="6106C43B" w14:textId="77777777" w:rsidR="00912134" w:rsidRPr="00AF6261" w:rsidRDefault="00912134" w:rsidP="00B15EC0">
            <w:pPr>
              <w:spacing w:after="0" w:line="240" w:lineRule="auto"/>
              <w:ind w:left="113" w:right="113"/>
              <w:jc w:val="center"/>
              <w:rPr>
                <w:rFonts w:ascii="Calibri" w:eastAsia="Times New Roman" w:hAnsi="Calibri" w:cstheme="minorHAnsi"/>
                <w:color w:val="000000"/>
                <w:sz w:val="18"/>
                <w:szCs w:val="18"/>
                <w:lang w:val="en-US" w:eastAsia="fr-FR"/>
              </w:rPr>
            </w:pPr>
          </w:p>
        </w:tc>
        <w:tc>
          <w:tcPr>
            <w:tcW w:w="1668" w:type="dxa"/>
            <w:tcBorders>
              <w:top w:val="single" w:sz="4" w:space="0" w:color="auto"/>
              <w:bottom w:val="single" w:sz="4" w:space="0" w:color="auto"/>
            </w:tcBorders>
            <w:shd w:val="clear" w:color="auto" w:fill="auto"/>
            <w:vAlign w:val="center"/>
            <w:hideMark/>
          </w:tcPr>
          <w:p w14:paraId="5BA2E5F2" w14:textId="4B62DA53" w:rsidR="00912134" w:rsidRPr="00912134" w:rsidRDefault="00912134" w:rsidP="007F1961">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DNA damage</w:t>
            </w:r>
          </w:p>
        </w:tc>
        <w:tc>
          <w:tcPr>
            <w:tcW w:w="1703" w:type="dxa"/>
            <w:tcBorders>
              <w:top w:val="single" w:sz="4" w:space="0" w:color="auto"/>
              <w:bottom w:val="single" w:sz="4" w:space="0" w:color="auto"/>
            </w:tcBorders>
            <w:shd w:val="clear" w:color="auto" w:fill="auto"/>
            <w:vAlign w:val="center"/>
            <w:hideMark/>
          </w:tcPr>
          <w:p w14:paraId="135C5EF1" w14:textId="77777777"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DNA strand breaks</w:t>
            </w:r>
            <w:r w:rsidR="002D21A3" w:rsidRPr="00AF6261">
              <w:rPr>
                <w:rFonts w:ascii="Calibri" w:eastAsia="Times New Roman" w:hAnsi="Calibri" w:cstheme="minorHAnsi"/>
                <w:color w:val="000000"/>
                <w:sz w:val="18"/>
                <w:szCs w:val="18"/>
                <w:lang w:val="en-US" w:eastAsia="fr-FR"/>
              </w:rPr>
              <w:t xml:space="preserve"> in testicular tissue </w:t>
            </w:r>
            <w:r w:rsidR="00EA2CF7" w:rsidRPr="00AF6261">
              <w:rPr>
                <w:rFonts w:ascii="Calibri" w:eastAsia="Times New Roman" w:hAnsi="Calibri" w:cstheme="minorHAnsi"/>
                <w:color w:val="000000"/>
                <w:sz w:val="18"/>
                <w:szCs w:val="18"/>
                <w:lang w:val="en-US" w:eastAsia="fr-FR"/>
              </w:rPr>
              <w:t>by COMET assay</w:t>
            </w:r>
          </w:p>
        </w:tc>
        <w:tc>
          <w:tcPr>
            <w:tcW w:w="2010" w:type="dxa"/>
            <w:tcBorders>
              <w:top w:val="single" w:sz="4" w:space="0" w:color="auto"/>
              <w:bottom w:val="single" w:sz="4" w:space="0" w:color="auto"/>
            </w:tcBorders>
            <w:shd w:val="clear" w:color="auto" w:fill="auto"/>
            <w:vAlign w:val="center"/>
            <w:hideMark/>
          </w:tcPr>
          <w:p w14:paraId="59B2F7D9" w14:textId="77777777" w:rsidR="00912134" w:rsidRPr="00912134" w:rsidRDefault="00912134" w:rsidP="007F1961">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Increased DNA damage</w:t>
            </w:r>
          </w:p>
        </w:tc>
        <w:tc>
          <w:tcPr>
            <w:tcW w:w="2273" w:type="dxa"/>
            <w:tcBorders>
              <w:top w:val="single" w:sz="4" w:space="0" w:color="auto"/>
              <w:bottom w:val="single" w:sz="4" w:space="0" w:color="auto"/>
            </w:tcBorders>
            <w:vAlign w:val="center"/>
          </w:tcPr>
          <w:p w14:paraId="41DB37CB" w14:textId="77777777" w:rsidR="00912134" w:rsidRPr="000D750E" w:rsidRDefault="00795DF1" w:rsidP="007F1961">
            <w:pPr>
              <w:spacing w:after="0" w:line="240" w:lineRule="auto"/>
              <w:jc w:val="center"/>
              <w:rPr>
                <w:rFonts w:ascii="Calibri" w:eastAsia="Times New Roman" w:hAnsi="Calibri" w:cstheme="minorHAnsi"/>
                <w:b/>
                <w:sz w:val="18"/>
                <w:szCs w:val="18"/>
                <w:lang w:eastAsia="fr-FR"/>
              </w:rPr>
            </w:pPr>
            <w:r w:rsidRPr="000270BA">
              <w:rPr>
                <w:rFonts w:eastAsia="Times New Roman" w:cstheme="minorHAnsi"/>
                <w:sz w:val="18"/>
                <w:szCs w:val="18"/>
                <w:lang w:eastAsia="fr-FR"/>
              </w:rPr>
              <w:t>Increased DNA damage (ID1194)</w:t>
            </w:r>
          </w:p>
        </w:tc>
        <w:tc>
          <w:tcPr>
            <w:tcW w:w="2386" w:type="dxa"/>
            <w:tcBorders>
              <w:top w:val="single" w:sz="4" w:space="0" w:color="auto"/>
              <w:bottom w:val="single" w:sz="4" w:space="0" w:color="auto"/>
            </w:tcBorders>
            <w:shd w:val="clear" w:color="auto" w:fill="auto"/>
            <w:vAlign w:val="center"/>
            <w:hideMark/>
          </w:tcPr>
          <w:p w14:paraId="11F8392C" w14:textId="77777777" w:rsidR="00912134" w:rsidRPr="000D750E" w:rsidRDefault="00795DF1" w:rsidP="007F1961">
            <w:pPr>
              <w:spacing w:after="0" w:line="240" w:lineRule="auto"/>
              <w:jc w:val="center"/>
              <w:rPr>
                <w:rFonts w:ascii="Calibri" w:eastAsia="Times New Roman" w:hAnsi="Calibri" w:cstheme="minorHAnsi"/>
                <w:b/>
                <w:sz w:val="18"/>
                <w:szCs w:val="18"/>
                <w:lang w:eastAsia="fr-FR"/>
              </w:rPr>
            </w:pPr>
            <w:r w:rsidRPr="000270BA">
              <w:rPr>
                <w:rFonts w:eastAsia="Times New Roman" w:cstheme="minorHAnsi"/>
                <w:sz w:val="18"/>
                <w:szCs w:val="18"/>
                <w:lang w:eastAsia="fr-FR"/>
              </w:rPr>
              <w:t>DNA Damage (ID1194)</w:t>
            </w:r>
          </w:p>
        </w:tc>
        <w:tc>
          <w:tcPr>
            <w:tcW w:w="851" w:type="dxa"/>
            <w:vMerge/>
            <w:tcBorders>
              <w:left w:val="nil"/>
              <w:right w:val="single" w:sz="8" w:space="0" w:color="auto"/>
            </w:tcBorders>
          </w:tcPr>
          <w:p w14:paraId="7AB5F8F7" w14:textId="77777777" w:rsidR="00912134" w:rsidRPr="00912134" w:rsidRDefault="00912134" w:rsidP="007F3FC3">
            <w:pPr>
              <w:spacing w:after="0" w:line="240" w:lineRule="auto"/>
              <w:jc w:val="center"/>
              <w:rPr>
                <w:rFonts w:ascii="Calibri" w:eastAsia="Times New Roman" w:hAnsi="Calibri" w:cstheme="minorHAnsi"/>
                <w:color w:val="000000"/>
                <w:sz w:val="18"/>
                <w:szCs w:val="18"/>
                <w:lang w:eastAsia="fr-FR"/>
              </w:rPr>
            </w:pPr>
          </w:p>
        </w:tc>
      </w:tr>
      <w:tr w:rsidR="00912134" w:rsidRPr="00DC5D76" w14:paraId="3682D0C5" w14:textId="77777777" w:rsidTr="007F1961">
        <w:trPr>
          <w:trHeight w:val="56"/>
        </w:trPr>
        <w:tc>
          <w:tcPr>
            <w:tcW w:w="1408" w:type="dxa"/>
            <w:vMerge/>
            <w:tcBorders>
              <w:left w:val="single" w:sz="4" w:space="0" w:color="auto"/>
              <w:bottom w:val="single" w:sz="4" w:space="0" w:color="auto"/>
            </w:tcBorders>
            <w:shd w:val="clear" w:color="auto" w:fill="auto"/>
            <w:textDirection w:val="btLr"/>
            <w:vAlign w:val="center"/>
            <w:hideMark/>
          </w:tcPr>
          <w:p w14:paraId="1F9AAA9C"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6" w:type="dxa"/>
            <w:vMerge/>
            <w:tcBorders>
              <w:bottom w:val="single" w:sz="4" w:space="0" w:color="auto"/>
            </w:tcBorders>
            <w:shd w:val="clear" w:color="auto" w:fill="auto"/>
            <w:textDirection w:val="btLr"/>
            <w:vAlign w:val="center"/>
            <w:hideMark/>
          </w:tcPr>
          <w:p w14:paraId="0B8FD960"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5" w:type="dxa"/>
            <w:vMerge/>
            <w:tcBorders>
              <w:bottom w:val="single" w:sz="4" w:space="0" w:color="auto"/>
            </w:tcBorders>
            <w:textDirection w:val="btLr"/>
            <w:vAlign w:val="center"/>
            <w:hideMark/>
          </w:tcPr>
          <w:p w14:paraId="2892DBEB"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668" w:type="dxa"/>
            <w:tcBorders>
              <w:top w:val="single" w:sz="4" w:space="0" w:color="auto"/>
              <w:bottom w:val="single" w:sz="4" w:space="0" w:color="auto"/>
            </w:tcBorders>
            <w:shd w:val="clear" w:color="auto" w:fill="auto"/>
            <w:vAlign w:val="center"/>
            <w:hideMark/>
          </w:tcPr>
          <w:p w14:paraId="250B8803" w14:textId="2A5E9193" w:rsidR="00912134" w:rsidRPr="00912134" w:rsidRDefault="00912134" w:rsidP="007F1961">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Histopathological Examination</w:t>
            </w:r>
          </w:p>
        </w:tc>
        <w:tc>
          <w:tcPr>
            <w:tcW w:w="1703" w:type="dxa"/>
            <w:tcBorders>
              <w:top w:val="single" w:sz="4" w:space="0" w:color="auto"/>
              <w:bottom w:val="single" w:sz="4" w:space="0" w:color="auto"/>
            </w:tcBorders>
            <w:shd w:val="clear" w:color="auto" w:fill="auto"/>
            <w:vAlign w:val="center"/>
            <w:hideMark/>
          </w:tcPr>
          <w:p w14:paraId="466D9310" w14:textId="77777777" w:rsidR="00912134" w:rsidRPr="00AF6261" w:rsidRDefault="00EA2CF7"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Examination of testis and s</w:t>
            </w:r>
            <w:r w:rsidR="00912134" w:rsidRPr="00AF6261">
              <w:rPr>
                <w:rFonts w:ascii="Calibri" w:eastAsia="Times New Roman" w:hAnsi="Calibri" w:cstheme="minorHAnsi"/>
                <w:color w:val="000000"/>
                <w:sz w:val="18"/>
                <w:szCs w:val="18"/>
                <w:lang w:val="en-US" w:eastAsia="fr-FR"/>
              </w:rPr>
              <w:t>eminiferous tubules</w:t>
            </w:r>
            <w:r w:rsidRPr="00AF6261">
              <w:rPr>
                <w:rFonts w:ascii="Calibri" w:eastAsia="Times New Roman" w:hAnsi="Calibri" w:cstheme="minorHAnsi"/>
                <w:color w:val="000000"/>
                <w:sz w:val="18"/>
                <w:szCs w:val="18"/>
                <w:lang w:val="en-US" w:eastAsia="fr-FR"/>
              </w:rPr>
              <w:t xml:space="preserve"> by Hematoxylin and Eosin</w:t>
            </w:r>
            <w:r w:rsidR="00C84BF9" w:rsidRPr="00AF6261">
              <w:rPr>
                <w:rFonts w:ascii="Calibri" w:eastAsia="Times New Roman" w:hAnsi="Calibri" w:cstheme="minorHAnsi"/>
                <w:color w:val="000000"/>
                <w:sz w:val="18"/>
                <w:szCs w:val="18"/>
                <w:lang w:val="en-US" w:eastAsia="fr-FR"/>
              </w:rPr>
              <w:t xml:space="preserve"> (HE)</w:t>
            </w:r>
            <w:r w:rsidRPr="00AF6261">
              <w:rPr>
                <w:rFonts w:ascii="Calibri" w:eastAsia="Times New Roman" w:hAnsi="Calibri" w:cstheme="minorHAnsi"/>
                <w:color w:val="000000"/>
                <w:sz w:val="18"/>
                <w:szCs w:val="18"/>
                <w:lang w:val="en-US" w:eastAsia="fr-FR"/>
              </w:rPr>
              <w:t xml:space="preserve"> staining</w:t>
            </w:r>
          </w:p>
          <w:p w14:paraId="74AF9A96" w14:textId="77777777"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p>
        </w:tc>
        <w:tc>
          <w:tcPr>
            <w:tcW w:w="2010" w:type="dxa"/>
            <w:tcBorders>
              <w:top w:val="single" w:sz="4" w:space="0" w:color="auto"/>
              <w:bottom w:val="single" w:sz="4" w:space="0" w:color="auto"/>
            </w:tcBorders>
            <w:shd w:val="clear" w:color="auto" w:fill="auto"/>
            <w:vAlign w:val="center"/>
            <w:hideMark/>
          </w:tcPr>
          <w:p w14:paraId="0FCA5B2A" w14:textId="77777777" w:rsidR="00912134" w:rsidRPr="00AF6261" w:rsidRDefault="00795DF1"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lastRenderedPageBreak/>
              <w:t>Histological</w:t>
            </w:r>
            <w:r w:rsidR="00912134" w:rsidRPr="00AF6261">
              <w:rPr>
                <w:rFonts w:ascii="Calibri" w:eastAsia="Times New Roman" w:hAnsi="Calibri" w:cstheme="minorHAnsi"/>
                <w:color w:val="000000"/>
                <w:sz w:val="18"/>
                <w:szCs w:val="18"/>
                <w:lang w:val="en-US" w:eastAsia="fr-FR"/>
              </w:rPr>
              <w:t xml:space="preserve"> alterations</w:t>
            </w:r>
          </w:p>
          <w:p w14:paraId="611818AC" w14:textId="77777777" w:rsidR="00912134" w:rsidRPr="00AF6261" w:rsidRDefault="0091213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Necrotic spermatogonial cells</w:t>
            </w:r>
          </w:p>
        </w:tc>
        <w:tc>
          <w:tcPr>
            <w:tcW w:w="2273" w:type="dxa"/>
            <w:tcBorders>
              <w:top w:val="single" w:sz="4" w:space="0" w:color="auto"/>
              <w:bottom w:val="single" w:sz="4" w:space="0" w:color="auto"/>
            </w:tcBorders>
            <w:vAlign w:val="center"/>
          </w:tcPr>
          <w:p w14:paraId="74776416" w14:textId="77777777" w:rsidR="00795DF1" w:rsidRPr="000270BA" w:rsidRDefault="00795DF1"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Testicular atrophy</w:t>
            </w:r>
          </w:p>
          <w:p w14:paraId="23478586" w14:textId="77777777" w:rsidR="00912134" w:rsidRPr="000D750E" w:rsidRDefault="00795DF1" w:rsidP="007F1961">
            <w:pPr>
              <w:spacing w:after="0" w:line="240" w:lineRule="auto"/>
              <w:jc w:val="center"/>
              <w:rPr>
                <w:rFonts w:ascii="Calibri" w:eastAsia="Times New Roman" w:hAnsi="Calibri" w:cstheme="minorHAnsi"/>
                <w:b/>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bottom w:val="single" w:sz="4" w:space="0" w:color="auto"/>
            </w:tcBorders>
            <w:shd w:val="clear" w:color="auto" w:fill="auto"/>
            <w:vAlign w:val="center"/>
            <w:hideMark/>
          </w:tcPr>
          <w:p w14:paraId="09DA1DF4" w14:textId="77777777" w:rsidR="00795DF1" w:rsidRPr="000270BA" w:rsidRDefault="00795DF1"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017F590D" w14:textId="1DA1FA99" w:rsidR="00010C8A" w:rsidRPr="007F1961" w:rsidRDefault="00795DF1"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left w:val="nil"/>
              <w:bottom w:val="single" w:sz="4" w:space="0" w:color="auto"/>
              <w:right w:val="single" w:sz="8" w:space="0" w:color="auto"/>
            </w:tcBorders>
          </w:tcPr>
          <w:p w14:paraId="0D88070A" w14:textId="77777777" w:rsidR="00912134" w:rsidRPr="00AF6261" w:rsidRDefault="00912134" w:rsidP="007F3FC3">
            <w:pPr>
              <w:spacing w:after="0" w:line="240" w:lineRule="auto"/>
              <w:jc w:val="center"/>
              <w:rPr>
                <w:rFonts w:ascii="Calibri" w:eastAsia="Times New Roman" w:hAnsi="Calibri" w:cstheme="minorHAnsi"/>
                <w:color w:val="000000"/>
                <w:sz w:val="18"/>
                <w:szCs w:val="18"/>
                <w:lang w:val="en-US" w:eastAsia="fr-FR"/>
              </w:rPr>
            </w:pPr>
          </w:p>
        </w:tc>
      </w:tr>
      <w:tr w:rsidR="000D2642" w:rsidRPr="00912134" w14:paraId="5E45B38D" w14:textId="77777777" w:rsidTr="007F1961">
        <w:trPr>
          <w:trHeight w:val="834"/>
        </w:trPr>
        <w:tc>
          <w:tcPr>
            <w:tcW w:w="1408" w:type="dxa"/>
            <w:vMerge w:val="restart"/>
            <w:tcBorders>
              <w:top w:val="single" w:sz="4" w:space="0" w:color="auto"/>
              <w:left w:val="single" w:sz="4" w:space="0" w:color="auto"/>
              <w:bottom w:val="single" w:sz="4" w:space="0" w:color="auto"/>
            </w:tcBorders>
            <w:shd w:val="clear" w:color="auto" w:fill="auto"/>
            <w:textDirection w:val="btLr"/>
            <w:vAlign w:val="center"/>
          </w:tcPr>
          <w:p w14:paraId="538FD524" w14:textId="77777777" w:rsidR="000D2642" w:rsidRPr="00912134" w:rsidRDefault="000D2642" w:rsidP="000D2642">
            <w:pPr>
              <w:spacing w:after="0" w:line="240" w:lineRule="auto"/>
              <w:ind w:left="113" w:right="113"/>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Size:20 nm</w:t>
            </w:r>
          </w:p>
          <w:p w14:paraId="4FF0B7D2" w14:textId="77777777" w:rsidR="000D2642" w:rsidRPr="00912134" w:rsidRDefault="003E4264" w:rsidP="003E4264">
            <w:pPr>
              <w:spacing w:after="0" w:line="240" w:lineRule="auto"/>
              <w:ind w:left="113" w:right="113"/>
              <w:jc w:val="center"/>
              <w:rPr>
                <w:rFonts w:ascii="Calibri" w:eastAsia="Times New Roman" w:hAnsi="Calibri" w:cstheme="minorHAnsi"/>
                <w:color w:val="000000"/>
                <w:sz w:val="18"/>
                <w:szCs w:val="18"/>
                <w:lang w:eastAsia="fr-FR"/>
              </w:rPr>
            </w:pPr>
            <w:r>
              <w:rPr>
                <w:rFonts w:ascii="Calibri" w:eastAsia="Times New Roman" w:hAnsi="Calibri" w:cstheme="minorHAnsi"/>
                <w:color w:val="000000"/>
                <w:sz w:val="18"/>
                <w:szCs w:val="18"/>
                <w:lang w:eastAsia="fr-FR"/>
              </w:rPr>
              <w:t>PVP (</w:t>
            </w:r>
            <w:r w:rsidR="000D2642">
              <w:rPr>
                <w:rFonts w:ascii="Calibri" w:eastAsia="Times New Roman" w:hAnsi="Calibri" w:cstheme="minorHAnsi"/>
                <w:color w:val="000000"/>
                <w:sz w:val="18"/>
                <w:szCs w:val="18"/>
                <w:lang w:eastAsia="fr-FR"/>
              </w:rPr>
              <w:t>0.3%</w:t>
            </w:r>
            <w:r>
              <w:rPr>
                <w:rFonts w:ascii="Calibri" w:eastAsia="Times New Roman" w:hAnsi="Calibri" w:cstheme="minorHAnsi"/>
                <w:color w:val="000000"/>
                <w:sz w:val="18"/>
                <w:szCs w:val="18"/>
                <w:lang w:eastAsia="fr-FR"/>
              </w:rPr>
              <w:t>)</w:t>
            </w:r>
            <w:r w:rsidR="000D2642">
              <w:rPr>
                <w:rFonts w:ascii="Calibri" w:eastAsia="Times New Roman" w:hAnsi="Calibri" w:cstheme="minorHAnsi"/>
                <w:color w:val="000000"/>
                <w:sz w:val="18"/>
                <w:szCs w:val="18"/>
                <w:lang w:eastAsia="fr-FR"/>
              </w:rPr>
              <w:t xml:space="preserve"> </w:t>
            </w:r>
          </w:p>
        </w:tc>
        <w:tc>
          <w:tcPr>
            <w:tcW w:w="1276" w:type="dxa"/>
            <w:vMerge w:val="restart"/>
            <w:tcBorders>
              <w:top w:val="single" w:sz="4" w:space="0" w:color="auto"/>
              <w:bottom w:val="single" w:sz="4" w:space="0" w:color="auto"/>
            </w:tcBorders>
            <w:shd w:val="clear" w:color="auto" w:fill="auto"/>
            <w:textDirection w:val="btLr"/>
            <w:vAlign w:val="center"/>
          </w:tcPr>
          <w:p w14:paraId="60C8C2C9" w14:textId="77777777" w:rsidR="000D2642" w:rsidRPr="00912134" w:rsidRDefault="000D2642" w:rsidP="0032246C">
            <w:pPr>
              <w:spacing w:after="0" w:line="240" w:lineRule="auto"/>
              <w:ind w:left="113" w:right="113"/>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Adult male SD rats</w:t>
            </w:r>
            <w:r w:rsidR="00EB6E01">
              <w:rPr>
                <w:rFonts w:ascii="Calibri" w:eastAsia="Times New Roman" w:hAnsi="Calibri" w:cstheme="minorHAnsi"/>
                <w:color w:val="000000"/>
                <w:sz w:val="18"/>
                <w:szCs w:val="18"/>
                <w:lang w:eastAsia="fr-FR"/>
              </w:rPr>
              <w:t>,</w:t>
            </w:r>
            <w:r w:rsidR="0032246C">
              <w:rPr>
                <w:rFonts w:ascii="Calibri" w:eastAsia="Times New Roman" w:hAnsi="Calibri" w:cstheme="minorHAnsi"/>
                <w:color w:val="000000"/>
                <w:sz w:val="18"/>
                <w:szCs w:val="18"/>
                <w:lang w:eastAsia="fr-FR"/>
              </w:rPr>
              <w:t xml:space="preserve"> </w:t>
            </w:r>
            <w:r w:rsidRPr="00912134">
              <w:rPr>
                <w:rFonts w:ascii="Calibri" w:hAnsi="Calibri" w:cstheme="minorHAnsi"/>
                <w:color w:val="000000"/>
                <w:sz w:val="18"/>
                <w:szCs w:val="18"/>
              </w:rPr>
              <w:t>Intravenous</w:t>
            </w:r>
          </w:p>
        </w:tc>
        <w:tc>
          <w:tcPr>
            <w:tcW w:w="1275" w:type="dxa"/>
            <w:vMerge w:val="restart"/>
            <w:tcBorders>
              <w:top w:val="single" w:sz="4" w:space="0" w:color="auto"/>
              <w:bottom w:val="single" w:sz="4" w:space="0" w:color="auto"/>
            </w:tcBorders>
            <w:shd w:val="clear" w:color="auto" w:fill="auto"/>
            <w:textDirection w:val="btLr"/>
            <w:vAlign w:val="center"/>
          </w:tcPr>
          <w:p w14:paraId="10E58E83" w14:textId="77777777" w:rsidR="000D2642" w:rsidRPr="00AF6261" w:rsidRDefault="000D2642" w:rsidP="0032246C">
            <w:pPr>
              <w:spacing w:after="0" w:line="240" w:lineRule="auto"/>
              <w:ind w:left="113" w:right="113"/>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 xml:space="preserve">5 mg/kg </w:t>
            </w:r>
            <w:r w:rsidR="00EB6E01" w:rsidRPr="00AF6261">
              <w:rPr>
                <w:rFonts w:ascii="Calibri" w:eastAsia="Times New Roman" w:hAnsi="Calibri" w:cstheme="minorHAnsi"/>
                <w:color w:val="000000"/>
                <w:sz w:val="18"/>
                <w:szCs w:val="18"/>
                <w:lang w:val="en-US" w:eastAsia="fr-FR"/>
              </w:rPr>
              <w:t>bw</w:t>
            </w:r>
            <w:r w:rsidRPr="00AF6261">
              <w:rPr>
                <w:rFonts w:ascii="Calibri" w:eastAsia="Times New Roman" w:hAnsi="Calibri" w:cstheme="minorHAnsi"/>
                <w:color w:val="000000"/>
                <w:sz w:val="18"/>
                <w:szCs w:val="18"/>
                <w:lang w:val="en-US" w:eastAsia="fr-FR"/>
              </w:rPr>
              <w:t>, 15 days (Dosing :3 day intervals)</w:t>
            </w:r>
          </w:p>
        </w:tc>
        <w:tc>
          <w:tcPr>
            <w:tcW w:w="1668" w:type="dxa"/>
            <w:tcBorders>
              <w:top w:val="single" w:sz="4" w:space="0" w:color="auto"/>
              <w:bottom w:val="single" w:sz="4" w:space="0" w:color="auto"/>
            </w:tcBorders>
            <w:shd w:val="clear" w:color="auto" w:fill="auto"/>
            <w:vAlign w:val="center"/>
          </w:tcPr>
          <w:p w14:paraId="5198E3DF" w14:textId="09036BB4" w:rsidR="000D2642" w:rsidRPr="00912134" w:rsidRDefault="003E4264" w:rsidP="007F1961">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Sperm Evaluation</w:t>
            </w:r>
          </w:p>
        </w:tc>
        <w:tc>
          <w:tcPr>
            <w:tcW w:w="1703" w:type="dxa"/>
            <w:tcBorders>
              <w:top w:val="single" w:sz="4" w:space="0" w:color="auto"/>
              <w:bottom w:val="single" w:sz="4" w:space="0" w:color="auto"/>
            </w:tcBorders>
            <w:shd w:val="clear" w:color="auto" w:fill="auto"/>
            <w:vAlign w:val="center"/>
          </w:tcPr>
          <w:p w14:paraId="716AC943" w14:textId="77777777" w:rsidR="000D2642" w:rsidRPr="00AF6261" w:rsidRDefault="000D2642" w:rsidP="007F1961">
            <w:pPr>
              <w:spacing w:after="0" w:line="240" w:lineRule="auto"/>
              <w:jc w:val="center"/>
              <w:rPr>
                <w:rFonts w:ascii="Calibri" w:eastAsia="Times New Roman" w:hAnsi="Calibri" w:cstheme="minorHAnsi"/>
                <w:color w:val="000000"/>
                <w:sz w:val="18"/>
                <w:szCs w:val="18"/>
                <w:lang w:val="en-US" w:eastAsia="fr-FR"/>
              </w:rPr>
            </w:pPr>
          </w:p>
          <w:p w14:paraId="28B7F4B8" w14:textId="77777777" w:rsidR="003E4264" w:rsidRPr="00AF6261" w:rsidRDefault="003E426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Sperm Motility by a microscope and Viability by eosin-nigrosin staining</w:t>
            </w:r>
          </w:p>
        </w:tc>
        <w:tc>
          <w:tcPr>
            <w:tcW w:w="2010" w:type="dxa"/>
            <w:tcBorders>
              <w:top w:val="single" w:sz="4" w:space="0" w:color="auto"/>
              <w:bottom w:val="single" w:sz="4" w:space="0" w:color="auto"/>
            </w:tcBorders>
            <w:shd w:val="clear" w:color="auto" w:fill="auto"/>
            <w:vAlign w:val="center"/>
          </w:tcPr>
          <w:p w14:paraId="3434078B" w14:textId="77777777" w:rsidR="003E4264" w:rsidRPr="003E4264" w:rsidRDefault="003E4264" w:rsidP="007F1961">
            <w:pPr>
              <w:spacing w:after="0" w:line="240" w:lineRule="auto"/>
              <w:jc w:val="center"/>
              <w:rPr>
                <w:rFonts w:ascii="Calibri" w:eastAsia="Times New Roman" w:hAnsi="Calibri" w:cstheme="minorHAnsi"/>
                <w:sz w:val="18"/>
                <w:szCs w:val="18"/>
                <w:highlight w:val="yellow"/>
                <w:lang w:eastAsia="fr-FR"/>
              </w:rPr>
            </w:pPr>
            <w:r w:rsidRPr="003E4264">
              <w:rPr>
                <w:rFonts w:ascii="Calibri" w:eastAsia="Times New Roman" w:hAnsi="Calibri" w:cstheme="minorHAnsi"/>
                <w:sz w:val="18"/>
                <w:szCs w:val="18"/>
                <w:lang w:eastAsia="fr-FR"/>
              </w:rPr>
              <w:t>No significant change</w:t>
            </w:r>
          </w:p>
        </w:tc>
        <w:tc>
          <w:tcPr>
            <w:tcW w:w="2273" w:type="dxa"/>
            <w:tcBorders>
              <w:top w:val="single" w:sz="4" w:space="0" w:color="auto"/>
              <w:bottom w:val="single" w:sz="4" w:space="0" w:color="auto"/>
            </w:tcBorders>
            <w:vAlign w:val="center"/>
          </w:tcPr>
          <w:p w14:paraId="4B122B06" w14:textId="77777777" w:rsidR="000D2642" w:rsidRPr="003E4264" w:rsidRDefault="003E4264" w:rsidP="007F1961">
            <w:pPr>
              <w:jc w:val="center"/>
              <w:rPr>
                <w:rFonts w:ascii="Calibri" w:hAnsi="Calibri"/>
                <w:sz w:val="18"/>
                <w:szCs w:val="18"/>
              </w:rPr>
            </w:pPr>
            <w:r w:rsidRPr="003E4264">
              <w:rPr>
                <w:rFonts w:ascii="Calibri" w:hAnsi="Calibri"/>
                <w:sz w:val="18"/>
                <w:szCs w:val="18"/>
              </w:rPr>
              <w:t>-</w:t>
            </w:r>
          </w:p>
        </w:tc>
        <w:tc>
          <w:tcPr>
            <w:tcW w:w="2386" w:type="dxa"/>
            <w:tcBorders>
              <w:top w:val="single" w:sz="4" w:space="0" w:color="auto"/>
              <w:bottom w:val="single" w:sz="4" w:space="0" w:color="auto"/>
            </w:tcBorders>
            <w:shd w:val="clear" w:color="auto" w:fill="auto"/>
            <w:vAlign w:val="center"/>
          </w:tcPr>
          <w:p w14:paraId="1309629E" w14:textId="77777777" w:rsidR="000D2642" w:rsidRPr="003E4264" w:rsidRDefault="003E4264" w:rsidP="007F1961">
            <w:pPr>
              <w:jc w:val="center"/>
              <w:rPr>
                <w:rFonts w:ascii="Calibri" w:hAnsi="Calibri"/>
                <w:sz w:val="18"/>
                <w:szCs w:val="18"/>
              </w:rPr>
            </w:pPr>
            <w:r w:rsidRPr="003E4264">
              <w:rPr>
                <w:rFonts w:eastAsia="Times New Roman" w:cstheme="minorHAnsi"/>
                <w:sz w:val="18"/>
                <w:szCs w:val="18"/>
                <w:lang w:eastAsia="fr-FR"/>
              </w:rPr>
              <w:t>-</w:t>
            </w:r>
          </w:p>
        </w:tc>
        <w:tc>
          <w:tcPr>
            <w:tcW w:w="851" w:type="dxa"/>
            <w:vMerge w:val="restart"/>
            <w:tcBorders>
              <w:top w:val="single" w:sz="4" w:space="0" w:color="auto"/>
              <w:left w:val="nil"/>
              <w:bottom w:val="single" w:sz="4" w:space="0" w:color="auto"/>
              <w:right w:val="single" w:sz="8" w:space="0" w:color="auto"/>
            </w:tcBorders>
            <w:shd w:val="clear" w:color="auto" w:fill="auto"/>
            <w:vAlign w:val="center"/>
          </w:tcPr>
          <w:p w14:paraId="6A190E47" w14:textId="0585F124" w:rsidR="000D2642" w:rsidRPr="00912134" w:rsidRDefault="000D2642"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{"citationItems":[{"id":"ITEM-1","itemData":{"DOI":"10.1007/s12011-021-02763-6","ISBN":"1201102102763","ISSN":"15590720","abstract":"This study was performed to investigate whether the toxicity of nanoparticles (Ag NPs or TiO2 NPs) affected mitochondrial dynamics (mitochondrial fusion and fission mechanisms) in testicular cells of mice. Animals were assigned into three groups (ten mice per group): control group (distilled water), TiO2 NP group (5 mg/kg per dose), and Ag NP group (5 mg/kg per dose). NPs were administered intravenously (via tail vein) to mice with 3-day intervals. To determine the possible toxic effect of NPs on mitochondrial dynamics, the expression levels of mitochondrial fission (Drp1)- and fusion (Mfn1, Mfn2, OPA1)-related genes were analyzed. The results showed that both Ag NPs and TiO2 NPs entered the testis via the blood–testis barier and accumulated in mouse testis tissue. Experiments showed that administration of Ag NPs neither alters testicular weight and testicular index nor causes significant toxic effect on sperm parameters. RT-PCR analysis demonstrated that Ag NP treatment did not disrupt mitochondrial dynamics in testicular cells. Conversely, administration of TiO2 NPs (anatase, &lt; 25 nm) decreased the sperm motility and the percentages of sperms with swollen tail. Furthermore, RT-PCR and western blot analyses showed that TiO2 NPs disrupted mitochondrial dynamics by causing excess mitochondrial fission (excess expression of Drp1 gene and DRP1 protein). This is the first report on the toxicity of nanoparticles on mitochondrial dynamics (fusion and fission mechanisms) in testicular cells.","author":[{"dropping-particle":"","family":"Arslan","given":"Nazli Pinar","non-dropping-particle":"","parse-names":false,"suffix":""},{"dropping-particle":"","family":"Keles","given":"Osman Nuri","non-dropping-particle":"","parse-names":false,"suffix":""},{"dropping-particle":"","family":"Gonul-Baltaci","given":"Nurdan","non-dropping-particle":"","parse-names":false,"suffix":""}],"container-title":"Biological Trace Element Research","id":"ITEM-1","issue":"0123456789","issued":{"date-parts":[["2021"]]},"publisher":"Springer US","title":"Effect of Titanium Dioxide and Silver Nanoparticles on Mitochondrial Dynamics in Mouse Testis Tissue","type":"article-journal"},"uris":["http://www.mendeley.com/documents/?uuid=afef0f83-a4d7-403c-8838-16c804db2cb0"]}],"mendeley":{"formattedCitation":"(2)","plainTextFormattedCitation":"(2)","previouslyFormattedCitation":"(Arslan, Keles, and Gonul-Baltaci 2021)"},"properties":{"noteIndex":0},"schema":"https://github.com/citation-style-language/schema/raw/master/csl-citation.json"}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(2)</w:t>
            </w:r>
            <w:r w:rsidRPr="00912134">
              <w:rPr>
                <w:rFonts w:ascii="Calibri" w:eastAsia="Times New Roman" w:hAnsi="Calibri" w:cstheme="minorHAnsi"/>
                <w:color w:val="000000"/>
                <w:sz w:val="18"/>
                <w:szCs w:val="18"/>
                <w:lang w:eastAsia="fr-FR"/>
              </w:rPr>
              <w:fldChar w:fldCharType="end"/>
            </w:r>
          </w:p>
        </w:tc>
      </w:tr>
      <w:tr w:rsidR="00912134" w:rsidRPr="00912134" w14:paraId="146301C9" w14:textId="77777777" w:rsidTr="007F1961">
        <w:trPr>
          <w:trHeight w:val="834"/>
        </w:trPr>
        <w:tc>
          <w:tcPr>
            <w:tcW w:w="1408" w:type="dxa"/>
            <w:vMerge/>
            <w:tcBorders>
              <w:left w:val="single" w:sz="4" w:space="0" w:color="auto"/>
              <w:bottom w:val="single" w:sz="4" w:space="0" w:color="auto"/>
            </w:tcBorders>
            <w:shd w:val="clear" w:color="auto" w:fill="auto"/>
            <w:textDirection w:val="btLr"/>
            <w:vAlign w:val="center"/>
          </w:tcPr>
          <w:p w14:paraId="3306086F"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6" w:type="dxa"/>
            <w:vMerge/>
            <w:tcBorders>
              <w:bottom w:val="single" w:sz="4" w:space="0" w:color="auto"/>
            </w:tcBorders>
            <w:shd w:val="clear" w:color="auto" w:fill="auto"/>
            <w:textDirection w:val="btLr"/>
            <w:vAlign w:val="center"/>
          </w:tcPr>
          <w:p w14:paraId="097E467F"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5" w:type="dxa"/>
            <w:vMerge/>
            <w:tcBorders>
              <w:bottom w:val="single" w:sz="4" w:space="0" w:color="auto"/>
            </w:tcBorders>
            <w:shd w:val="clear" w:color="auto" w:fill="auto"/>
            <w:textDirection w:val="btLr"/>
            <w:vAlign w:val="center"/>
          </w:tcPr>
          <w:p w14:paraId="4C632424" w14:textId="77777777" w:rsidR="00912134" w:rsidRPr="00912134" w:rsidRDefault="0091213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668" w:type="dxa"/>
            <w:tcBorders>
              <w:top w:val="single" w:sz="4" w:space="0" w:color="auto"/>
              <w:bottom w:val="single" w:sz="4" w:space="0" w:color="auto"/>
            </w:tcBorders>
            <w:shd w:val="clear" w:color="auto" w:fill="auto"/>
            <w:vAlign w:val="center"/>
          </w:tcPr>
          <w:p w14:paraId="126E6727" w14:textId="77777777" w:rsidR="00912134" w:rsidRPr="00912134" w:rsidRDefault="003E4264" w:rsidP="007F1961">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 xml:space="preserve">Mithocondrial </w:t>
            </w:r>
            <w:r>
              <w:rPr>
                <w:rFonts w:ascii="Calibri" w:eastAsia="Times New Roman" w:hAnsi="Calibri" w:cstheme="minorHAnsi"/>
                <w:color w:val="000000"/>
                <w:sz w:val="18"/>
                <w:szCs w:val="18"/>
                <w:lang w:eastAsia="fr-FR"/>
              </w:rPr>
              <w:t>functions</w:t>
            </w:r>
          </w:p>
        </w:tc>
        <w:tc>
          <w:tcPr>
            <w:tcW w:w="1703" w:type="dxa"/>
            <w:tcBorders>
              <w:top w:val="single" w:sz="4" w:space="0" w:color="auto"/>
              <w:bottom w:val="single" w:sz="4" w:space="0" w:color="auto"/>
            </w:tcBorders>
            <w:shd w:val="clear" w:color="auto" w:fill="auto"/>
            <w:vAlign w:val="center"/>
          </w:tcPr>
          <w:p w14:paraId="3077F020" w14:textId="77777777" w:rsidR="003E4264" w:rsidRPr="00912134" w:rsidRDefault="003E4264" w:rsidP="007F1961">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t>M</w:t>
            </w:r>
            <w:r>
              <w:rPr>
                <w:rFonts w:ascii="Calibri" w:eastAsia="Times New Roman" w:hAnsi="Calibri" w:cstheme="minorHAnsi"/>
                <w:color w:val="000000"/>
                <w:sz w:val="18"/>
                <w:szCs w:val="18"/>
                <w:lang w:eastAsia="fr-FR"/>
              </w:rPr>
              <w:t>itochondrial fission p</w:t>
            </w:r>
            <w:r w:rsidRPr="00912134">
              <w:rPr>
                <w:rFonts w:ascii="Calibri" w:eastAsia="Times New Roman" w:hAnsi="Calibri" w:cstheme="minorHAnsi"/>
                <w:color w:val="000000"/>
                <w:sz w:val="18"/>
                <w:szCs w:val="18"/>
                <w:lang w:eastAsia="fr-FR"/>
              </w:rPr>
              <w:t>rotein concentration</w:t>
            </w:r>
            <w:r>
              <w:rPr>
                <w:rFonts w:ascii="Cambria Math" w:eastAsia="Times New Roman" w:hAnsi="Cambria Math" w:cs="Cambria Math"/>
                <w:color w:val="000000"/>
                <w:sz w:val="18"/>
                <w:szCs w:val="18"/>
                <w:lang w:eastAsia="fr-FR"/>
              </w:rPr>
              <w:t xml:space="preserve"> (</w:t>
            </w:r>
            <w:r w:rsidRPr="00912134">
              <w:rPr>
                <w:rFonts w:ascii="Calibri" w:eastAsia="Times New Roman" w:hAnsi="Calibri" w:cstheme="minorHAnsi"/>
                <w:color w:val="000000"/>
                <w:sz w:val="18"/>
                <w:szCs w:val="18"/>
                <w:lang w:eastAsia="fr-FR"/>
              </w:rPr>
              <w:t>DRP1</w:t>
            </w:r>
            <w:r>
              <w:rPr>
                <w:rFonts w:ascii="Calibri" w:eastAsia="Times New Roman" w:hAnsi="Calibri" w:cstheme="minorHAnsi"/>
                <w:color w:val="000000"/>
                <w:sz w:val="18"/>
                <w:szCs w:val="18"/>
                <w:lang w:eastAsia="fr-FR"/>
              </w:rPr>
              <w:t>)</w:t>
            </w:r>
          </w:p>
          <w:p w14:paraId="0443D4DE" w14:textId="77777777" w:rsidR="00912134" w:rsidRPr="00AF6261" w:rsidRDefault="003E426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Fission-related Mfn1 Mfn2 and OPA1 and Fusion</w:t>
            </w:r>
            <w:r w:rsidRPr="00AF6261">
              <w:rPr>
                <w:rFonts w:ascii="Cambria Math" w:eastAsia="Times New Roman" w:hAnsi="Cambria Math" w:cs="Cambria Math"/>
                <w:color w:val="000000"/>
                <w:sz w:val="18"/>
                <w:szCs w:val="18"/>
                <w:lang w:val="en-US" w:eastAsia="fr-FR"/>
              </w:rPr>
              <w:t>‑</w:t>
            </w:r>
            <w:r w:rsidRPr="00AF6261">
              <w:rPr>
                <w:rFonts w:ascii="Calibri" w:eastAsia="Times New Roman" w:hAnsi="Calibri" w:cstheme="minorHAnsi"/>
                <w:color w:val="000000"/>
                <w:sz w:val="18"/>
                <w:szCs w:val="18"/>
                <w:lang w:val="en-US" w:eastAsia="fr-FR"/>
              </w:rPr>
              <w:t xml:space="preserve">related Drp1 gene expressions </w:t>
            </w:r>
            <w:r w:rsidRPr="00AF6261">
              <w:rPr>
                <w:rFonts w:ascii="Calibri" w:eastAsia="Times New Roman" w:hAnsi="Calibri" w:cstheme="minorHAnsi"/>
                <w:bCs/>
                <w:color w:val="000000"/>
                <w:sz w:val="18"/>
                <w:szCs w:val="18"/>
                <w:lang w:val="en-US" w:eastAsia="fr-FR"/>
              </w:rPr>
              <w:t>by RT</w:t>
            </w:r>
            <w:r w:rsidRPr="00AF6261">
              <w:rPr>
                <w:rFonts w:ascii="Cambria Math" w:eastAsia="Times New Roman" w:hAnsi="Cambria Math" w:cs="Cambria Math"/>
                <w:bCs/>
                <w:color w:val="000000"/>
                <w:sz w:val="18"/>
                <w:szCs w:val="18"/>
                <w:lang w:val="en-US" w:eastAsia="fr-FR"/>
              </w:rPr>
              <w:t>‑</w:t>
            </w:r>
            <w:r w:rsidRPr="00AF6261">
              <w:rPr>
                <w:rFonts w:ascii="Calibri" w:eastAsia="Times New Roman" w:hAnsi="Calibri" w:cstheme="minorHAnsi"/>
                <w:bCs/>
                <w:color w:val="000000"/>
                <w:sz w:val="18"/>
                <w:szCs w:val="18"/>
                <w:lang w:val="en-US" w:eastAsia="fr-FR"/>
              </w:rPr>
              <w:t>PCR</w:t>
            </w:r>
          </w:p>
        </w:tc>
        <w:tc>
          <w:tcPr>
            <w:tcW w:w="2010" w:type="dxa"/>
            <w:tcBorders>
              <w:top w:val="single" w:sz="4" w:space="0" w:color="auto"/>
              <w:bottom w:val="single" w:sz="4" w:space="0" w:color="auto"/>
            </w:tcBorders>
            <w:shd w:val="clear" w:color="auto" w:fill="auto"/>
            <w:vAlign w:val="center"/>
          </w:tcPr>
          <w:p w14:paraId="394A08F0" w14:textId="77777777" w:rsidR="003E4264" w:rsidRPr="00AF6261" w:rsidRDefault="003E426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No significant change</w:t>
            </w:r>
          </w:p>
          <w:p w14:paraId="6845B32E" w14:textId="77777777" w:rsidR="003E4264" w:rsidRPr="00AF6261" w:rsidRDefault="003E426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w:t>
            </w:r>
          </w:p>
          <w:p w14:paraId="54F7DD4D" w14:textId="77777777" w:rsidR="00912134" w:rsidRPr="00AF6261" w:rsidRDefault="003E426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STIX-Regular" w:hAnsi="Calibri" w:cstheme="minorHAnsi"/>
                <w:sz w:val="18"/>
                <w:szCs w:val="18"/>
                <w:lang w:val="en-US"/>
              </w:rPr>
              <w:t>No mitochondrial dysfunction</w:t>
            </w:r>
          </w:p>
        </w:tc>
        <w:tc>
          <w:tcPr>
            <w:tcW w:w="2273" w:type="dxa"/>
            <w:tcBorders>
              <w:top w:val="single" w:sz="4" w:space="0" w:color="auto"/>
              <w:bottom w:val="single" w:sz="4" w:space="0" w:color="auto"/>
            </w:tcBorders>
            <w:vAlign w:val="center"/>
          </w:tcPr>
          <w:p w14:paraId="43F1BAE6" w14:textId="77777777" w:rsidR="00912134" w:rsidRPr="003E4264" w:rsidRDefault="00C9282D" w:rsidP="007F1961">
            <w:pPr>
              <w:spacing w:after="0" w:line="240" w:lineRule="auto"/>
              <w:jc w:val="center"/>
              <w:rPr>
                <w:rFonts w:ascii="Calibri" w:eastAsia="Times New Roman" w:hAnsi="Calibri" w:cstheme="minorHAnsi"/>
                <w:sz w:val="18"/>
                <w:szCs w:val="18"/>
                <w:lang w:eastAsia="fr-FR"/>
              </w:rPr>
            </w:pPr>
            <w:r w:rsidRPr="003E4264">
              <w:rPr>
                <w:rFonts w:ascii="Calibri" w:eastAsia="Times New Roman" w:hAnsi="Calibri" w:cstheme="minorHAnsi"/>
                <w:sz w:val="18"/>
                <w:szCs w:val="18"/>
                <w:lang w:eastAsia="fr-FR"/>
              </w:rPr>
              <w:t>_</w:t>
            </w:r>
          </w:p>
        </w:tc>
        <w:tc>
          <w:tcPr>
            <w:tcW w:w="2386" w:type="dxa"/>
            <w:tcBorders>
              <w:top w:val="single" w:sz="4" w:space="0" w:color="auto"/>
              <w:bottom w:val="single" w:sz="4" w:space="0" w:color="auto"/>
            </w:tcBorders>
            <w:shd w:val="clear" w:color="auto" w:fill="auto"/>
            <w:vAlign w:val="center"/>
          </w:tcPr>
          <w:p w14:paraId="2B9BE0EC" w14:textId="77777777" w:rsidR="00912134" w:rsidRPr="003E4264" w:rsidRDefault="00C9282D" w:rsidP="007F1961">
            <w:pPr>
              <w:spacing w:after="0" w:line="240" w:lineRule="auto"/>
              <w:jc w:val="center"/>
              <w:rPr>
                <w:rFonts w:ascii="Calibri" w:eastAsia="Times New Roman" w:hAnsi="Calibri" w:cstheme="minorHAnsi"/>
                <w:sz w:val="18"/>
                <w:szCs w:val="18"/>
                <w:lang w:eastAsia="fr-FR"/>
              </w:rPr>
            </w:pPr>
            <w:r w:rsidRPr="003E4264">
              <w:rPr>
                <w:rFonts w:ascii="Calibri" w:eastAsia="Times New Roman" w:hAnsi="Calibri" w:cstheme="minorHAnsi"/>
                <w:sz w:val="18"/>
                <w:szCs w:val="18"/>
                <w:lang w:eastAsia="fr-FR"/>
              </w:rPr>
              <w:t>_</w:t>
            </w:r>
          </w:p>
        </w:tc>
        <w:tc>
          <w:tcPr>
            <w:tcW w:w="851" w:type="dxa"/>
            <w:vMerge/>
            <w:tcBorders>
              <w:left w:val="nil"/>
              <w:bottom w:val="single" w:sz="4" w:space="0" w:color="auto"/>
              <w:right w:val="single" w:sz="8" w:space="0" w:color="auto"/>
            </w:tcBorders>
            <w:shd w:val="clear" w:color="auto" w:fill="auto"/>
          </w:tcPr>
          <w:p w14:paraId="16108FA2" w14:textId="77777777" w:rsidR="00912134" w:rsidRPr="00912134" w:rsidRDefault="00912134" w:rsidP="007F3FC3">
            <w:pPr>
              <w:spacing w:after="0" w:line="240" w:lineRule="auto"/>
              <w:jc w:val="center"/>
              <w:rPr>
                <w:rFonts w:ascii="Calibri" w:eastAsia="Times New Roman" w:hAnsi="Calibri" w:cstheme="minorHAnsi"/>
                <w:color w:val="000000"/>
                <w:sz w:val="18"/>
                <w:szCs w:val="18"/>
                <w:lang w:eastAsia="fr-FR"/>
              </w:rPr>
            </w:pPr>
          </w:p>
        </w:tc>
      </w:tr>
      <w:tr w:rsidR="003E4264" w:rsidRPr="00912134" w14:paraId="1F3F141C" w14:textId="77777777" w:rsidTr="007F1961">
        <w:trPr>
          <w:trHeight w:val="449"/>
        </w:trPr>
        <w:tc>
          <w:tcPr>
            <w:tcW w:w="1408" w:type="dxa"/>
            <w:vMerge/>
            <w:tcBorders>
              <w:left w:val="single" w:sz="4" w:space="0" w:color="auto"/>
              <w:bottom w:val="single" w:sz="4" w:space="0" w:color="auto"/>
            </w:tcBorders>
            <w:shd w:val="clear" w:color="auto" w:fill="auto"/>
            <w:textDirection w:val="btLr"/>
            <w:vAlign w:val="center"/>
          </w:tcPr>
          <w:p w14:paraId="35483DE2" w14:textId="77777777" w:rsidR="003E4264" w:rsidRPr="00912134" w:rsidRDefault="003E426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6" w:type="dxa"/>
            <w:vMerge/>
            <w:tcBorders>
              <w:bottom w:val="single" w:sz="4" w:space="0" w:color="auto"/>
            </w:tcBorders>
            <w:shd w:val="clear" w:color="auto" w:fill="auto"/>
            <w:textDirection w:val="btLr"/>
            <w:vAlign w:val="center"/>
          </w:tcPr>
          <w:p w14:paraId="2F7AD3FB" w14:textId="77777777" w:rsidR="003E4264" w:rsidRPr="00912134" w:rsidRDefault="003E426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275" w:type="dxa"/>
            <w:vMerge/>
            <w:tcBorders>
              <w:bottom w:val="single" w:sz="4" w:space="0" w:color="auto"/>
            </w:tcBorders>
            <w:shd w:val="clear" w:color="auto" w:fill="auto"/>
            <w:textDirection w:val="btLr"/>
            <w:vAlign w:val="center"/>
          </w:tcPr>
          <w:p w14:paraId="16230599" w14:textId="77777777" w:rsidR="003E4264" w:rsidRPr="00912134" w:rsidRDefault="003E4264" w:rsidP="00B15EC0">
            <w:pPr>
              <w:spacing w:after="0" w:line="240" w:lineRule="auto"/>
              <w:ind w:left="113" w:right="113"/>
              <w:jc w:val="center"/>
              <w:rPr>
                <w:rFonts w:ascii="Calibri" w:eastAsia="Times New Roman" w:hAnsi="Calibri" w:cstheme="minorHAnsi"/>
                <w:color w:val="000000"/>
                <w:sz w:val="18"/>
                <w:szCs w:val="18"/>
                <w:lang w:eastAsia="fr-FR"/>
              </w:rPr>
            </w:pPr>
          </w:p>
        </w:tc>
        <w:tc>
          <w:tcPr>
            <w:tcW w:w="1668" w:type="dxa"/>
            <w:tcBorders>
              <w:top w:val="single" w:sz="4" w:space="0" w:color="auto"/>
            </w:tcBorders>
            <w:shd w:val="clear" w:color="auto" w:fill="auto"/>
            <w:vAlign w:val="center"/>
          </w:tcPr>
          <w:p w14:paraId="589A8803" w14:textId="77777777" w:rsidR="003E4264" w:rsidRDefault="003E4264" w:rsidP="007F1961">
            <w:pPr>
              <w:spacing w:after="0" w:line="240" w:lineRule="auto"/>
              <w:jc w:val="center"/>
              <w:rPr>
                <w:rFonts w:ascii="Calibri" w:eastAsia="Times New Roman" w:hAnsi="Calibri" w:cstheme="minorHAnsi"/>
                <w:color w:val="000000"/>
                <w:sz w:val="18"/>
                <w:szCs w:val="18"/>
                <w:lang w:eastAsia="fr-FR"/>
              </w:rPr>
            </w:pPr>
            <w:r>
              <w:rPr>
                <w:rFonts w:ascii="Calibri" w:eastAsia="Times New Roman" w:hAnsi="Calibri" w:cstheme="minorHAnsi"/>
                <w:color w:val="000000"/>
                <w:sz w:val="18"/>
                <w:szCs w:val="18"/>
                <w:lang w:eastAsia="fr-FR"/>
              </w:rPr>
              <w:t>AgNPs Accumulation</w:t>
            </w:r>
          </w:p>
          <w:p w14:paraId="3B60B53B" w14:textId="77777777" w:rsidR="003E4264" w:rsidRPr="00912134" w:rsidRDefault="003E4264" w:rsidP="007F1961">
            <w:pPr>
              <w:spacing w:after="0" w:line="240" w:lineRule="auto"/>
              <w:jc w:val="center"/>
              <w:rPr>
                <w:rFonts w:ascii="Calibri" w:eastAsia="Times New Roman" w:hAnsi="Calibri" w:cstheme="minorHAnsi"/>
                <w:color w:val="000000"/>
                <w:sz w:val="18"/>
                <w:szCs w:val="18"/>
                <w:lang w:eastAsia="fr-FR"/>
              </w:rPr>
            </w:pPr>
          </w:p>
        </w:tc>
        <w:tc>
          <w:tcPr>
            <w:tcW w:w="1703" w:type="dxa"/>
            <w:tcBorders>
              <w:top w:val="single" w:sz="4" w:space="0" w:color="auto"/>
            </w:tcBorders>
            <w:shd w:val="clear" w:color="auto" w:fill="auto"/>
            <w:vAlign w:val="center"/>
          </w:tcPr>
          <w:p w14:paraId="08155F9F" w14:textId="77777777" w:rsidR="003E4264" w:rsidRPr="00AF6261" w:rsidRDefault="003E4264" w:rsidP="007F1961">
            <w:pPr>
              <w:spacing w:after="0" w:line="240" w:lineRule="auto"/>
              <w:jc w:val="center"/>
              <w:rPr>
                <w:rFonts w:ascii="Calibri" w:eastAsia="Times New Roman" w:hAnsi="Calibri" w:cstheme="minorHAnsi"/>
                <w:color w:val="000000"/>
                <w:sz w:val="18"/>
                <w:szCs w:val="18"/>
                <w:lang w:val="en-US" w:eastAsia="fr-FR"/>
              </w:rPr>
            </w:pPr>
            <w:r w:rsidRPr="00AF6261">
              <w:rPr>
                <w:rFonts w:ascii="Calibri" w:eastAsia="Times New Roman" w:hAnsi="Calibri" w:cstheme="minorHAnsi"/>
                <w:color w:val="000000"/>
                <w:sz w:val="18"/>
                <w:szCs w:val="18"/>
                <w:lang w:val="en-US" w:eastAsia="fr-FR"/>
              </w:rPr>
              <w:t>Presence in Testes by ICP</w:t>
            </w:r>
          </w:p>
        </w:tc>
        <w:tc>
          <w:tcPr>
            <w:tcW w:w="2010" w:type="dxa"/>
            <w:tcBorders>
              <w:top w:val="single" w:sz="4" w:space="0" w:color="auto"/>
            </w:tcBorders>
            <w:shd w:val="clear" w:color="auto" w:fill="auto"/>
            <w:vAlign w:val="center"/>
          </w:tcPr>
          <w:p w14:paraId="3701F94E" w14:textId="77777777" w:rsidR="003E4264" w:rsidRPr="003E4264" w:rsidRDefault="003E4264" w:rsidP="007F1961">
            <w:pPr>
              <w:spacing w:after="0" w:line="240" w:lineRule="auto"/>
              <w:jc w:val="center"/>
              <w:rPr>
                <w:rFonts w:ascii="Calibri" w:eastAsia="STIX-Regular" w:hAnsi="Calibri" w:cstheme="minorHAnsi"/>
                <w:sz w:val="18"/>
                <w:szCs w:val="18"/>
                <w:highlight w:val="yellow"/>
              </w:rPr>
            </w:pPr>
            <w:r w:rsidRPr="003E4264">
              <w:rPr>
                <w:rFonts w:ascii="Calibri" w:eastAsia="STIX-Regular" w:hAnsi="Calibri" w:cstheme="minorHAnsi"/>
                <w:sz w:val="18"/>
                <w:szCs w:val="18"/>
              </w:rPr>
              <w:t>Accumulation in mouse testes</w:t>
            </w:r>
          </w:p>
        </w:tc>
        <w:tc>
          <w:tcPr>
            <w:tcW w:w="2273" w:type="dxa"/>
            <w:tcBorders>
              <w:top w:val="single" w:sz="4" w:space="0" w:color="auto"/>
            </w:tcBorders>
            <w:vAlign w:val="center"/>
          </w:tcPr>
          <w:p w14:paraId="61C5F50F" w14:textId="77777777" w:rsidR="003E4264" w:rsidRPr="003E4264" w:rsidRDefault="003E4264" w:rsidP="007F1961">
            <w:pPr>
              <w:spacing w:after="0" w:line="240" w:lineRule="auto"/>
              <w:jc w:val="center"/>
              <w:rPr>
                <w:rFonts w:ascii="Calibri" w:eastAsia="Times New Roman" w:hAnsi="Calibri" w:cstheme="minorHAnsi"/>
                <w:sz w:val="18"/>
                <w:szCs w:val="18"/>
                <w:lang w:eastAsia="fr-FR"/>
              </w:rPr>
            </w:pPr>
            <w:r w:rsidRPr="003E4264">
              <w:rPr>
                <w:rFonts w:ascii="Calibri" w:eastAsia="Times New Roman" w:hAnsi="Calibri" w:cstheme="minorHAnsi"/>
                <w:sz w:val="18"/>
                <w:szCs w:val="18"/>
                <w:lang w:eastAsia="fr-FR"/>
              </w:rPr>
              <w:t>_</w:t>
            </w:r>
          </w:p>
        </w:tc>
        <w:tc>
          <w:tcPr>
            <w:tcW w:w="2386" w:type="dxa"/>
            <w:tcBorders>
              <w:top w:val="single" w:sz="4" w:space="0" w:color="auto"/>
            </w:tcBorders>
            <w:shd w:val="clear" w:color="auto" w:fill="auto"/>
            <w:vAlign w:val="center"/>
          </w:tcPr>
          <w:p w14:paraId="0257247C" w14:textId="77777777" w:rsidR="003E4264" w:rsidRPr="003E4264" w:rsidRDefault="003E4264" w:rsidP="007F1961">
            <w:pPr>
              <w:spacing w:after="0" w:line="240" w:lineRule="auto"/>
              <w:jc w:val="center"/>
              <w:rPr>
                <w:rFonts w:ascii="Calibri" w:eastAsia="Times New Roman" w:hAnsi="Calibri" w:cstheme="minorHAnsi"/>
                <w:sz w:val="18"/>
                <w:szCs w:val="18"/>
                <w:lang w:eastAsia="fr-FR"/>
              </w:rPr>
            </w:pPr>
            <w:r w:rsidRPr="003E4264">
              <w:rPr>
                <w:rFonts w:ascii="Calibri" w:eastAsia="Times New Roman" w:hAnsi="Calibri" w:cstheme="minorHAnsi"/>
                <w:sz w:val="18"/>
                <w:szCs w:val="18"/>
                <w:lang w:eastAsia="fr-FR"/>
              </w:rPr>
              <w:t>_</w:t>
            </w:r>
          </w:p>
        </w:tc>
        <w:tc>
          <w:tcPr>
            <w:tcW w:w="851" w:type="dxa"/>
            <w:vMerge/>
            <w:tcBorders>
              <w:left w:val="nil"/>
              <w:bottom w:val="single" w:sz="4" w:space="0" w:color="auto"/>
              <w:right w:val="single" w:sz="8" w:space="0" w:color="auto"/>
            </w:tcBorders>
            <w:shd w:val="clear" w:color="auto" w:fill="auto"/>
          </w:tcPr>
          <w:p w14:paraId="641F48F7" w14:textId="77777777" w:rsidR="003E4264" w:rsidRPr="00912134" w:rsidRDefault="003E4264" w:rsidP="007F3FC3">
            <w:pPr>
              <w:spacing w:after="0" w:line="240" w:lineRule="auto"/>
              <w:jc w:val="center"/>
              <w:rPr>
                <w:rFonts w:ascii="Calibri" w:eastAsia="Times New Roman" w:hAnsi="Calibri" w:cstheme="minorHAnsi"/>
                <w:color w:val="000000"/>
                <w:sz w:val="18"/>
                <w:szCs w:val="18"/>
                <w:lang w:eastAsia="fr-FR"/>
              </w:rPr>
            </w:pPr>
          </w:p>
        </w:tc>
      </w:tr>
      <w:tr w:rsidR="00590703" w:rsidRPr="00912134" w14:paraId="79B6E0E2" w14:textId="77777777" w:rsidTr="007F1961">
        <w:trPr>
          <w:cantSplit/>
          <w:trHeight w:val="1134"/>
        </w:trPr>
        <w:tc>
          <w:tcPr>
            <w:tcW w:w="1408" w:type="dxa"/>
            <w:vMerge w:val="restart"/>
            <w:tcBorders>
              <w:left w:val="single" w:sz="4" w:space="0" w:color="auto"/>
            </w:tcBorders>
            <w:shd w:val="clear" w:color="auto" w:fill="auto"/>
            <w:textDirection w:val="btLr"/>
            <w:vAlign w:val="center"/>
          </w:tcPr>
          <w:p w14:paraId="51F341A0" w14:textId="02655172" w:rsidR="00590703" w:rsidRPr="00912134" w:rsidRDefault="00EB16FD" w:rsidP="00EB16FD">
            <w:pPr>
              <w:spacing w:after="0" w:line="240" w:lineRule="auto"/>
              <w:ind w:left="113" w:right="113"/>
              <w:jc w:val="center"/>
              <w:rPr>
                <w:rFonts w:ascii="Calibri" w:eastAsia="Times New Roman" w:hAnsi="Calibri" w:cstheme="minorHAnsi"/>
                <w:color w:val="000000"/>
                <w:sz w:val="18"/>
                <w:szCs w:val="18"/>
                <w:lang w:eastAsia="fr-FR"/>
              </w:rPr>
            </w:pPr>
            <w:r>
              <w:rPr>
                <w:rFonts w:cstheme="minorHAnsi"/>
                <w:sz w:val="18"/>
                <w:szCs w:val="18"/>
              </w:rPr>
              <w:t xml:space="preserve">Size : </w:t>
            </w:r>
            <w:r w:rsidR="00590703" w:rsidRPr="00183E88">
              <w:rPr>
                <w:rFonts w:cstheme="minorHAnsi"/>
                <w:sz w:val="18"/>
                <w:szCs w:val="18"/>
              </w:rPr>
              <w:t>19.5 ± 5 nm</w:t>
            </w:r>
            <w:r w:rsidR="00590703">
              <w:rPr>
                <w:rFonts w:cstheme="minorHAnsi"/>
                <w:sz w:val="18"/>
                <w:szCs w:val="18"/>
              </w:rPr>
              <w:t xml:space="preserve">,  </w:t>
            </w:r>
            <w:r>
              <w:rPr>
                <w:rFonts w:cstheme="minorHAnsi"/>
                <w:sz w:val="18"/>
                <w:szCs w:val="18"/>
              </w:rPr>
              <w:t xml:space="preserve">Shape : </w:t>
            </w:r>
            <w:r w:rsidR="00590703" w:rsidRPr="00183E88">
              <w:rPr>
                <w:rFonts w:cstheme="minorHAnsi"/>
                <w:sz w:val="18"/>
                <w:szCs w:val="18"/>
              </w:rPr>
              <w:t xml:space="preserve">Irregular </w:t>
            </w:r>
          </w:p>
        </w:tc>
        <w:tc>
          <w:tcPr>
            <w:tcW w:w="1276" w:type="dxa"/>
            <w:vMerge w:val="restart"/>
            <w:shd w:val="clear" w:color="auto" w:fill="auto"/>
            <w:textDirection w:val="btLr"/>
            <w:vAlign w:val="center"/>
          </w:tcPr>
          <w:p w14:paraId="7C296D97" w14:textId="77777777" w:rsidR="00590703" w:rsidRPr="00AF6261" w:rsidRDefault="00590703" w:rsidP="00590703">
            <w:pPr>
              <w:spacing w:after="0" w:line="240" w:lineRule="auto"/>
              <w:ind w:left="113" w:right="113"/>
              <w:jc w:val="center"/>
              <w:rPr>
                <w:rFonts w:ascii="Calibri" w:eastAsia="Times New Roman" w:hAnsi="Calibri" w:cstheme="minorHAnsi"/>
                <w:color w:val="000000"/>
                <w:sz w:val="18"/>
                <w:szCs w:val="18"/>
                <w:lang w:val="en-US" w:eastAsia="fr-FR"/>
              </w:rPr>
            </w:pPr>
            <w:r w:rsidRPr="00AF6261">
              <w:rPr>
                <w:rFonts w:cstheme="minorHAnsi"/>
                <w:sz w:val="18"/>
                <w:szCs w:val="18"/>
                <w:lang w:val="en-US"/>
              </w:rPr>
              <w:t>Twenty-four male mice (SWR/J), intraperitoneally</w:t>
            </w:r>
          </w:p>
        </w:tc>
        <w:tc>
          <w:tcPr>
            <w:tcW w:w="1275" w:type="dxa"/>
            <w:vMerge w:val="restart"/>
            <w:shd w:val="clear" w:color="auto" w:fill="auto"/>
            <w:textDirection w:val="btLr"/>
            <w:vAlign w:val="center"/>
          </w:tcPr>
          <w:p w14:paraId="5C5E2B38" w14:textId="07E039EE" w:rsidR="00590703" w:rsidRPr="00AF6261" w:rsidRDefault="00590703" w:rsidP="000F0BE4">
            <w:pPr>
              <w:spacing w:after="0" w:line="240" w:lineRule="auto"/>
              <w:ind w:left="113" w:right="113"/>
              <w:jc w:val="center"/>
              <w:rPr>
                <w:rFonts w:ascii="Calibri" w:eastAsia="Times New Roman" w:hAnsi="Calibri" w:cstheme="minorHAnsi"/>
                <w:color w:val="000000"/>
                <w:sz w:val="18"/>
                <w:szCs w:val="18"/>
                <w:lang w:val="en-US" w:eastAsia="fr-FR"/>
              </w:rPr>
            </w:pPr>
            <w:r w:rsidRPr="00AF6261">
              <w:rPr>
                <w:rFonts w:cstheme="minorHAnsi"/>
                <w:color w:val="231F20"/>
                <w:sz w:val="18"/>
                <w:szCs w:val="18"/>
                <w:lang w:val="en-US"/>
              </w:rPr>
              <w:t xml:space="preserve">40 mg/kg of bw </w:t>
            </w:r>
            <w:r w:rsidR="000F0BE4" w:rsidRPr="00AF6261">
              <w:rPr>
                <w:rFonts w:cstheme="minorHAnsi"/>
                <w:sz w:val="18"/>
                <w:szCs w:val="18"/>
                <w:lang w:val="en-US"/>
              </w:rPr>
              <w:t>35 days of the weekly injection</w:t>
            </w:r>
          </w:p>
        </w:tc>
        <w:tc>
          <w:tcPr>
            <w:tcW w:w="1668" w:type="dxa"/>
            <w:tcBorders>
              <w:top w:val="single" w:sz="4" w:space="0" w:color="auto"/>
            </w:tcBorders>
            <w:shd w:val="clear" w:color="auto" w:fill="auto"/>
            <w:vAlign w:val="center"/>
          </w:tcPr>
          <w:p w14:paraId="23ACFCCE" w14:textId="77777777" w:rsidR="00590703" w:rsidRPr="00183E88" w:rsidRDefault="00590703" w:rsidP="007F1961">
            <w:pPr>
              <w:spacing w:after="0" w:line="240" w:lineRule="auto"/>
              <w:jc w:val="center"/>
              <w:rPr>
                <w:rFonts w:eastAsia="Times New Roman" w:cstheme="minorHAnsi"/>
                <w:color w:val="000000"/>
                <w:sz w:val="18"/>
                <w:szCs w:val="18"/>
                <w:lang w:eastAsia="fr-FR"/>
              </w:rPr>
            </w:pPr>
            <w:r w:rsidRPr="00183E88">
              <w:rPr>
                <w:rFonts w:eastAsia="Times New Roman" w:cstheme="minorHAnsi"/>
                <w:color w:val="000000"/>
                <w:sz w:val="18"/>
                <w:szCs w:val="18"/>
                <w:lang w:eastAsia="fr-FR"/>
              </w:rPr>
              <w:t>Sperm Evaluation</w:t>
            </w:r>
          </w:p>
        </w:tc>
        <w:tc>
          <w:tcPr>
            <w:tcW w:w="1703" w:type="dxa"/>
            <w:tcBorders>
              <w:top w:val="single" w:sz="4" w:space="0" w:color="auto"/>
            </w:tcBorders>
            <w:shd w:val="clear" w:color="auto" w:fill="auto"/>
            <w:vAlign w:val="center"/>
          </w:tcPr>
          <w:p w14:paraId="3E6B2F2C" w14:textId="77777777" w:rsidR="00590703" w:rsidRPr="00183E88" w:rsidRDefault="00590703" w:rsidP="007F1961">
            <w:pPr>
              <w:spacing w:after="0" w:line="240" w:lineRule="auto"/>
              <w:jc w:val="center"/>
              <w:rPr>
                <w:rFonts w:eastAsia="Times New Roman" w:cstheme="minorHAnsi"/>
                <w:color w:val="000000"/>
                <w:sz w:val="18"/>
                <w:szCs w:val="18"/>
                <w:lang w:eastAsia="fr-FR"/>
              </w:rPr>
            </w:pPr>
            <w:r w:rsidRPr="00183E88">
              <w:rPr>
                <w:rFonts w:eastAsia="Times New Roman" w:cstheme="minorHAnsi"/>
                <w:color w:val="000000"/>
                <w:sz w:val="18"/>
                <w:szCs w:val="18"/>
                <w:lang w:eastAsia="fr-FR"/>
              </w:rPr>
              <w:t>Sperm count and motility</w:t>
            </w:r>
          </w:p>
        </w:tc>
        <w:tc>
          <w:tcPr>
            <w:tcW w:w="2010" w:type="dxa"/>
            <w:tcBorders>
              <w:top w:val="single" w:sz="4" w:space="0" w:color="auto"/>
            </w:tcBorders>
            <w:shd w:val="clear" w:color="auto" w:fill="auto"/>
            <w:vAlign w:val="center"/>
          </w:tcPr>
          <w:p w14:paraId="30FD77A3" w14:textId="77777777" w:rsidR="00590703" w:rsidRPr="00AF6261" w:rsidRDefault="00590703" w:rsidP="007F1961">
            <w:pPr>
              <w:autoSpaceDE w:val="0"/>
              <w:autoSpaceDN w:val="0"/>
              <w:adjustRightInd w:val="0"/>
              <w:spacing w:after="0" w:line="240" w:lineRule="auto"/>
              <w:jc w:val="center"/>
              <w:rPr>
                <w:rFonts w:cstheme="minorHAnsi"/>
                <w:color w:val="231F20"/>
                <w:sz w:val="18"/>
                <w:szCs w:val="18"/>
                <w:lang w:val="en-US"/>
              </w:rPr>
            </w:pPr>
            <w:r w:rsidRPr="00AF6261">
              <w:rPr>
                <w:rFonts w:cstheme="minorHAnsi"/>
                <w:color w:val="231F20"/>
                <w:sz w:val="18"/>
                <w:szCs w:val="18"/>
                <w:lang w:val="en-US"/>
              </w:rPr>
              <w:t>Decreased sperm count, total and progressive motility and increasing in immotile sperm</w:t>
            </w:r>
          </w:p>
        </w:tc>
        <w:tc>
          <w:tcPr>
            <w:tcW w:w="2273" w:type="dxa"/>
            <w:tcBorders>
              <w:top w:val="single" w:sz="4" w:space="0" w:color="auto"/>
            </w:tcBorders>
            <w:vAlign w:val="center"/>
          </w:tcPr>
          <w:p w14:paraId="06E37B17" w14:textId="77777777" w:rsidR="00590703" w:rsidRPr="000270BA" w:rsidRDefault="00590703"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tcBorders>
            <w:shd w:val="clear" w:color="auto" w:fill="auto"/>
            <w:vAlign w:val="center"/>
          </w:tcPr>
          <w:p w14:paraId="5FF5D0C9" w14:textId="77777777" w:rsidR="00590703" w:rsidRPr="000270BA" w:rsidRDefault="00590703"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Impaired fertility</w:t>
            </w:r>
          </w:p>
          <w:p w14:paraId="74578808" w14:textId="77777777" w:rsidR="00590703" w:rsidRPr="000270BA" w:rsidRDefault="00590703"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(ID330 , ID406)</w:t>
            </w:r>
          </w:p>
        </w:tc>
        <w:tc>
          <w:tcPr>
            <w:tcW w:w="851" w:type="dxa"/>
            <w:tcBorders>
              <w:top w:val="single" w:sz="4" w:space="0" w:color="auto"/>
              <w:left w:val="nil"/>
              <w:right w:val="single" w:sz="8" w:space="0" w:color="auto"/>
            </w:tcBorders>
            <w:shd w:val="clear" w:color="auto" w:fill="auto"/>
          </w:tcPr>
          <w:p w14:paraId="5D0A9304" w14:textId="77777777" w:rsidR="00590703" w:rsidRPr="00912134" w:rsidRDefault="00590703" w:rsidP="007F3FC3">
            <w:pPr>
              <w:spacing w:after="0" w:line="240" w:lineRule="auto"/>
              <w:jc w:val="center"/>
              <w:rPr>
                <w:rFonts w:ascii="Calibri" w:eastAsia="Times New Roman" w:hAnsi="Calibri" w:cstheme="minorHAnsi"/>
                <w:color w:val="000000"/>
                <w:sz w:val="18"/>
                <w:szCs w:val="18"/>
                <w:lang w:eastAsia="fr-FR"/>
              </w:rPr>
            </w:pPr>
          </w:p>
        </w:tc>
      </w:tr>
      <w:tr w:rsidR="00590703" w:rsidRPr="00912134" w14:paraId="08D015A9" w14:textId="77777777" w:rsidTr="007F1961">
        <w:trPr>
          <w:cantSplit/>
          <w:trHeight w:val="1134"/>
        </w:trPr>
        <w:tc>
          <w:tcPr>
            <w:tcW w:w="1408" w:type="dxa"/>
            <w:vMerge/>
            <w:tcBorders>
              <w:left w:val="single" w:sz="4" w:space="0" w:color="auto"/>
            </w:tcBorders>
            <w:shd w:val="clear" w:color="auto" w:fill="auto"/>
            <w:textDirection w:val="btLr"/>
            <w:vAlign w:val="center"/>
          </w:tcPr>
          <w:p w14:paraId="77DE3589" w14:textId="77777777" w:rsidR="00590703" w:rsidRPr="00912134" w:rsidRDefault="00590703" w:rsidP="00590703">
            <w:pPr>
              <w:spacing w:after="0" w:line="240" w:lineRule="auto"/>
              <w:ind w:left="113" w:right="113"/>
              <w:jc w:val="center"/>
              <w:rPr>
                <w:rFonts w:ascii="Calibri" w:eastAsia="Times New Roman" w:hAnsi="Calibri" w:cstheme="minorHAnsi"/>
                <w:color w:val="000000"/>
                <w:sz w:val="18"/>
                <w:szCs w:val="18"/>
                <w:lang w:eastAsia="fr-FR"/>
              </w:rPr>
            </w:pPr>
          </w:p>
        </w:tc>
        <w:tc>
          <w:tcPr>
            <w:tcW w:w="1276" w:type="dxa"/>
            <w:vMerge/>
            <w:shd w:val="clear" w:color="auto" w:fill="auto"/>
            <w:textDirection w:val="btLr"/>
            <w:vAlign w:val="center"/>
          </w:tcPr>
          <w:p w14:paraId="22B8B74A" w14:textId="77777777" w:rsidR="00590703" w:rsidRPr="00912134" w:rsidRDefault="00590703" w:rsidP="00590703">
            <w:pPr>
              <w:spacing w:after="0" w:line="240" w:lineRule="auto"/>
              <w:ind w:left="113" w:right="113"/>
              <w:jc w:val="center"/>
              <w:rPr>
                <w:rFonts w:ascii="Calibri" w:eastAsia="Times New Roman" w:hAnsi="Calibri" w:cstheme="minorHAnsi"/>
                <w:color w:val="000000"/>
                <w:sz w:val="18"/>
                <w:szCs w:val="18"/>
                <w:lang w:eastAsia="fr-FR"/>
              </w:rPr>
            </w:pPr>
          </w:p>
        </w:tc>
        <w:tc>
          <w:tcPr>
            <w:tcW w:w="1275" w:type="dxa"/>
            <w:vMerge/>
            <w:shd w:val="clear" w:color="auto" w:fill="auto"/>
            <w:textDirection w:val="btLr"/>
            <w:vAlign w:val="center"/>
          </w:tcPr>
          <w:p w14:paraId="235C68BA" w14:textId="77777777" w:rsidR="00590703" w:rsidRPr="00912134" w:rsidRDefault="00590703" w:rsidP="00590703">
            <w:pPr>
              <w:spacing w:after="0" w:line="240" w:lineRule="auto"/>
              <w:ind w:left="113" w:right="113"/>
              <w:jc w:val="center"/>
              <w:rPr>
                <w:rFonts w:ascii="Calibri" w:eastAsia="Times New Roman" w:hAnsi="Calibri" w:cstheme="minorHAnsi"/>
                <w:color w:val="000000"/>
                <w:sz w:val="18"/>
                <w:szCs w:val="18"/>
                <w:lang w:eastAsia="fr-FR"/>
              </w:rPr>
            </w:pPr>
          </w:p>
        </w:tc>
        <w:tc>
          <w:tcPr>
            <w:tcW w:w="1668" w:type="dxa"/>
            <w:tcBorders>
              <w:top w:val="single" w:sz="4" w:space="0" w:color="auto"/>
            </w:tcBorders>
            <w:shd w:val="clear" w:color="auto" w:fill="auto"/>
            <w:vAlign w:val="center"/>
          </w:tcPr>
          <w:p w14:paraId="2B2A6F0E" w14:textId="77777777" w:rsidR="00590703" w:rsidRPr="00183E88" w:rsidRDefault="00590703" w:rsidP="007F1961">
            <w:pPr>
              <w:spacing w:after="0" w:line="240" w:lineRule="auto"/>
              <w:jc w:val="center"/>
              <w:rPr>
                <w:rFonts w:eastAsia="Times New Roman" w:cstheme="minorHAnsi"/>
                <w:color w:val="000000"/>
                <w:sz w:val="18"/>
                <w:szCs w:val="18"/>
                <w:lang w:eastAsia="fr-FR"/>
              </w:rPr>
            </w:pPr>
            <w:r w:rsidRPr="00183E88">
              <w:rPr>
                <w:rFonts w:eastAsia="Times New Roman" w:cstheme="minorHAnsi"/>
                <w:color w:val="000000"/>
                <w:sz w:val="18"/>
                <w:szCs w:val="18"/>
                <w:lang w:eastAsia="fr-FR"/>
              </w:rPr>
              <w:t>Hormonal Assessment</w:t>
            </w:r>
          </w:p>
        </w:tc>
        <w:tc>
          <w:tcPr>
            <w:tcW w:w="1703" w:type="dxa"/>
            <w:tcBorders>
              <w:top w:val="single" w:sz="4" w:space="0" w:color="auto"/>
            </w:tcBorders>
            <w:shd w:val="clear" w:color="auto" w:fill="auto"/>
            <w:vAlign w:val="center"/>
          </w:tcPr>
          <w:p w14:paraId="15F32A81" w14:textId="77777777" w:rsidR="00590703" w:rsidRPr="00183E88" w:rsidRDefault="00590703" w:rsidP="007F1961">
            <w:pPr>
              <w:spacing w:after="0" w:line="240" w:lineRule="auto"/>
              <w:jc w:val="center"/>
              <w:rPr>
                <w:rFonts w:eastAsia="Times New Roman" w:cstheme="minorHAnsi"/>
                <w:color w:val="000000"/>
                <w:sz w:val="18"/>
                <w:szCs w:val="18"/>
                <w:lang w:eastAsia="fr-FR"/>
              </w:rPr>
            </w:pPr>
            <w:r w:rsidRPr="00183E88">
              <w:rPr>
                <w:rFonts w:eastAsia="Times New Roman" w:cstheme="minorHAnsi"/>
                <w:color w:val="000000"/>
                <w:sz w:val="18"/>
                <w:szCs w:val="18"/>
                <w:lang w:eastAsia="fr-FR"/>
              </w:rPr>
              <w:t>Serum testosterone</w:t>
            </w:r>
          </w:p>
        </w:tc>
        <w:tc>
          <w:tcPr>
            <w:tcW w:w="2010" w:type="dxa"/>
            <w:tcBorders>
              <w:top w:val="single" w:sz="4" w:space="0" w:color="auto"/>
            </w:tcBorders>
            <w:shd w:val="clear" w:color="auto" w:fill="auto"/>
            <w:vAlign w:val="center"/>
          </w:tcPr>
          <w:p w14:paraId="2CB2561B" w14:textId="63478DD0" w:rsidR="00590703" w:rsidRPr="00AF6261" w:rsidRDefault="00590703" w:rsidP="007F1961">
            <w:pPr>
              <w:spacing w:after="0" w:line="240" w:lineRule="auto"/>
              <w:jc w:val="center"/>
              <w:rPr>
                <w:rFonts w:eastAsia="Times New Roman" w:cstheme="minorHAnsi"/>
                <w:color w:val="000000"/>
                <w:sz w:val="18"/>
                <w:szCs w:val="18"/>
                <w:lang w:val="en-US" w:eastAsia="fr-FR"/>
              </w:rPr>
            </w:pPr>
            <w:r w:rsidRPr="00AF6261">
              <w:rPr>
                <w:rFonts w:eastAsia="Times New Roman" w:cstheme="minorHAnsi"/>
                <w:color w:val="000000"/>
                <w:sz w:val="18"/>
                <w:szCs w:val="18"/>
                <w:lang w:val="en-US" w:eastAsia="fr-FR"/>
              </w:rPr>
              <w:t>No alteration in testosteron level</w:t>
            </w:r>
          </w:p>
        </w:tc>
        <w:tc>
          <w:tcPr>
            <w:tcW w:w="2273" w:type="dxa"/>
            <w:tcBorders>
              <w:top w:val="single" w:sz="4" w:space="0" w:color="auto"/>
            </w:tcBorders>
            <w:vAlign w:val="center"/>
          </w:tcPr>
          <w:p w14:paraId="509E08F9" w14:textId="77777777" w:rsidR="00590703" w:rsidRPr="001F64B2" w:rsidRDefault="00590703" w:rsidP="007F1961">
            <w:pPr>
              <w:spacing w:after="0" w:line="240" w:lineRule="auto"/>
              <w:jc w:val="center"/>
              <w:rPr>
                <w:rFonts w:cstheme="minorHAnsi"/>
                <w:b/>
                <w:bCs/>
                <w:sz w:val="18"/>
                <w:szCs w:val="20"/>
              </w:rPr>
            </w:pPr>
            <w:r w:rsidRPr="001F64B2">
              <w:rPr>
                <w:rFonts w:cstheme="minorHAnsi"/>
                <w:b/>
                <w:bCs/>
                <w:sz w:val="18"/>
                <w:szCs w:val="20"/>
              </w:rPr>
              <w:t>-</w:t>
            </w:r>
          </w:p>
        </w:tc>
        <w:tc>
          <w:tcPr>
            <w:tcW w:w="2386" w:type="dxa"/>
            <w:tcBorders>
              <w:top w:val="single" w:sz="4" w:space="0" w:color="auto"/>
            </w:tcBorders>
            <w:shd w:val="clear" w:color="auto" w:fill="auto"/>
            <w:vAlign w:val="center"/>
          </w:tcPr>
          <w:p w14:paraId="59CB1704" w14:textId="77777777" w:rsidR="00590703" w:rsidRPr="001F64B2" w:rsidRDefault="00590703" w:rsidP="007F1961">
            <w:pPr>
              <w:spacing w:after="0" w:line="240" w:lineRule="auto"/>
              <w:jc w:val="center"/>
              <w:rPr>
                <w:rFonts w:eastAsia="Times New Roman" w:cstheme="minorHAnsi"/>
                <w:b/>
                <w:sz w:val="18"/>
                <w:szCs w:val="20"/>
                <w:lang w:eastAsia="fr-FR"/>
              </w:rPr>
            </w:pPr>
            <w:r w:rsidRPr="001F64B2">
              <w:rPr>
                <w:rFonts w:eastAsia="Times New Roman" w:cstheme="minorHAnsi"/>
                <w:b/>
                <w:sz w:val="18"/>
                <w:szCs w:val="20"/>
                <w:lang w:eastAsia="fr-FR"/>
              </w:rPr>
              <w:t>-</w:t>
            </w:r>
          </w:p>
        </w:tc>
        <w:tc>
          <w:tcPr>
            <w:tcW w:w="851" w:type="dxa"/>
            <w:tcBorders>
              <w:left w:val="nil"/>
              <w:right w:val="single" w:sz="8" w:space="0" w:color="auto"/>
            </w:tcBorders>
            <w:shd w:val="clear" w:color="auto" w:fill="auto"/>
          </w:tcPr>
          <w:p w14:paraId="5F3ED722" w14:textId="77777777" w:rsidR="00590703" w:rsidRPr="00912134" w:rsidRDefault="00590703" w:rsidP="007F3FC3">
            <w:pPr>
              <w:spacing w:after="0" w:line="240" w:lineRule="auto"/>
              <w:jc w:val="center"/>
              <w:rPr>
                <w:rFonts w:ascii="Calibri" w:eastAsia="Times New Roman" w:hAnsi="Calibri" w:cstheme="minorHAnsi"/>
                <w:color w:val="000000"/>
                <w:sz w:val="18"/>
                <w:szCs w:val="18"/>
                <w:lang w:eastAsia="fr-FR"/>
              </w:rPr>
            </w:pPr>
          </w:p>
        </w:tc>
      </w:tr>
      <w:tr w:rsidR="00590703" w:rsidRPr="00912134" w14:paraId="64BA8658" w14:textId="77777777" w:rsidTr="007F1961">
        <w:trPr>
          <w:cantSplit/>
          <w:trHeight w:val="1134"/>
        </w:trPr>
        <w:tc>
          <w:tcPr>
            <w:tcW w:w="1408" w:type="dxa"/>
            <w:vMerge/>
            <w:tcBorders>
              <w:left w:val="single" w:sz="4" w:space="0" w:color="auto"/>
            </w:tcBorders>
            <w:shd w:val="clear" w:color="auto" w:fill="auto"/>
            <w:textDirection w:val="btLr"/>
            <w:vAlign w:val="center"/>
          </w:tcPr>
          <w:p w14:paraId="31DBB3DC" w14:textId="77777777" w:rsidR="00590703" w:rsidRPr="00912134" w:rsidRDefault="00590703" w:rsidP="00590703">
            <w:pPr>
              <w:spacing w:after="0" w:line="240" w:lineRule="auto"/>
              <w:ind w:left="113" w:right="113"/>
              <w:jc w:val="center"/>
              <w:rPr>
                <w:rFonts w:ascii="Calibri" w:eastAsia="Times New Roman" w:hAnsi="Calibri" w:cstheme="minorHAnsi"/>
                <w:color w:val="000000"/>
                <w:sz w:val="18"/>
                <w:szCs w:val="18"/>
                <w:lang w:eastAsia="fr-FR"/>
              </w:rPr>
            </w:pPr>
          </w:p>
        </w:tc>
        <w:tc>
          <w:tcPr>
            <w:tcW w:w="1276" w:type="dxa"/>
            <w:vMerge/>
            <w:shd w:val="clear" w:color="auto" w:fill="auto"/>
            <w:textDirection w:val="btLr"/>
            <w:vAlign w:val="center"/>
          </w:tcPr>
          <w:p w14:paraId="548FD2FE" w14:textId="77777777" w:rsidR="00590703" w:rsidRPr="00912134" w:rsidRDefault="00590703" w:rsidP="00590703">
            <w:pPr>
              <w:spacing w:after="0" w:line="240" w:lineRule="auto"/>
              <w:ind w:left="113" w:right="113"/>
              <w:jc w:val="center"/>
              <w:rPr>
                <w:rFonts w:ascii="Calibri" w:eastAsia="Times New Roman" w:hAnsi="Calibri" w:cstheme="minorHAnsi"/>
                <w:color w:val="000000"/>
                <w:sz w:val="18"/>
                <w:szCs w:val="18"/>
                <w:lang w:eastAsia="fr-FR"/>
              </w:rPr>
            </w:pPr>
          </w:p>
        </w:tc>
        <w:tc>
          <w:tcPr>
            <w:tcW w:w="1275" w:type="dxa"/>
            <w:vMerge/>
            <w:shd w:val="clear" w:color="auto" w:fill="auto"/>
            <w:textDirection w:val="btLr"/>
            <w:vAlign w:val="center"/>
          </w:tcPr>
          <w:p w14:paraId="2C9E2C79" w14:textId="77777777" w:rsidR="00590703" w:rsidRPr="00912134" w:rsidRDefault="00590703" w:rsidP="00590703">
            <w:pPr>
              <w:spacing w:after="0" w:line="240" w:lineRule="auto"/>
              <w:ind w:left="113" w:right="113"/>
              <w:jc w:val="center"/>
              <w:rPr>
                <w:rFonts w:ascii="Calibri" w:eastAsia="Times New Roman" w:hAnsi="Calibri" w:cstheme="minorHAnsi"/>
                <w:color w:val="000000"/>
                <w:sz w:val="18"/>
                <w:szCs w:val="18"/>
                <w:lang w:eastAsia="fr-FR"/>
              </w:rPr>
            </w:pPr>
          </w:p>
        </w:tc>
        <w:tc>
          <w:tcPr>
            <w:tcW w:w="1668" w:type="dxa"/>
            <w:tcBorders>
              <w:top w:val="single" w:sz="4" w:space="0" w:color="auto"/>
            </w:tcBorders>
            <w:shd w:val="clear" w:color="auto" w:fill="auto"/>
            <w:vAlign w:val="center"/>
          </w:tcPr>
          <w:p w14:paraId="4B1CDB66" w14:textId="77777777" w:rsidR="00590703" w:rsidRPr="009870F6" w:rsidRDefault="00590703" w:rsidP="007F1961">
            <w:pPr>
              <w:spacing w:after="0" w:line="240" w:lineRule="auto"/>
              <w:jc w:val="center"/>
              <w:rPr>
                <w:rFonts w:eastAsia="Times New Roman" w:cstheme="minorHAnsi"/>
                <w:color w:val="000000"/>
                <w:sz w:val="18"/>
                <w:szCs w:val="18"/>
                <w:lang w:eastAsia="fr-FR"/>
              </w:rPr>
            </w:pPr>
            <w:r>
              <w:rPr>
                <w:rFonts w:eastAsia="Times New Roman" w:cstheme="minorHAnsi"/>
                <w:color w:val="000000"/>
                <w:sz w:val="18"/>
                <w:szCs w:val="18"/>
                <w:lang w:eastAsia="fr-FR"/>
              </w:rPr>
              <w:t>Oxidative Status</w:t>
            </w:r>
          </w:p>
        </w:tc>
        <w:tc>
          <w:tcPr>
            <w:tcW w:w="1703" w:type="dxa"/>
            <w:tcBorders>
              <w:top w:val="single" w:sz="4" w:space="0" w:color="auto"/>
            </w:tcBorders>
            <w:shd w:val="clear" w:color="auto" w:fill="auto"/>
            <w:vAlign w:val="center"/>
          </w:tcPr>
          <w:p w14:paraId="2D19AFCC" w14:textId="77777777" w:rsidR="00590703" w:rsidRPr="00AF6261" w:rsidRDefault="00590703" w:rsidP="007F1961">
            <w:pPr>
              <w:spacing w:after="0" w:line="240" w:lineRule="auto"/>
              <w:jc w:val="center"/>
              <w:rPr>
                <w:rFonts w:eastAsia="Times New Roman" w:cstheme="minorHAnsi"/>
                <w:color w:val="000000"/>
                <w:sz w:val="18"/>
                <w:szCs w:val="18"/>
                <w:lang w:val="en-US" w:eastAsia="fr-FR"/>
              </w:rPr>
            </w:pPr>
            <w:r w:rsidRPr="00AF6261">
              <w:rPr>
                <w:rFonts w:eastAsia="Times New Roman" w:cstheme="minorHAnsi"/>
                <w:color w:val="000000"/>
                <w:sz w:val="18"/>
                <w:szCs w:val="18"/>
                <w:lang w:val="en-US" w:eastAsia="fr-FR"/>
              </w:rPr>
              <w:t>TBARS, GSH, CAT, SOD and GST</w:t>
            </w:r>
          </w:p>
        </w:tc>
        <w:tc>
          <w:tcPr>
            <w:tcW w:w="2010" w:type="dxa"/>
            <w:tcBorders>
              <w:top w:val="single" w:sz="4" w:space="0" w:color="auto"/>
            </w:tcBorders>
            <w:shd w:val="clear" w:color="auto" w:fill="auto"/>
            <w:vAlign w:val="center"/>
          </w:tcPr>
          <w:p w14:paraId="4D79F37C" w14:textId="4B1851F5" w:rsidR="00590703" w:rsidRPr="00AF6261" w:rsidRDefault="00590703" w:rsidP="007F1961">
            <w:pPr>
              <w:spacing w:after="0" w:line="240" w:lineRule="auto"/>
              <w:jc w:val="center"/>
              <w:rPr>
                <w:rFonts w:eastAsia="Times New Roman" w:cstheme="minorHAnsi"/>
                <w:color w:val="000000"/>
                <w:sz w:val="18"/>
                <w:szCs w:val="18"/>
                <w:lang w:val="en-US" w:eastAsia="fr-FR"/>
              </w:rPr>
            </w:pPr>
            <w:r w:rsidRPr="00AF6261">
              <w:rPr>
                <w:rFonts w:cstheme="minorHAnsi"/>
                <w:sz w:val="18"/>
                <w:szCs w:val="18"/>
                <w:lang w:val="en-US"/>
              </w:rPr>
              <w:t>increased TBARS level , decreased the GSH, GST, SOD and CAT</w:t>
            </w:r>
          </w:p>
        </w:tc>
        <w:tc>
          <w:tcPr>
            <w:tcW w:w="2273" w:type="dxa"/>
            <w:tcBorders>
              <w:top w:val="single" w:sz="4" w:space="0" w:color="auto"/>
            </w:tcBorders>
            <w:vAlign w:val="center"/>
          </w:tcPr>
          <w:p w14:paraId="5A7EB5BC" w14:textId="77777777" w:rsidR="00590703" w:rsidRPr="000270BA" w:rsidRDefault="00590703"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4A0ED765" w14:textId="26646FA4" w:rsidR="00785F90" w:rsidRPr="000270BA" w:rsidRDefault="00590703" w:rsidP="007F1961">
            <w:pPr>
              <w:jc w:val="center"/>
              <w:rPr>
                <w:rFonts w:cstheme="minorHAnsi"/>
                <w:bCs/>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tcBorders>
            <w:shd w:val="clear" w:color="auto" w:fill="auto"/>
            <w:vAlign w:val="center"/>
          </w:tcPr>
          <w:p w14:paraId="366A1F53" w14:textId="7F0D0555" w:rsidR="00590703" w:rsidRPr="000270BA" w:rsidRDefault="00590703"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Oxidative Damage</w:t>
            </w:r>
          </w:p>
          <w:p w14:paraId="204080A1" w14:textId="77777777" w:rsidR="00590703" w:rsidRPr="000270BA" w:rsidRDefault="00590703"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(ID356)</w:t>
            </w:r>
          </w:p>
        </w:tc>
        <w:tc>
          <w:tcPr>
            <w:tcW w:w="851" w:type="dxa"/>
            <w:tcBorders>
              <w:left w:val="nil"/>
              <w:right w:val="single" w:sz="8" w:space="0" w:color="auto"/>
            </w:tcBorders>
            <w:shd w:val="clear" w:color="auto" w:fill="auto"/>
          </w:tcPr>
          <w:p w14:paraId="65937348" w14:textId="036D207A" w:rsidR="00590703" w:rsidRPr="00912134" w:rsidRDefault="007636E2" w:rsidP="007F3FC3">
            <w:pPr>
              <w:spacing w:after="0" w:line="240" w:lineRule="auto"/>
              <w:jc w:val="center"/>
              <w:rPr>
                <w:rFonts w:ascii="Calibri" w:eastAsia="Times New Roman" w:hAnsi="Calibri" w:cstheme="minorHAnsi"/>
                <w:color w:val="000000"/>
                <w:sz w:val="18"/>
                <w:szCs w:val="18"/>
                <w:lang w:eastAsia="fr-FR"/>
              </w:rPr>
            </w:pPr>
            <w:r>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{"citationItems":[{"id":"ITEM-1","itemData":{"DOI":"10.1016/j.toxrep.2021.05.014","ISSN":"22147500","abstract":"Silver nanoparticles (Ag-NPs) can easily cross through the blood-testis barrier and encourage reproductive dysfunction. This study investigated the protective effects of yttrium oxide nanoparticles (YO-NPs) on sexual behavior and spermatotoxicity induced by Ag-NPs in male mice. Twenty-four male mice were separated into four groups and injected intraperitoneally once a week as the following: group I (Ag-NPs at the dose of 40 mg/kg), group II (YO-NPs at the dose of 40 mg/kg), group III (Ag + YO NPs at the doses of 40 mg/kg, each) and group IV (control; distilled water). After 35 days of the injections, the sexual behavior, oxidative parameters in testis, sperm parameters, serum testosterone, apoptotic germ cells and testicular histology were evaluated. Our findings showed that Ag-NPs decreased the weight of the reproductive organs, sexual behavior, oxidative defense parameters, sperm count and motility of male mice. In addition, the apoptotic cells in testicular cross-sections and TBARS level increased after Ag-NPs exposure when compared to other groups. However, the YO-NPs had protective effects in the studied parameters of testicles and minimized the Ag-NPs toxicity in male mice. In conclusion, the results revealed that the toxicity of Ag-NPS altered testicular functions in male mice that were effectively ameliorated by YO-NPs.","author":[{"dropping-particle":"","family":"Abu-Taweel","given":"Gasem Mohammad","non-dropping-particle":"","parse-names":false,"suffix":""},{"dropping-particle":"","family":"Albetran","given":"Hani Manssor","non-dropping-particle":"","parse-names":false,"suffix":""},{"dropping-particle":"","family":"Al-Mutary","given":"Mohsen Ghaleb","non-dropping-particle":"","parse-names":false,"suffix":""},{"dropping-particle":"","family":"Ahmad","given":"Mohammad","non-dropping-particle":"","parse-names":false,"suffix":""},{"dropping-particle":"","family":"Low","given":"It Meng","non-dropping-particle":"","parse-names":false,"suffix":""}],"container-title":"Toxicology Reports","id":"ITEM-1","issued":{"date-parts":[["2021"]]},"page":"1121-1130","publisher":"Elsevier B.V.","title":"Alleviation of silver nanoparticle-induced sexual behavior and testicular parameters dysfunction in male mice by yttrium oxide nanoparticles","type":"article-journal","volume":"8"},"uris":["http://www.mendeley.com/documents/?uuid=82c38d7c-d402-49ae-8bf7-1c30a25e7b3c"]}],"mendeley":{"formattedCitation":"(3)","plainTextFormattedCitation":"(3)","previouslyFormattedCitation":"(Abu-Taweel et al. 2021)"},"properties":{"noteIndex":0},"schema":"https://github.com/citation-style-language/schema/raw/master/csl-citation.json"}</w:instrText>
            </w:r>
            <w:r>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(3)</w:t>
            </w:r>
            <w:r>
              <w:rPr>
                <w:rFonts w:ascii="Calibri" w:eastAsia="Times New Roman" w:hAnsi="Calibri" w:cstheme="minorHAnsi"/>
                <w:color w:val="000000"/>
                <w:sz w:val="18"/>
                <w:szCs w:val="18"/>
                <w:lang w:eastAsia="fr-FR"/>
              </w:rPr>
              <w:fldChar w:fldCharType="end"/>
            </w:r>
          </w:p>
        </w:tc>
      </w:tr>
      <w:tr w:rsidR="00590703" w:rsidRPr="00DC5D76" w14:paraId="2B8F1355" w14:textId="77777777" w:rsidTr="007F1961">
        <w:trPr>
          <w:cantSplit/>
          <w:trHeight w:val="1134"/>
        </w:trPr>
        <w:tc>
          <w:tcPr>
            <w:tcW w:w="1408" w:type="dxa"/>
            <w:vMerge/>
            <w:tcBorders>
              <w:left w:val="single" w:sz="4" w:space="0" w:color="auto"/>
              <w:bottom w:val="single" w:sz="4" w:space="0" w:color="auto"/>
            </w:tcBorders>
            <w:shd w:val="clear" w:color="auto" w:fill="auto"/>
            <w:textDirection w:val="btLr"/>
            <w:vAlign w:val="center"/>
          </w:tcPr>
          <w:p w14:paraId="62C0BB1A" w14:textId="77777777" w:rsidR="00590703" w:rsidRPr="00912134" w:rsidRDefault="00590703" w:rsidP="00590703">
            <w:pPr>
              <w:spacing w:after="0" w:line="240" w:lineRule="auto"/>
              <w:ind w:left="113" w:right="113"/>
              <w:jc w:val="center"/>
              <w:rPr>
                <w:rFonts w:ascii="Calibri" w:eastAsia="Times New Roman" w:hAnsi="Calibri" w:cstheme="minorHAnsi"/>
                <w:color w:val="000000"/>
                <w:sz w:val="18"/>
                <w:szCs w:val="18"/>
                <w:lang w:eastAsia="fr-FR"/>
              </w:rPr>
            </w:pPr>
          </w:p>
        </w:tc>
        <w:tc>
          <w:tcPr>
            <w:tcW w:w="1276" w:type="dxa"/>
            <w:vMerge/>
            <w:tcBorders>
              <w:bottom w:val="single" w:sz="4" w:space="0" w:color="auto"/>
            </w:tcBorders>
            <w:shd w:val="clear" w:color="auto" w:fill="auto"/>
            <w:textDirection w:val="btLr"/>
            <w:vAlign w:val="center"/>
          </w:tcPr>
          <w:p w14:paraId="16D6CC2F" w14:textId="77777777" w:rsidR="00590703" w:rsidRPr="00912134" w:rsidRDefault="00590703" w:rsidP="00590703">
            <w:pPr>
              <w:spacing w:after="0" w:line="240" w:lineRule="auto"/>
              <w:ind w:left="113" w:right="113"/>
              <w:jc w:val="center"/>
              <w:rPr>
                <w:rFonts w:ascii="Calibri" w:eastAsia="Times New Roman" w:hAnsi="Calibri" w:cstheme="minorHAnsi"/>
                <w:color w:val="000000"/>
                <w:sz w:val="18"/>
                <w:szCs w:val="18"/>
                <w:lang w:eastAsia="fr-FR"/>
              </w:rPr>
            </w:pPr>
          </w:p>
        </w:tc>
        <w:tc>
          <w:tcPr>
            <w:tcW w:w="1275" w:type="dxa"/>
            <w:vMerge/>
            <w:tcBorders>
              <w:bottom w:val="single" w:sz="4" w:space="0" w:color="auto"/>
            </w:tcBorders>
            <w:shd w:val="clear" w:color="auto" w:fill="auto"/>
            <w:textDirection w:val="btLr"/>
            <w:vAlign w:val="center"/>
          </w:tcPr>
          <w:p w14:paraId="4963E497" w14:textId="77777777" w:rsidR="00590703" w:rsidRPr="00912134" w:rsidRDefault="00590703" w:rsidP="00590703">
            <w:pPr>
              <w:spacing w:after="0" w:line="240" w:lineRule="auto"/>
              <w:ind w:left="113" w:right="113"/>
              <w:jc w:val="center"/>
              <w:rPr>
                <w:rFonts w:ascii="Calibri" w:eastAsia="Times New Roman" w:hAnsi="Calibri" w:cstheme="minorHAnsi"/>
                <w:color w:val="000000"/>
                <w:sz w:val="18"/>
                <w:szCs w:val="18"/>
                <w:lang w:eastAsia="fr-FR"/>
              </w:rPr>
            </w:pPr>
          </w:p>
        </w:tc>
        <w:tc>
          <w:tcPr>
            <w:tcW w:w="1668" w:type="dxa"/>
            <w:tcBorders>
              <w:top w:val="single" w:sz="4" w:space="0" w:color="auto"/>
            </w:tcBorders>
            <w:shd w:val="clear" w:color="auto" w:fill="auto"/>
            <w:vAlign w:val="center"/>
          </w:tcPr>
          <w:p w14:paraId="18455391" w14:textId="77777777" w:rsidR="00590703" w:rsidRPr="00183E88" w:rsidRDefault="00590703" w:rsidP="007F1961">
            <w:pPr>
              <w:jc w:val="center"/>
              <w:rPr>
                <w:rFonts w:eastAsia="Times New Roman" w:cstheme="minorHAnsi"/>
                <w:color w:val="000000"/>
                <w:sz w:val="18"/>
                <w:szCs w:val="18"/>
                <w:lang w:eastAsia="fr-FR"/>
              </w:rPr>
            </w:pPr>
            <w:r w:rsidRPr="00183E88">
              <w:rPr>
                <w:rFonts w:eastAsia="Times New Roman" w:cstheme="minorHAnsi"/>
                <w:color w:val="000000"/>
                <w:sz w:val="18"/>
                <w:szCs w:val="18"/>
                <w:lang w:eastAsia="fr-FR"/>
              </w:rPr>
              <w:t>Histopathological Examination</w:t>
            </w:r>
          </w:p>
        </w:tc>
        <w:tc>
          <w:tcPr>
            <w:tcW w:w="1703" w:type="dxa"/>
            <w:tcBorders>
              <w:top w:val="single" w:sz="4" w:space="0" w:color="auto"/>
            </w:tcBorders>
            <w:shd w:val="clear" w:color="auto" w:fill="auto"/>
            <w:vAlign w:val="center"/>
          </w:tcPr>
          <w:p w14:paraId="36A3ABEE" w14:textId="77777777" w:rsidR="00590703" w:rsidRPr="00183E88" w:rsidRDefault="00590703" w:rsidP="007F1961">
            <w:pPr>
              <w:spacing w:after="0" w:line="240" w:lineRule="auto"/>
              <w:jc w:val="center"/>
              <w:rPr>
                <w:rFonts w:eastAsia="Times New Roman" w:cstheme="minorHAnsi"/>
                <w:color w:val="000000"/>
                <w:sz w:val="18"/>
                <w:szCs w:val="18"/>
                <w:lang w:eastAsia="fr-FR"/>
              </w:rPr>
            </w:pPr>
            <w:r w:rsidRPr="00183E88">
              <w:rPr>
                <w:rFonts w:eastAsia="Times New Roman" w:cstheme="minorHAnsi"/>
                <w:color w:val="000000"/>
                <w:sz w:val="18"/>
                <w:szCs w:val="18"/>
                <w:lang w:eastAsia="fr-FR"/>
              </w:rPr>
              <w:t>Testis and Seminiferous tubules</w:t>
            </w:r>
          </w:p>
        </w:tc>
        <w:tc>
          <w:tcPr>
            <w:tcW w:w="2010" w:type="dxa"/>
            <w:tcBorders>
              <w:top w:val="single" w:sz="4" w:space="0" w:color="auto"/>
            </w:tcBorders>
            <w:shd w:val="clear" w:color="auto" w:fill="auto"/>
            <w:vAlign w:val="center"/>
          </w:tcPr>
          <w:p w14:paraId="4007A386" w14:textId="77777777" w:rsidR="00590703" w:rsidRPr="00AF6261" w:rsidRDefault="00590703" w:rsidP="007F1961">
            <w:pPr>
              <w:spacing w:after="0" w:line="240" w:lineRule="auto"/>
              <w:jc w:val="center"/>
              <w:rPr>
                <w:rFonts w:cstheme="minorHAnsi"/>
                <w:sz w:val="18"/>
                <w:szCs w:val="18"/>
                <w:lang w:val="en-US"/>
              </w:rPr>
            </w:pPr>
            <w:r w:rsidRPr="00AF6261">
              <w:rPr>
                <w:rFonts w:cstheme="minorHAnsi"/>
                <w:sz w:val="18"/>
                <w:szCs w:val="18"/>
                <w:lang w:val="en-US"/>
              </w:rPr>
              <w:t>Changed seminiferous tubules diameters in the testis, apoptotic cells in testes</w:t>
            </w:r>
          </w:p>
        </w:tc>
        <w:tc>
          <w:tcPr>
            <w:tcW w:w="2273" w:type="dxa"/>
            <w:tcBorders>
              <w:top w:val="single" w:sz="4" w:space="0" w:color="auto"/>
            </w:tcBorders>
            <w:vAlign w:val="center"/>
          </w:tcPr>
          <w:p w14:paraId="00193243" w14:textId="77777777" w:rsidR="00590703" w:rsidRPr="000270BA" w:rsidRDefault="00590703"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Testicular atrophy</w:t>
            </w:r>
          </w:p>
          <w:p w14:paraId="61A9DB00" w14:textId="77777777" w:rsidR="00590703" w:rsidRPr="000270BA" w:rsidRDefault="00590703"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tcBorders>
            <w:shd w:val="clear" w:color="auto" w:fill="auto"/>
            <w:vAlign w:val="center"/>
          </w:tcPr>
          <w:p w14:paraId="4C4384B7" w14:textId="77777777" w:rsidR="00590703" w:rsidRPr="000270BA" w:rsidRDefault="00590703"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55472F4E" w14:textId="77777777" w:rsidR="00590703" w:rsidRPr="000270BA" w:rsidRDefault="00590703"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tcBorders>
              <w:left w:val="nil"/>
              <w:right w:val="single" w:sz="8" w:space="0" w:color="auto"/>
            </w:tcBorders>
            <w:shd w:val="clear" w:color="auto" w:fill="auto"/>
          </w:tcPr>
          <w:p w14:paraId="26EEA079" w14:textId="77777777" w:rsidR="00590703" w:rsidRPr="00AF6261" w:rsidRDefault="00590703" w:rsidP="007F3FC3">
            <w:pPr>
              <w:spacing w:after="0" w:line="240" w:lineRule="auto"/>
              <w:jc w:val="center"/>
              <w:rPr>
                <w:rFonts w:ascii="Calibri" w:eastAsia="Times New Roman" w:hAnsi="Calibri" w:cstheme="minorHAnsi"/>
                <w:color w:val="000000"/>
                <w:sz w:val="18"/>
                <w:szCs w:val="18"/>
                <w:lang w:val="en-US" w:eastAsia="fr-FR"/>
              </w:rPr>
            </w:pPr>
          </w:p>
        </w:tc>
      </w:tr>
      <w:tr w:rsidR="001C5AC4" w:rsidRPr="00912134" w14:paraId="02E50602" w14:textId="77777777" w:rsidTr="007F1961">
        <w:trPr>
          <w:trHeight w:val="195"/>
        </w:trPr>
        <w:tc>
          <w:tcPr>
            <w:tcW w:w="1408" w:type="dxa"/>
            <w:vMerge w:val="restart"/>
            <w:tcBorders>
              <w:top w:val="single" w:sz="4" w:space="0" w:color="auto"/>
              <w:left w:val="single" w:sz="4" w:space="0" w:color="auto"/>
            </w:tcBorders>
            <w:shd w:val="clear" w:color="auto" w:fill="auto"/>
            <w:textDirection w:val="btLr"/>
            <w:vAlign w:val="center"/>
          </w:tcPr>
          <w:p w14:paraId="2B4C773B" w14:textId="77777777" w:rsidR="001C5AC4" w:rsidRPr="00912134" w:rsidRDefault="001C5AC4" w:rsidP="001C5AC4">
            <w:pPr>
              <w:ind w:left="113" w:right="113"/>
              <w:jc w:val="center"/>
              <w:rPr>
                <w:rFonts w:ascii="Calibri" w:hAnsi="Calibri" w:cstheme="minorHAnsi"/>
                <w:color w:val="000000"/>
                <w:sz w:val="18"/>
                <w:szCs w:val="18"/>
              </w:rPr>
            </w:pPr>
            <w:r w:rsidRPr="00912134">
              <w:rPr>
                <w:rFonts w:ascii="Calibri" w:hAnsi="Calibri" w:cstheme="minorHAnsi"/>
                <w:color w:val="000000"/>
                <w:sz w:val="18"/>
                <w:szCs w:val="18"/>
              </w:rPr>
              <w:t>Size:32 nm</w:t>
            </w:r>
          </w:p>
        </w:tc>
        <w:tc>
          <w:tcPr>
            <w:tcW w:w="1276" w:type="dxa"/>
            <w:vMerge w:val="restart"/>
            <w:tcBorders>
              <w:top w:val="single" w:sz="4" w:space="0" w:color="auto"/>
            </w:tcBorders>
            <w:shd w:val="clear" w:color="auto" w:fill="auto"/>
            <w:textDirection w:val="btLr"/>
            <w:vAlign w:val="center"/>
          </w:tcPr>
          <w:p w14:paraId="2F86E2AF" w14:textId="77777777" w:rsidR="001C5AC4" w:rsidRPr="00AF6261" w:rsidRDefault="001C5AC4" w:rsidP="001C5AC4">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Male Balb/c mice (n :45, 5–6 weeks old) , Oral gavage</w:t>
            </w:r>
          </w:p>
        </w:tc>
        <w:tc>
          <w:tcPr>
            <w:tcW w:w="1275" w:type="dxa"/>
            <w:vMerge w:val="restart"/>
            <w:tcBorders>
              <w:top w:val="single" w:sz="4" w:space="0" w:color="auto"/>
            </w:tcBorders>
            <w:shd w:val="clear" w:color="auto" w:fill="auto"/>
            <w:textDirection w:val="btLr"/>
            <w:vAlign w:val="center"/>
          </w:tcPr>
          <w:p w14:paraId="64B31BA7" w14:textId="77777777" w:rsidR="001C5AC4" w:rsidRPr="00AF6261" w:rsidRDefault="001C5AC4" w:rsidP="001C5AC4">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30 or 125 mg/kg bw , 3months (everyday)</w:t>
            </w:r>
          </w:p>
        </w:tc>
        <w:tc>
          <w:tcPr>
            <w:tcW w:w="1668" w:type="dxa"/>
            <w:tcBorders>
              <w:top w:val="single" w:sz="4" w:space="0" w:color="auto"/>
              <w:bottom w:val="single" w:sz="4" w:space="0" w:color="auto"/>
            </w:tcBorders>
            <w:shd w:val="clear" w:color="auto" w:fill="auto"/>
            <w:vAlign w:val="center"/>
          </w:tcPr>
          <w:p w14:paraId="4638CBD4" w14:textId="77777777" w:rsidR="001C5AC4" w:rsidRPr="00912134" w:rsidRDefault="001C5AC4" w:rsidP="007F1961">
            <w:pPr>
              <w:jc w:val="center"/>
              <w:rPr>
                <w:rFonts w:ascii="Calibri" w:hAnsi="Calibri" w:cstheme="minorHAnsi"/>
                <w:color w:val="000000"/>
                <w:sz w:val="18"/>
                <w:szCs w:val="18"/>
              </w:rPr>
            </w:pPr>
            <w:r w:rsidRPr="00912134">
              <w:rPr>
                <w:rFonts w:ascii="Calibri" w:hAnsi="Calibri" w:cstheme="minorHAnsi"/>
                <w:color w:val="000000"/>
                <w:sz w:val="18"/>
                <w:szCs w:val="18"/>
              </w:rPr>
              <w:t>S</w:t>
            </w:r>
            <w:r>
              <w:rPr>
                <w:rFonts w:ascii="Calibri" w:hAnsi="Calibri" w:cstheme="minorHAnsi"/>
                <w:color w:val="000000"/>
                <w:sz w:val="18"/>
                <w:szCs w:val="18"/>
              </w:rPr>
              <w:t>perm Evaluation</w:t>
            </w:r>
          </w:p>
        </w:tc>
        <w:tc>
          <w:tcPr>
            <w:tcW w:w="1703" w:type="dxa"/>
            <w:tcBorders>
              <w:top w:val="single" w:sz="4" w:space="0" w:color="auto"/>
              <w:bottom w:val="single" w:sz="4" w:space="0" w:color="auto"/>
            </w:tcBorders>
            <w:shd w:val="clear" w:color="auto" w:fill="auto"/>
            <w:vAlign w:val="center"/>
          </w:tcPr>
          <w:p w14:paraId="0BF06F04" w14:textId="77777777" w:rsidR="001C5AC4" w:rsidRPr="00912134" w:rsidRDefault="001C5AC4" w:rsidP="007F1961">
            <w:pPr>
              <w:jc w:val="center"/>
              <w:rPr>
                <w:rFonts w:ascii="Calibri" w:hAnsi="Calibri" w:cstheme="minorHAnsi"/>
                <w:color w:val="000000"/>
                <w:sz w:val="18"/>
                <w:szCs w:val="18"/>
              </w:rPr>
            </w:pPr>
            <w:r w:rsidRPr="00912134">
              <w:rPr>
                <w:rFonts w:ascii="Calibri" w:hAnsi="Calibri" w:cstheme="minorHAnsi"/>
                <w:color w:val="000000"/>
                <w:sz w:val="18"/>
                <w:szCs w:val="18"/>
              </w:rPr>
              <w:t>S</w:t>
            </w:r>
            <w:r>
              <w:rPr>
                <w:rFonts w:ascii="Calibri" w:hAnsi="Calibri" w:cstheme="minorHAnsi"/>
                <w:color w:val="000000"/>
                <w:sz w:val="18"/>
                <w:szCs w:val="18"/>
              </w:rPr>
              <w:t>perm m</w:t>
            </w:r>
            <w:r w:rsidRPr="00912134">
              <w:rPr>
                <w:rFonts w:ascii="Calibri" w:hAnsi="Calibri" w:cstheme="minorHAnsi"/>
                <w:color w:val="000000"/>
                <w:sz w:val="18"/>
                <w:szCs w:val="18"/>
              </w:rPr>
              <w:t>otility,</w:t>
            </w:r>
            <w:r>
              <w:rPr>
                <w:rFonts w:ascii="Calibri" w:hAnsi="Calibri" w:cstheme="minorHAnsi"/>
                <w:color w:val="000000"/>
                <w:sz w:val="18"/>
                <w:szCs w:val="18"/>
              </w:rPr>
              <w:t xml:space="preserve"> and</w:t>
            </w:r>
            <w:r w:rsidRPr="00912134">
              <w:rPr>
                <w:rFonts w:ascii="Calibri" w:hAnsi="Calibri" w:cstheme="minorHAnsi"/>
                <w:color w:val="000000"/>
                <w:sz w:val="18"/>
                <w:szCs w:val="18"/>
              </w:rPr>
              <w:t xml:space="preserve"> Concentration</w:t>
            </w:r>
          </w:p>
        </w:tc>
        <w:tc>
          <w:tcPr>
            <w:tcW w:w="2010" w:type="dxa"/>
            <w:tcBorders>
              <w:top w:val="single" w:sz="4" w:space="0" w:color="auto"/>
              <w:bottom w:val="single" w:sz="4" w:space="0" w:color="auto"/>
            </w:tcBorders>
            <w:shd w:val="clear" w:color="auto" w:fill="auto"/>
            <w:vAlign w:val="center"/>
          </w:tcPr>
          <w:p w14:paraId="21DFAE9E" w14:textId="77777777" w:rsidR="001C5AC4" w:rsidRPr="00AF6261" w:rsidRDefault="001C5AC4"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Decrease sperm concentrations, and motility (125mg/kg)</w:t>
            </w:r>
          </w:p>
        </w:tc>
        <w:tc>
          <w:tcPr>
            <w:tcW w:w="2273" w:type="dxa"/>
            <w:tcBorders>
              <w:top w:val="single" w:sz="4" w:space="0" w:color="auto"/>
              <w:bottom w:val="single" w:sz="4" w:space="0" w:color="auto"/>
            </w:tcBorders>
            <w:vAlign w:val="center"/>
          </w:tcPr>
          <w:p w14:paraId="1D3AA5CA" w14:textId="77777777" w:rsidR="001C5AC4" w:rsidRPr="00AF6261" w:rsidRDefault="001C5AC4" w:rsidP="007F1961">
            <w:pPr>
              <w:spacing w:after="0" w:line="240" w:lineRule="auto"/>
              <w:jc w:val="center"/>
              <w:rPr>
                <w:rFonts w:ascii="Calibri" w:eastAsia="Times New Roman" w:hAnsi="Calibri" w:cstheme="minorHAnsi"/>
                <w:b/>
                <w:sz w:val="18"/>
                <w:szCs w:val="18"/>
                <w:lang w:val="en-US" w:eastAsia="fr-FR"/>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6DF6E74F" w14:textId="31928C36" w:rsidR="001C5AC4" w:rsidRPr="000270BA" w:rsidRDefault="001C5AC4"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Impaired fertility</w:t>
            </w:r>
          </w:p>
          <w:p w14:paraId="3414B2FE" w14:textId="77777777" w:rsidR="001C5AC4" w:rsidRPr="000D750E" w:rsidRDefault="001C5AC4" w:rsidP="007F1961">
            <w:pPr>
              <w:spacing w:after="0" w:line="240" w:lineRule="auto"/>
              <w:jc w:val="center"/>
              <w:rPr>
                <w:rFonts w:ascii="Calibri" w:eastAsia="Times New Roman" w:hAnsi="Calibri" w:cstheme="minorHAnsi"/>
                <w:b/>
                <w:sz w:val="18"/>
                <w:szCs w:val="18"/>
                <w:lang w:eastAsia="fr-FR"/>
              </w:rPr>
            </w:pPr>
            <w:r w:rsidRPr="000270BA">
              <w:rPr>
                <w:rFonts w:eastAsia="Times New Roman" w:cstheme="minorHAnsi"/>
                <w:sz w:val="18"/>
                <w:szCs w:val="18"/>
                <w:lang w:eastAsia="fr-FR"/>
              </w:rPr>
              <w:t>(ID330 , ID406)</w:t>
            </w:r>
          </w:p>
        </w:tc>
        <w:tc>
          <w:tcPr>
            <w:tcW w:w="851" w:type="dxa"/>
            <w:vMerge w:val="restart"/>
            <w:tcBorders>
              <w:top w:val="single" w:sz="4" w:space="0" w:color="auto"/>
              <w:left w:val="nil"/>
              <w:right w:val="single" w:sz="8" w:space="0" w:color="auto"/>
            </w:tcBorders>
            <w:vAlign w:val="center"/>
          </w:tcPr>
          <w:p w14:paraId="19238654" w14:textId="7232770F" w:rsidR="001C5AC4" w:rsidRPr="00912134" w:rsidRDefault="001C5AC4" w:rsidP="007F3FC3">
            <w:pPr>
              <w:jc w:val="center"/>
              <w:rPr>
                <w:rFonts w:ascii="Calibri" w:hAnsi="Calibri" w:cstheme="minorHAnsi"/>
                <w:color w:val="000000"/>
                <w:sz w:val="18"/>
                <w:szCs w:val="18"/>
              </w:rPr>
            </w:pPr>
            <w:r w:rsidRPr="00912134">
              <w:rPr>
                <w:rFonts w:ascii="Calibri" w:hAnsi="Calibri" w:cstheme="minorHAnsi"/>
                <w:color w:val="000000"/>
                <w:sz w:val="18"/>
                <w:szCs w:val="18"/>
              </w:rPr>
              <w:fldChar w:fldCharType="begin" w:fldLock="1"/>
            </w:r>
            <w:r w:rsidR="007F3FC3">
              <w:rPr>
                <w:rFonts w:ascii="Calibri" w:hAnsi="Calibri" w:cstheme="minorHAnsi"/>
                <w:color w:val="000000"/>
                <w:sz w:val="18"/>
                <w:szCs w:val="18"/>
              </w:rPr>
              <w:instrText>ADDIN CSL_CITATION {"citationItems":[{"id":"ITEM-1","itemData":{"DOI":"10.1111/and.13841","ISSN":"14390272","PMID":"33167059","abstract":"Silver nanoparticles (AgNPs) have become one of the most common nanomaterials in various commercial products; however, its potential toxicity to the male reproductive system and the possible mechanisms remains unknown. Our study aimed to investigate the toxicity of silver nanoparticle (AgNPs) in the testis and to elucidate its possible mechanisms. We exposed 6-week-old Balb/c male mice to AgNP daily [0 (control), 30 or 125 mg/kg BW] for 90 days. The histological structure, sperm production and levels of reproductive hormones were assessed; we also observed apoptotic cell nuclei and the ultrastructural characteristics of the testis. Microarray analyses were used to identify differentially expressed genes, and dysregulated apoptosis-related genes and protein were also analysed. Our results indicated that 125 mg/kg AgNP changed testis morphology and decreased sperm production. AgNP treatment also increased apoptosis of germ cells and induced the presence of swollen or dissolved mitochondria in the testis. Microarray analysis showed the expression of 383 genes was altered by AgNP treatment, with apoptosis-related genes showing the greatest changes. Furthermore, we verified dysregulated apoptosis-related genes and proteins (caspase3 and Myc). These results demonstrated that AgNP induced changes of testis morphology, sperm production and apoptosis-related genes, suggested this process maybe associated with apoptosis.","author":[{"dropping-particle":"","family":"Wang","given":"Enyin","non-dropping-particle":"","parse-names":false,"suffix":""},{"dropping-particle":"","family":"Huang","given":"Yan","non-dropping-particle":"","parse-names":false,"suffix":""},{"dropping-particle":"","family":"Du","given":"Qingyun","non-dropping-particle":"","parse-names":false,"suffix":""},{"dropping-particle":"","family":"Sun","given":"Yingpu","non-dropping-particle":"","parse-names":false,"suffix":""}],"container-title":"Andrologia","id":"ITEM-1","issue":"1","issued":{"date-parts":[["2021"]]},"page":"1-9","title":"Alterations in reproductive parameters and gene expression in Balb/c mice testes after exposure to silver nanoparticles","type":"article-journal","volume":"53"},"uris":["http://www.mendeley.com/documents/?uuid=a2edf9d5-ff96-4074-aa2f-d85bf18206f1"]}],"mendeley":{"formattedCitation":"(4)","plainTextFormattedCitation":"(4)","previouslyFormattedCitation":"(Wang et al. 2021)"},"properties":{"noteIndex":0},"schema":"https://github.com/citation-style-language/schema/raw/master/csl-citation.json"}</w:instrText>
            </w:r>
            <w:r w:rsidRPr="00912134">
              <w:rPr>
                <w:rFonts w:ascii="Calibri" w:hAnsi="Calibri" w:cstheme="minorHAnsi"/>
                <w:color w:val="000000"/>
                <w:sz w:val="18"/>
                <w:szCs w:val="18"/>
              </w:rPr>
              <w:fldChar w:fldCharType="separate"/>
            </w:r>
            <w:r w:rsidR="007F3FC3" w:rsidRPr="007F3FC3">
              <w:rPr>
                <w:rFonts w:ascii="Calibri" w:hAnsi="Calibri" w:cstheme="minorHAnsi"/>
                <w:noProof/>
                <w:color w:val="000000"/>
                <w:sz w:val="18"/>
                <w:szCs w:val="18"/>
              </w:rPr>
              <w:t>(4)</w:t>
            </w:r>
            <w:r w:rsidRPr="00912134">
              <w:rPr>
                <w:rFonts w:ascii="Calibri" w:hAnsi="Calibri" w:cstheme="minorHAnsi"/>
                <w:color w:val="000000"/>
                <w:sz w:val="18"/>
                <w:szCs w:val="18"/>
              </w:rPr>
              <w:fldChar w:fldCharType="end"/>
            </w:r>
          </w:p>
        </w:tc>
      </w:tr>
      <w:tr w:rsidR="001C5AC4" w:rsidRPr="00912134" w14:paraId="2377C277" w14:textId="77777777" w:rsidTr="007F1961">
        <w:trPr>
          <w:trHeight w:val="195"/>
        </w:trPr>
        <w:tc>
          <w:tcPr>
            <w:tcW w:w="1408" w:type="dxa"/>
            <w:vMerge/>
            <w:tcBorders>
              <w:left w:val="single" w:sz="4" w:space="0" w:color="auto"/>
            </w:tcBorders>
            <w:shd w:val="clear" w:color="auto" w:fill="auto"/>
            <w:textDirection w:val="btLr"/>
            <w:vAlign w:val="center"/>
          </w:tcPr>
          <w:p w14:paraId="272424C3" w14:textId="77777777" w:rsidR="001C5AC4" w:rsidRPr="00912134" w:rsidRDefault="001C5AC4" w:rsidP="001C5AC4">
            <w:pPr>
              <w:ind w:left="113" w:right="113"/>
              <w:jc w:val="center"/>
              <w:rPr>
                <w:rFonts w:ascii="Calibri" w:hAnsi="Calibri" w:cstheme="minorHAnsi"/>
                <w:color w:val="000000"/>
                <w:sz w:val="18"/>
                <w:szCs w:val="18"/>
              </w:rPr>
            </w:pPr>
          </w:p>
        </w:tc>
        <w:tc>
          <w:tcPr>
            <w:tcW w:w="1276" w:type="dxa"/>
            <w:vMerge/>
            <w:shd w:val="clear" w:color="auto" w:fill="auto"/>
            <w:textDirection w:val="btLr"/>
            <w:vAlign w:val="center"/>
          </w:tcPr>
          <w:p w14:paraId="30A322DC" w14:textId="77777777" w:rsidR="001C5AC4" w:rsidRPr="00912134" w:rsidRDefault="001C5AC4" w:rsidP="001C5AC4">
            <w:pPr>
              <w:ind w:left="113" w:right="113"/>
              <w:jc w:val="center"/>
              <w:rPr>
                <w:rFonts w:ascii="Calibri" w:hAnsi="Calibri" w:cstheme="minorHAnsi"/>
                <w:color w:val="000000"/>
                <w:sz w:val="18"/>
                <w:szCs w:val="18"/>
              </w:rPr>
            </w:pPr>
          </w:p>
        </w:tc>
        <w:tc>
          <w:tcPr>
            <w:tcW w:w="1275" w:type="dxa"/>
            <w:vMerge/>
            <w:shd w:val="clear" w:color="auto" w:fill="auto"/>
            <w:textDirection w:val="btLr"/>
            <w:vAlign w:val="center"/>
          </w:tcPr>
          <w:p w14:paraId="7D7D307A" w14:textId="77777777" w:rsidR="001C5AC4" w:rsidRPr="00912134" w:rsidRDefault="001C5AC4" w:rsidP="001C5AC4">
            <w:pPr>
              <w:ind w:left="113" w:right="113"/>
              <w:jc w:val="center"/>
              <w:rPr>
                <w:rFonts w:ascii="Calibri" w:hAnsi="Calibri" w:cstheme="minorHAnsi"/>
                <w:color w:val="000000"/>
                <w:sz w:val="18"/>
                <w:szCs w:val="18"/>
              </w:rPr>
            </w:pPr>
          </w:p>
        </w:tc>
        <w:tc>
          <w:tcPr>
            <w:tcW w:w="1668" w:type="dxa"/>
            <w:tcBorders>
              <w:top w:val="single" w:sz="4" w:space="0" w:color="auto"/>
              <w:bottom w:val="single" w:sz="4" w:space="0" w:color="auto"/>
            </w:tcBorders>
            <w:shd w:val="clear" w:color="auto" w:fill="auto"/>
            <w:vAlign w:val="center"/>
          </w:tcPr>
          <w:p w14:paraId="46B9C15D" w14:textId="5E19B0AF" w:rsidR="001C5AC4" w:rsidRPr="00912134" w:rsidRDefault="001C5AC4" w:rsidP="007F1961">
            <w:pPr>
              <w:jc w:val="center"/>
              <w:rPr>
                <w:rFonts w:ascii="Calibri" w:hAnsi="Calibri" w:cstheme="minorHAnsi"/>
                <w:color w:val="000000"/>
                <w:sz w:val="18"/>
                <w:szCs w:val="18"/>
              </w:rPr>
            </w:pPr>
            <w:r w:rsidRPr="00912134">
              <w:rPr>
                <w:rFonts w:ascii="Calibri" w:hAnsi="Calibri" w:cstheme="minorHAnsi"/>
                <w:color w:val="000000"/>
                <w:sz w:val="18"/>
                <w:szCs w:val="18"/>
              </w:rPr>
              <w:t>Hormonal Assessment</w:t>
            </w:r>
          </w:p>
        </w:tc>
        <w:tc>
          <w:tcPr>
            <w:tcW w:w="1703" w:type="dxa"/>
            <w:tcBorders>
              <w:top w:val="single" w:sz="4" w:space="0" w:color="auto"/>
              <w:bottom w:val="single" w:sz="4" w:space="0" w:color="auto"/>
            </w:tcBorders>
            <w:shd w:val="clear" w:color="auto" w:fill="auto"/>
            <w:vAlign w:val="center"/>
          </w:tcPr>
          <w:p w14:paraId="5F3BEF2A" w14:textId="77777777" w:rsidR="001C5AC4" w:rsidRPr="00AF6261" w:rsidRDefault="001C5AC4"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Serum testosterone, LH and FSH by commercial kits</w:t>
            </w:r>
          </w:p>
        </w:tc>
        <w:tc>
          <w:tcPr>
            <w:tcW w:w="2010" w:type="dxa"/>
            <w:tcBorders>
              <w:top w:val="single" w:sz="4" w:space="0" w:color="auto"/>
              <w:bottom w:val="single" w:sz="4" w:space="0" w:color="auto"/>
            </w:tcBorders>
            <w:shd w:val="clear" w:color="auto" w:fill="auto"/>
            <w:vAlign w:val="center"/>
          </w:tcPr>
          <w:p w14:paraId="19530B0E" w14:textId="77777777" w:rsidR="001C5AC4" w:rsidRPr="00AF6261" w:rsidRDefault="001C5AC4"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No change in hormon levels</w:t>
            </w:r>
          </w:p>
        </w:tc>
        <w:tc>
          <w:tcPr>
            <w:tcW w:w="2273" w:type="dxa"/>
            <w:tcBorders>
              <w:top w:val="single" w:sz="4" w:space="0" w:color="auto"/>
              <w:bottom w:val="single" w:sz="4" w:space="0" w:color="auto"/>
            </w:tcBorders>
            <w:vAlign w:val="center"/>
          </w:tcPr>
          <w:p w14:paraId="21DBE809" w14:textId="77777777" w:rsidR="001C5AC4" w:rsidRPr="00C179C4" w:rsidRDefault="001C5AC4" w:rsidP="007F1961">
            <w:pPr>
              <w:spacing w:after="0" w:line="240" w:lineRule="auto"/>
              <w:jc w:val="center"/>
              <w:rPr>
                <w:rFonts w:ascii="Calibri" w:eastAsia="Times New Roman" w:hAnsi="Calibri" w:cstheme="minorHAnsi"/>
                <w:sz w:val="18"/>
                <w:szCs w:val="18"/>
                <w:lang w:eastAsia="fr-FR"/>
              </w:rPr>
            </w:pPr>
            <w:r w:rsidRPr="00C179C4">
              <w:rPr>
                <w:rFonts w:ascii="Calibri" w:eastAsia="Times New Roman" w:hAnsi="Calibri" w:cstheme="minorHAnsi"/>
                <w:sz w:val="18"/>
                <w:szCs w:val="18"/>
                <w:lang w:eastAsia="fr-FR"/>
              </w:rPr>
              <w:t>-</w:t>
            </w:r>
          </w:p>
        </w:tc>
        <w:tc>
          <w:tcPr>
            <w:tcW w:w="2386" w:type="dxa"/>
            <w:tcBorders>
              <w:top w:val="single" w:sz="4" w:space="0" w:color="auto"/>
              <w:bottom w:val="single" w:sz="4" w:space="0" w:color="auto"/>
            </w:tcBorders>
            <w:shd w:val="clear" w:color="auto" w:fill="auto"/>
            <w:vAlign w:val="center"/>
          </w:tcPr>
          <w:p w14:paraId="0C6173D8" w14:textId="77777777" w:rsidR="001C5AC4" w:rsidRPr="00C179C4" w:rsidRDefault="001C5AC4" w:rsidP="007F1961">
            <w:pPr>
              <w:spacing w:after="0" w:line="240" w:lineRule="auto"/>
              <w:jc w:val="center"/>
              <w:rPr>
                <w:rFonts w:ascii="Calibri" w:eastAsia="Times New Roman" w:hAnsi="Calibri" w:cstheme="minorHAnsi"/>
                <w:sz w:val="18"/>
                <w:szCs w:val="18"/>
                <w:lang w:eastAsia="fr-FR"/>
              </w:rPr>
            </w:pPr>
            <w:r w:rsidRPr="00C179C4">
              <w:rPr>
                <w:rFonts w:ascii="Calibri" w:eastAsia="Times New Roman" w:hAnsi="Calibri" w:cstheme="minorHAnsi"/>
                <w:sz w:val="18"/>
                <w:szCs w:val="18"/>
                <w:lang w:eastAsia="fr-FR"/>
              </w:rPr>
              <w:t>-</w:t>
            </w:r>
          </w:p>
        </w:tc>
        <w:tc>
          <w:tcPr>
            <w:tcW w:w="851" w:type="dxa"/>
            <w:vMerge/>
            <w:tcBorders>
              <w:left w:val="nil"/>
              <w:right w:val="single" w:sz="8" w:space="0" w:color="auto"/>
            </w:tcBorders>
          </w:tcPr>
          <w:p w14:paraId="11A5DF64" w14:textId="77777777" w:rsidR="001C5AC4" w:rsidRPr="00912134" w:rsidRDefault="001C5AC4" w:rsidP="007F3FC3">
            <w:pPr>
              <w:jc w:val="center"/>
              <w:rPr>
                <w:rFonts w:ascii="Calibri" w:hAnsi="Calibri" w:cstheme="minorHAnsi"/>
                <w:color w:val="000000"/>
                <w:sz w:val="18"/>
                <w:szCs w:val="18"/>
              </w:rPr>
            </w:pPr>
          </w:p>
        </w:tc>
      </w:tr>
      <w:tr w:rsidR="001C5AC4" w:rsidRPr="00912134" w14:paraId="36DE8E12" w14:textId="77777777" w:rsidTr="007F1961">
        <w:trPr>
          <w:trHeight w:val="195"/>
        </w:trPr>
        <w:tc>
          <w:tcPr>
            <w:tcW w:w="1408" w:type="dxa"/>
            <w:vMerge/>
            <w:tcBorders>
              <w:left w:val="single" w:sz="4" w:space="0" w:color="auto"/>
            </w:tcBorders>
            <w:shd w:val="clear" w:color="auto" w:fill="auto"/>
            <w:textDirection w:val="btLr"/>
            <w:vAlign w:val="center"/>
          </w:tcPr>
          <w:p w14:paraId="446C1F7B" w14:textId="77777777" w:rsidR="001C5AC4" w:rsidRPr="00912134" w:rsidRDefault="001C5AC4" w:rsidP="001C5AC4">
            <w:pPr>
              <w:ind w:left="113" w:right="113"/>
              <w:jc w:val="center"/>
              <w:rPr>
                <w:rFonts w:ascii="Calibri" w:hAnsi="Calibri" w:cstheme="minorHAnsi"/>
                <w:color w:val="000000"/>
                <w:sz w:val="18"/>
                <w:szCs w:val="18"/>
              </w:rPr>
            </w:pPr>
          </w:p>
        </w:tc>
        <w:tc>
          <w:tcPr>
            <w:tcW w:w="1276" w:type="dxa"/>
            <w:vMerge/>
            <w:shd w:val="clear" w:color="auto" w:fill="auto"/>
            <w:textDirection w:val="btLr"/>
            <w:vAlign w:val="center"/>
          </w:tcPr>
          <w:p w14:paraId="030079C5" w14:textId="77777777" w:rsidR="001C5AC4" w:rsidRPr="00912134" w:rsidRDefault="001C5AC4" w:rsidP="001C5AC4">
            <w:pPr>
              <w:ind w:left="113" w:right="113"/>
              <w:jc w:val="center"/>
              <w:rPr>
                <w:rFonts w:ascii="Calibri" w:hAnsi="Calibri" w:cstheme="minorHAnsi"/>
                <w:color w:val="000000"/>
                <w:sz w:val="18"/>
                <w:szCs w:val="18"/>
              </w:rPr>
            </w:pPr>
          </w:p>
        </w:tc>
        <w:tc>
          <w:tcPr>
            <w:tcW w:w="1275" w:type="dxa"/>
            <w:vMerge/>
            <w:shd w:val="clear" w:color="auto" w:fill="auto"/>
            <w:textDirection w:val="btLr"/>
            <w:vAlign w:val="center"/>
          </w:tcPr>
          <w:p w14:paraId="444C2400" w14:textId="77777777" w:rsidR="001C5AC4" w:rsidRPr="00912134" w:rsidRDefault="001C5AC4" w:rsidP="001C5AC4">
            <w:pPr>
              <w:ind w:left="113" w:right="113"/>
              <w:jc w:val="center"/>
              <w:rPr>
                <w:rFonts w:ascii="Calibri" w:hAnsi="Calibri" w:cstheme="minorHAnsi"/>
                <w:color w:val="000000"/>
                <w:sz w:val="18"/>
                <w:szCs w:val="18"/>
              </w:rPr>
            </w:pPr>
          </w:p>
        </w:tc>
        <w:tc>
          <w:tcPr>
            <w:tcW w:w="1668" w:type="dxa"/>
            <w:vMerge w:val="restart"/>
            <w:tcBorders>
              <w:top w:val="single" w:sz="4" w:space="0" w:color="auto"/>
            </w:tcBorders>
            <w:shd w:val="clear" w:color="auto" w:fill="auto"/>
            <w:vAlign w:val="center"/>
          </w:tcPr>
          <w:p w14:paraId="380DFF00" w14:textId="77777777" w:rsidR="001C5AC4" w:rsidRPr="00912134" w:rsidRDefault="001C5AC4" w:rsidP="007F1961">
            <w:pPr>
              <w:jc w:val="center"/>
              <w:rPr>
                <w:rFonts w:ascii="Calibri" w:hAnsi="Calibri" w:cstheme="minorHAnsi"/>
                <w:color w:val="000000"/>
                <w:sz w:val="18"/>
                <w:szCs w:val="18"/>
              </w:rPr>
            </w:pPr>
            <w:r w:rsidRPr="00912134">
              <w:rPr>
                <w:rFonts w:ascii="Calibri" w:hAnsi="Calibri" w:cstheme="minorHAnsi"/>
                <w:color w:val="000000"/>
                <w:sz w:val="18"/>
                <w:szCs w:val="18"/>
              </w:rPr>
              <w:t>Apoptosis</w:t>
            </w:r>
          </w:p>
        </w:tc>
        <w:tc>
          <w:tcPr>
            <w:tcW w:w="1703" w:type="dxa"/>
            <w:tcBorders>
              <w:top w:val="single" w:sz="4" w:space="0" w:color="auto"/>
              <w:bottom w:val="single" w:sz="4" w:space="0" w:color="auto"/>
            </w:tcBorders>
            <w:shd w:val="clear" w:color="auto" w:fill="auto"/>
            <w:vAlign w:val="center"/>
          </w:tcPr>
          <w:p w14:paraId="0BFC7C2B" w14:textId="77777777" w:rsidR="001C5AC4" w:rsidRPr="00AF6261" w:rsidRDefault="001C5AC4" w:rsidP="007F1961">
            <w:pPr>
              <w:jc w:val="center"/>
              <w:rPr>
                <w:rFonts w:cstheme="minorHAnsi"/>
                <w:sz w:val="18"/>
                <w:szCs w:val="18"/>
                <w:lang w:val="en-US"/>
              </w:rPr>
            </w:pPr>
            <w:r w:rsidRPr="00AF6261">
              <w:rPr>
                <w:rFonts w:cstheme="minorHAnsi"/>
                <w:sz w:val="18"/>
                <w:szCs w:val="18"/>
                <w:lang w:val="en-US"/>
              </w:rPr>
              <w:t xml:space="preserve">Apoptosis-related gene, oxidative stress, p53 signalling pathway by </w:t>
            </w:r>
            <w:r w:rsidRPr="00AF6261">
              <w:rPr>
                <w:rFonts w:cstheme="minorHAnsi"/>
                <w:bCs/>
                <w:sz w:val="18"/>
                <w:szCs w:val="18"/>
                <w:lang w:val="en-US"/>
              </w:rPr>
              <w:t>qRT-PCR</w:t>
            </w:r>
          </w:p>
        </w:tc>
        <w:tc>
          <w:tcPr>
            <w:tcW w:w="2010" w:type="dxa"/>
            <w:tcBorders>
              <w:top w:val="single" w:sz="4" w:space="0" w:color="auto"/>
              <w:bottom w:val="single" w:sz="4" w:space="0" w:color="auto"/>
            </w:tcBorders>
            <w:shd w:val="clear" w:color="auto" w:fill="auto"/>
            <w:vAlign w:val="center"/>
          </w:tcPr>
          <w:p w14:paraId="703436F0" w14:textId="77777777" w:rsidR="001C5AC4" w:rsidRPr="00AF6261" w:rsidRDefault="001C5AC4" w:rsidP="007F1961">
            <w:pPr>
              <w:autoSpaceDE w:val="0"/>
              <w:autoSpaceDN w:val="0"/>
              <w:adjustRightInd w:val="0"/>
              <w:spacing w:after="0" w:line="240" w:lineRule="auto"/>
              <w:jc w:val="center"/>
              <w:rPr>
                <w:rFonts w:cstheme="minorHAnsi"/>
                <w:sz w:val="18"/>
                <w:szCs w:val="18"/>
                <w:lang w:val="en-US"/>
              </w:rPr>
            </w:pPr>
            <w:r w:rsidRPr="00AF6261">
              <w:rPr>
                <w:rFonts w:cstheme="minorHAnsi"/>
                <w:sz w:val="18"/>
                <w:szCs w:val="18"/>
                <w:lang w:val="en-US"/>
              </w:rPr>
              <w:t>Changes in apoptosis-related gene,</w:t>
            </w:r>
          </w:p>
          <w:p w14:paraId="1E2C93AB" w14:textId="1A9C04D7" w:rsidR="001C5AC4" w:rsidRPr="00AF6261" w:rsidRDefault="001C5AC4" w:rsidP="007F1961">
            <w:pPr>
              <w:autoSpaceDE w:val="0"/>
              <w:autoSpaceDN w:val="0"/>
              <w:adjustRightInd w:val="0"/>
              <w:spacing w:after="0" w:line="240" w:lineRule="auto"/>
              <w:jc w:val="center"/>
              <w:rPr>
                <w:rFonts w:cstheme="minorHAnsi"/>
                <w:sz w:val="18"/>
                <w:szCs w:val="18"/>
                <w:lang w:val="en-US"/>
              </w:rPr>
            </w:pPr>
            <w:r w:rsidRPr="00AF6261">
              <w:rPr>
                <w:rFonts w:cstheme="minorHAnsi"/>
                <w:sz w:val="18"/>
                <w:szCs w:val="18"/>
                <w:lang w:val="en-US"/>
              </w:rPr>
              <w:t>Oxidative stress,</w:t>
            </w:r>
          </w:p>
          <w:p w14:paraId="2F29D1FA" w14:textId="6E7268B8" w:rsidR="001C5AC4" w:rsidRPr="00AF6261" w:rsidRDefault="001C5AC4" w:rsidP="007F1961">
            <w:pPr>
              <w:autoSpaceDE w:val="0"/>
              <w:autoSpaceDN w:val="0"/>
              <w:adjustRightInd w:val="0"/>
              <w:spacing w:after="0" w:line="240" w:lineRule="auto"/>
              <w:jc w:val="center"/>
              <w:rPr>
                <w:rFonts w:cstheme="minorHAnsi"/>
                <w:sz w:val="18"/>
                <w:szCs w:val="18"/>
                <w:lang w:val="en-US"/>
              </w:rPr>
            </w:pPr>
            <w:r w:rsidRPr="00AF6261">
              <w:rPr>
                <w:rFonts w:cstheme="minorHAnsi"/>
                <w:sz w:val="18"/>
                <w:szCs w:val="18"/>
                <w:lang w:val="en-US"/>
              </w:rPr>
              <w:t>Cell cycle, P53 signalling pathway</w:t>
            </w:r>
          </w:p>
          <w:p w14:paraId="726928E7" w14:textId="77777777" w:rsidR="001C5AC4" w:rsidRPr="003912B8" w:rsidRDefault="001C5AC4" w:rsidP="007F1961">
            <w:pPr>
              <w:jc w:val="center"/>
              <w:rPr>
                <w:rFonts w:cstheme="minorHAnsi"/>
                <w:sz w:val="18"/>
                <w:szCs w:val="18"/>
              </w:rPr>
            </w:pPr>
            <w:r w:rsidRPr="003912B8">
              <w:rPr>
                <w:rFonts w:cstheme="minorHAnsi"/>
                <w:sz w:val="18"/>
                <w:szCs w:val="18"/>
              </w:rPr>
              <w:t>gene expression</w:t>
            </w:r>
          </w:p>
        </w:tc>
        <w:tc>
          <w:tcPr>
            <w:tcW w:w="2273" w:type="dxa"/>
            <w:vMerge w:val="restart"/>
            <w:tcBorders>
              <w:top w:val="single" w:sz="4" w:space="0" w:color="auto"/>
            </w:tcBorders>
            <w:vAlign w:val="center"/>
          </w:tcPr>
          <w:p w14:paraId="475311E4" w14:textId="77777777" w:rsidR="001C5AC4" w:rsidRPr="00010C8A" w:rsidRDefault="001C5AC4" w:rsidP="007F1961">
            <w:pPr>
              <w:jc w:val="center"/>
              <w:rPr>
                <w:rFonts w:ascii="Calibri" w:hAnsi="Calibri" w:cstheme="minorHAnsi"/>
                <w:sz w:val="18"/>
                <w:szCs w:val="18"/>
              </w:rPr>
            </w:pPr>
            <w:r w:rsidRPr="00010C8A">
              <w:rPr>
                <w:rFonts w:ascii="Calibri" w:hAnsi="Calibri" w:cstheme="minorHAnsi"/>
                <w:sz w:val="18"/>
                <w:szCs w:val="18"/>
              </w:rPr>
              <w:t>Apoptosis (ID 1368, 1713, 2075)</w:t>
            </w:r>
          </w:p>
        </w:tc>
        <w:tc>
          <w:tcPr>
            <w:tcW w:w="2386" w:type="dxa"/>
            <w:vMerge w:val="restart"/>
            <w:tcBorders>
              <w:top w:val="single" w:sz="4" w:space="0" w:color="auto"/>
            </w:tcBorders>
            <w:shd w:val="clear" w:color="auto" w:fill="auto"/>
            <w:vAlign w:val="center"/>
          </w:tcPr>
          <w:p w14:paraId="58E227ED" w14:textId="77777777" w:rsidR="001C5AC4" w:rsidRPr="00AF6261" w:rsidRDefault="001C5AC4" w:rsidP="007F1961">
            <w:pPr>
              <w:jc w:val="center"/>
              <w:rPr>
                <w:rFonts w:ascii="Calibri" w:hAnsi="Calibri" w:cstheme="minorHAnsi"/>
                <w:sz w:val="18"/>
                <w:szCs w:val="18"/>
                <w:lang w:val="en-US"/>
              </w:rPr>
            </w:pPr>
            <w:r w:rsidRPr="00AF6261">
              <w:rPr>
                <w:rFonts w:ascii="Calibri" w:hAnsi="Calibri" w:cstheme="minorHAnsi"/>
                <w:sz w:val="18"/>
                <w:szCs w:val="18"/>
                <w:lang w:val="en-US"/>
              </w:rPr>
              <w:t>Reduce, Sperm count (ID1757)</w:t>
            </w:r>
          </w:p>
          <w:p w14:paraId="77228F9A" w14:textId="77777777" w:rsidR="001C5AC4" w:rsidRPr="00AF6261" w:rsidRDefault="001C5AC4" w:rsidP="007F1961">
            <w:pPr>
              <w:jc w:val="center"/>
              <w:rPr>
                <w:rFonts w:ascii="Calibri" w:hAnsi="Calibri" w:cstheme="minorHAnsi"/>
                <w:sz w:val="18"/>
                <w:szCs w:val="18"/>
                <w:lang w:val="en-US"/>
              </w:rPr>
            </w:pPr>
            <w:r w:rsidRPr="00AF6261">
              <w:rPr>
                <w:rFonts w:ascii="Calibri" w:hAnsi="Calibri" w:cstheme="minorHAnsi"/>
                <w:sz w:val="18"/>
                <w:szCs w:val="18"/>
                <w:lang w:val="en-US"/>
              </w:rPr>
              <w:t>Testicular atrophy (ID1506)</w:t>
            </w:r>
          </w:p>
          <w:p w14:paraId="03EC055A" w14:textId="77777777" w:rsidR="001C5AC4" w:rsidRPr="00010C8A" w:rsidRDefault="001C5AC4" w:rsidP="007F1961">
            <w:pPr>
              <w:jc w:val="center"/>
              <w:rPr>
                <w:rFonts w:ascii="Calibri" w:hAnsi="Calibri" w:cstheme="minorHAnsi"/>
                <w:sz w:val="18"/>
                <w:szCs w:val="18"/>
              </w:rPr>
            </w:pPr>
            <w:r w:rsidRPr="00010C8A">
              <w:rPr>
                <w:rFonts w:ascii="Calibri" w:hAnsi="Calibri" w:cstheme="minorHAnsi"/>
                <w:sz w:val="18"/>
                <w:szCs w:val="18"/>
              </w:rPr>
              <w:t>Reproductive failure (ID1277)</w:t>
            </w:r>
          </w:p>
          <w:p w14:paraId="109611A9" w14:textId="77777777" w:rsidR="001C5AC4" w:rsidRPr="00010C8A" w:rsidRDefault="001C5AC4" w:rsidP="007F1961">
            <w:pPr>
              <w:jc w:val="center"/>
              <w:rPr>
                <w:rFonts w:ascii="Calibri" w:hAnsi="Calibri" w:cstheme="minorHAnsi"/>
                <w:sz w:val="18"/>
                <w:szCs w:val="18"/>
              </w:rPr>
            </w:pPr>
          </w:p>
          <w:p w14:paraId="68302A34" w14:textId="36285906" w:rsidR="001C5AC4" w:rsidRPr="00010C8A" w:rsidRDefault="001C5AC4" w:rsidP="007F1961">
            <w:pPr>
              <w:jc w:val="center"/>
              <w:rPr>
                <w:rFonts w:ascii="Calibri" w:hAnsi="Calibri" w:cstheme="minorHAnsi"/>
                <w:sz w:val="18"/>
                <w:szCs w:val="18"/>
              </w:rPr>
            </w:pPr>
          </w:p>
        </w:tc>
        <w:tc>
          <w:tcPr>
            <w:tcW w:w="851" w:type="dxa"/>
            <w:vMerge/>
            <w:tcBorders>
              <w:left w:val="nil"/>
              <w:right w:val="single" w:sz="8" w:space="0" w:color="auto"/>
            </w:tcBorders>
          </w:tcPr>
          <w:p w14:paraId="1ACFF45F" w14:textId="77777777" w:rsidR="001C5AC4" w:rsidRPr="00912134" w:rsidRDefault="001C5AC4" w:rsidP="007F3FC3">
            <w:pPr>
              <w:jc w:val="center"/>
              <w:rPr>
                <w:rFonts w:ascii="Calibri" w:hAnsi="Calibri" w:cstheme="minorHAnsi"/>
                <w:color w:val="000000"/>
                <w:sz w:val="18"/>
                <w:szCs w:val="18"/>
              </w:rPr>
            </w:pPr>
          </w:p>
        </w:tc>
      </w:tr>
      <w:tr w:rsidR="001C5AC4" w:rsidRPr="00DC5D76" w14:paraId="44C6AD1F" w14:textId="77777777" w:rsidTr="007F1961">
        <w:trPr>
          <w:trHeight w:val="195"/>
        </w:trPr>
        <w:tc>
          <w:tcPr>
            <w:tcW w:w="1408" w:type="dxa"/>
            <w:vMerge/>
            <w:tcBorders>
              <w:left w:val="single" w:sz="4" w:space="0" w:color="auto"/>
            </w:tcBorders>
            <w:shd w:val="clear" w:color="auto" w:fill="auto"/>
            <w:textDirection w:val="btLr"/>
            <w:vAlign w:val="center"/>
          </w:tcPr>
          <w:p w14:paraId="12FD0CCD" w14:textId="77777777" w:rsidR="001C5AC4" w:rsidRPr="00912134" w:rsidRDefault="001C5AC4" w:rsidP="001C5AC4">
            <w:pPr>
              <w:ind w:left="113" w:right="113"/>
              <w:jc w:val="center"/>
              <w:rPr>
                <w:rFonts w:ascii="Calibri" w:hAnsi="Calibri" w:cstheme="minorHAnsi"/>
                <w:color w:val="000000"/>
                <w:sz w:val="18"/>
                <w:szCs w:val="18"/>
              </w:rPr>
            </w:pPr>
          </w:p>
        </w:tc>
        <w:tc>
          <w:tcPr>
            <w:tcW w:w="1276" w:type="dxa"/>
            <w:vMerge/>
            <w:shd w:val="clear" w:color="auto" w:fill="auto"/>
            <w:textDirection w:val="btLr"/>
            <w:vAlign w:val="center"/>
          </w:tcPr>
          <w:p w14:paraId="10E0DA29" w14:textId="77777777" w:rsidR="001C5AC4" w:rsidRPr="00912134" w:rsidRDefault="001C5AC4" w:rsidP="001C5AC4">
            <w:pPr>
              <w:ind w:left="113" w:right="113"/>
              <w:jc w:val="center"/>
              <w:rPr>
                <w:rFonts w:ascii="Calibri" w:hAnsi="Calibri" w:cstheme="minorHAnsi"/>
                <w:color w:val="000000"/>
                <w:sz w:val="18"/>
                <w:szCs w:val="18"/>
              </w:rPr>
            </w:pPr>
          </w:p>
        </w:tc>
        <w:tc>
          <w:tcPr>
            <w:tcW w:w="1275" w:type="dxa"/>
            <w:vMerge/>
            <w:shd w:val="clear" w:color="auto" w:fill="auto"/>
            <w:textDirection w:val="btLr"/>
            <w:vAlign w:val="center"/>
          </w:tcPr>
          <w:p w14:paraId="1D1E0787" w14:textId="77777777" w:rsidR="001C5AC4" w:rsidRPr="00912134" w:rsidRDefault="001C5AC4" w:rsidP="001C5AC4">
            <w:pPr>
              <w:ind w:left="113" w:right="113"/>
              <w:jc w:val="center"/>
              <w:rPr>
                <w:rFonts w:ascii="Calibri" w:hAnsi="Calibri" w:cstheme="minorHAnsi"/>
                <w:color w:val="000000"/>
                <w:sz w:val="18"/>
                <w:szCs w:val="18"/>
              </w:rPr>
            </w:pPr>
          </w:p>
        </w:tc>
        <w:tc>
          <w:tcPr>
            <w:tcW w:w="1668" w:type="dxa"/>
            <w:vMerge/>
            <w:shd w:val="clear" w:color="auto" w:fill="auto"/>
            <w:vAlign w:val="center"/>
          </w:tcPr>
          <w:p w14:paraId="2413751A" w14:textId="77777777" w:rsidR="001C5AC4" w:rsidRPr="00912134" w:rsidRDefault="001C5AC4" w:rsidP="007F1961">
            <w:pPr>
              <w:jc w:val="center"/>
              <w:rPr>
                <w:rFonts w:ascii="Calibri" w:hAnsi="Calibri" w:cstheme="minorHAnsi"/>
                <w:color w:val="000000"/>
                <w:sz w:val="18"/>
                <w:szCs w:val="18"/>
              </w:rPr>
            </w:pPr>
          </w:p>
        </w:tc>
        <w:tc>
          <w:tcPr>
            <w:tcW w:w="1703" w:type="dxa"/>
            <w:tcBorders>
              <w:top w:val="single" w:sz="4" w:space="0" w:color="auto"/>
              <w:bottom w:val="single" w:sz="4" w:space="0" w:color="auto"/>
            </w:tcBorders>
            <w:shd w:val="clear" w:color="auto" w:fill="auto"/>
            <w:vAlign w:val="center"/>
          </w:tcPr>
          <w:p w14:paraId="19801C9F" w14:textId="77777777" w:rsidR="001C5AC4" w:rsidRPr="00AF6261" w:rsidRDefault="001C5AC4"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Cell apoptosis in testis by TUNEL</w:t>
            </w:r>
          </w:p>
        </w:tc>
        <w:tc>
          <w:tcPr>
            <w:tcW w:w="2010" w:type="dxa"/>
            <w:tcBorders>
              <w:top w:val="single" w:sz="4" w:space="0" w:color="auto"/>
              <w:bottom w:val="single" w:sz="4" w:space="0" w:color="auto"/>
            </w:tcBorders>
            <w:shd w:val="clear" w:color="auto" w:fill="auto"/>
            <w:vAlign w:val="center"/>
          </w:tcPr>
          <w:p w14:paraId="62D6BFC0" w14:textId="77777777" w:rsidR="001C5AC4" w:rsidRPr="00AF6261" w:rsidRDefault="001C5AC4" w:rsidP="007F1961">
            <w:pPr>
              <w:autoSpaceDE w:val="0"/>
              <w:autoSpaceDN w:val="0"/>
              <w:adjustRightInd w:val="0"/>
              <w:spacing w:after="0" w:line="240" w:lineRule="auto"/>
              <w:jc w:val="center"/>
              <w:rPr>
                <w:rFonts w:cstheme="minorHAnsi"/>
                <w:sz w:val="18"/>
                <w:szCs w:val="18"/>
                <w:lang w:val="en-US"/>
              </w:rPr>
            </w:pPr>
            <w:r w:rsidRPr="00AF6261">
              <w:rPr>
                <w:rFonts w:cstheme="minorHAnsi"/>
                <w:sz w:val="18"/>
                <w:szCs w:val="18"/>
                <w:lang w:val="en-US"/>
              </w:rPr>
              <w:t>Apoptotic nuclei in spermatogonia and spermatocytes in the testis (125 mg/kg)</w:t>
            </w:r>
          </w:p>
        </w:tc>
        <w:tc>
          <w:tcPr>
            <w:tcW w:w="2273" w:type="dxa"/>
            <w:vMerge/>
            <w:vAlign w:val="center"/>
          </w:tcPr>
          <w:p w14:paraId="6387073C" w14:textId="77777777" w:rsidR="001C5AC4" w:rsidRPr="00AF6261" w:rsidRDefault="001C5AC4" w:rsidP="007F1961">
            <w:pPr>
              <w:jc w:val="center"/>
              <w:rPr>
                <w:rFonts w:ascii="Calibri" w:hAnsi="Calibri" w:cstheme="minorHAnsi"/>
                <w:sz w:val="18"/>
                <w:szCs w:val="18"/>
                <w:lang w:val="en-US"/>
              </w:rPr>
            </w:pPr>
          </w:p>
        </w:tc>
        <w:tc>
          <w:tcPr>
            <w:tcW w:w="2386" w:type="dxa"/>
            <w:vMerge/>
            <w:shd w:val="clear" w:color="auto" w:fill="auto"/>
            <w:vAlign w:val="center"/>
          </w:tcPr>
          <w:p w14:paraId="4E2D6482" w14:textId="77777777" w:rsidR="001C5AC4" w:rsidRPr="00AF6261" w:rsidRDefault="001C5AC4" w:rsidP="007F1961">
            <w:pPr>
              <w:jc w:val="center"/>
              <w:rPr>
                <w:rFonts w:ascii="Calibri" w:hAnsi="Calibri" w:cstheme="minorHAnsi"/>
                <w:sz w:val="18"/>
                <w:szCs w:val="18"/>
                <w:lang w:val="en-US"/>
              </w:rPr>
            </w:pPr>
          </w:p>
        </w:tc>
        <w:tc>
          <w:tcPr>
            <w:tcW w:w="851" w:type="dxa"/>
            <w:vMerge/>
            <w:tcBorders>
              <w:left w:val="nil"/>
              <w:right w:val="single" w:sz="8" w:space="0" w:color="auto"/>
            </w:tcBorders>
          </w:tcPr>
          <w:p w14:paraId="3E75B5A7" w14:textId="77777777" w:rsidR="001C5AC4" w:rsidRPr="00AF6261" w:rsidRDefault="001C5AC4" w:rsidP="007F3FC3">
            <w:pPr>
              <w:jc w:val="center"/>
              <w:rPr>
                <w:rFonts w:ascii="Calibri" w:hAnsi="Calibri" w:cstheme="minorHAnsi"/>
                <w:color w:val="000000"/>
                <w:sz w:val="18"/>
                <w:szCs w:val="18"/>
                <w:lang w:val="en-US"/>
              </w:rPr>
            </w:pPr>
          </w:p>
        </w:tc>
      </w:tr>
      <w:tr w:rsidR="001C5AC4" w:rsidRPr="00DC5D76" w14:paraId="2CB0D32F" w14:textId="77777777" w:rsidTr="007F1961">
        <w:trPr>
          <w:trHeight w:val="195"/>
        </w:trPr>
        <w:tc>
          <w:tcPr>
            <w:tcW w:w="1408" w:type="dxa"/>
            <w:vMerge/>
            <w:tcBorders>
              <w:left w:val="single" w:sz="4" w:space="0" w:color="auto"/>
            </w:tcBorders>
            <w:shd w:val="clear" w:color="auto" w:fill="auto"/>
            <w:textDirection w:val="btLr"/>
            <w:vAlign w:val="center"/>
          </w:tcPr>
          <w:p w14:paraId="14EC55DB" w14:textId="77777777" w:rsidR="001C5AC4" w:rsidRPr="00AF6261" w:rsidRDefault="001C5AC4" w:rsidP="001C5AC4">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49A672FF" w14:textId="77777777" w:rsidR="001C5AC4" w:rsidRPr="00AF6261" w:rsidRDefault="001C5AC4" w:rsidP="001C5AC4">
            <w:pPr>
              <w:ind w:left="113" w:right="113"/>
              <w:jc w:val="center"/>
              <w:rPr>
                <w:rFonts w:ascii="Calibri" w:hAnsi="Calibri" w:cstheme="minorHAnsi"/>
                <w:color w:val="000000"/>
                <w:sz w:val="18"/>
                <w:szCs w:val="18"/>
                <w:lang w:val="en-US"/>
              </w:rPr>
            </w:pPr>
          </w:p>
        </w:tc>
        <w:tc>
          <w:tcPr>
            <w:tcW w:w="1275" w:type="dxa"/>
            <w:vMerge/>
            <w:shd w:val="clear" w:color="auto" w:fill="auto"/>
            <w:textDirection w:val="btLr"/>
            <w:vAlign w:val="center"/>
          </w:tcPr>
          <w:p w14:paraId="11968292" w14:textId="77777777" w:rsidR="001C5AC4" w:rsidRPr="00AF6261" w:rsidRDefault="001C5AC4" w:rsidP="001C5AC4">
            <w:pPr>
              <w:ind w:left="113" w:right="113"/>
              <w:jc w:val="center"/>
              <w:rPr>
                <w:rFonts w:ascii="Calibri" w:hAnsi="Calibri" w:cstheme="minorHAnsi"/>
                <w:color w:val="000000"/>
                <w:sz w:val="18"/>
                <w:szCs w:val="18"/>
                <w:lang w:val="en-US"/>
              </w:rPr>
            </w:pPr>
          </w:p>
        </w:tc>
        <w:tc>
          <w:tcPr>
            <w:tcW w:w="1668" w:type="dxa"/>
            <w:vMerge/>
            <w:tcBorders>
              <w:bottom w:val="single" w:sz="4" w:space="0" w:color="auto"/>
            </w:tcBorders>
            <w:shd w:val="clear" w:color="auto" w:fill="auto"/>
            <w:vAlign w:val="center"/>
          </w:tcPr>
          <w:p w14:paraId="561BDE06" w14:textId="77777777" w:rsidR="001C5AC4" w:rsidRPr="00AF6261" w:rsidRDefault="001C5AC4" w:rsidP="007F1961">
            <w:pPr>
              <w:jc w:val="center"/>
              <w:rPr>
                <w:rFonts w:ascii="Calibri" w:hAnsi="Calibri" w:cstheme="minorHAnsi"/>
                <w:color w:val="000000"/>
                <w:sz w:val="18"/>
                <w:szCs w:val="18"/>
                <w:lang w:val="en-US"/>
              </w:rPr>
            </w:pPr>
          </w:p>
        </w:tc>
        <w:tc>
          <w:tcPr>
            <w:tcW w:w="1703" w:type="dxa"/>
            <w:tcBorders>
              <w:top w:val="single" w:sz="4" w:space="0" w:color="auto"/>
              <w:bottom w:val="single" w:sz="4" w:space="0" w:color="auto"/>
            </w:tcBorders>
            <w:shd w:val="clear" w:color="auto" w:fill="auto"/>
            <w:vAlign w:val="center"/>
          </w:tcPr>
          <w:p w14:paraId="062174DC" w14:textId="77777777" w:rsidR="001C5AC4" w:rsidRPr="00AF6261" w:rsidRDefault="001C5AC4"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Apoptosis-related proteins Caspase3 and Myc by Immunofluorescence</w:t>
            </w:r>
          </w:p>
        </w:tc>
        <w:tc>
          <w:tcPr>
            <w:tcW w:w="2010" w:type="dxa"/>
            <w:tcBorders>
              <w:top w:val="single" w:sz="4" w:space="0" w:color="auto"/>
              <w:bottom w:val="single" w:sz="4" w:space="0" w:color="auto"/>
            </w:tcBorders>
            <w:shd w:val="clear" w:color="auto" w:fill="auto"/>
            <w:vAlign w:val="center"/>
          </w:tcPr>
          <w:p w14:paraId="4C8CC5E2" w14:textId="77777777" w:rsidR="001C5AC4" w:rsidRPr="00AF6261" w:rsidRDefault="001C5AC4" w:rsidP="007F1961">
            <w:pPr>
              <w:jc w:val="center"/>
              <w:rPr>
                <w:rFonts w:cstheme="minorHAnsi"/>
                <w:sz w:val="18"/>
                <w:szCs w:val="18"/>
                <w:lang w:val="en-US"/>
              </w:rPr>
            </w:pPr>
            <w:r w:rsidRPr="00AF6261">
              <w:rPr>
                <w:rFonts w:cstheme="minorHAnsi"/>
                <w:sz w:val="18"/>
                <w:szCs w:val="18"/>
                <w:lang w:val="en-US"/>
              </w:rPr>
              <w:t>Up regulation of caspase3 and Myc</w:t>
            </w:r>
          </w:p>
        </w:tc>
        <w:tc>
          <w:tcPr>
            <w:tcW w:w="2273" w:type="dxa"/>
            <w:vMerge/>
            <w:tcBorders>
              <w:bottom w:val="single" w:sz="4" w:space="0" w:color="auto"/>
            </w:tcBorders>
            <w:vAlign w:val="center"/>
          </w:tcPr>
          <w:p w14:paraId="4F903E26" w14:textId="77777777" w:rsidR="001C5AC4" w:rsidRPr="00AF6261" w:rsidRDefault="001C5AC4" w:rsidP="007F1961">
            <w:pPr>
              <w:jc w:val="center"/>
              <w:rPr>
                <w:rFonts w:ascii="Calibri" w:hAnsi="Calibri" w:cstheme="minorHAnsi"/>
                <w:sz w:val="18"/>
                <w:szCs w:val="18"/>
                <w:lang w:val="en-US"/>
              </w:rPr>
            </w:pPr>
          </w:p>
        </w:tc>
        <w:tc>
          <w:tcPr>
            <w:tcW w:w="2386" w:type="dxa"/>
            <w:vMerge/>
            <w:tcBorders>
              <w:bottom w:val="single" w:sz="4" w:space="0" w:color="auto"/>
            </w:tcBorders>
            <w:shd w:val="clear" w:color="auto" w:fill="auto"/>
            <w:vAlign w:val="center"/>
          </w:tcPr>
          <w:p w14:paraId="6BAD29D8" w14:textId="77777777" w:rsidR="001C5AC4" w:rsidRPr="00AF6261" w:rsidRDefault="001C5AC4" w:rsidP="007F1961">
            <w:pPr>
              <w:jc w:val="center"/>
              <w:rPr>
                <w:rFonts w:ascii="Calibri" w:hAnsi="Calibri" w:cstheme="minorHAnsi"/>
                <w:sz w:val="18"/>
                <w:szCs w:val="18"/>
                <w:lang w:val="en-US"/>
              </w:rPr>
            </w:pPr>
          </w:p>
        </w:tc>
        <w:tc>
          <w:tcPr>
            <w:tcW w:w="851" w:type="dxa"/>
            <w:vMerge/>
            <w:tcBorders>
              <w:left w:val="nil"/>
              <w:right w:val="single" w:sz="8" w:space="0" w:color="auto"/>
            </w:tcBorders>
          </w:tcPr>
          <w:p w14:paraId="6D2B2ED7" w14:textId="77777777" w:rsidR="001C5AC4" w:rsidRPr="00AF6261" w:rsidRDefault="001C5AC4" w:rsidP="007F3FC3">
            <w:pPr>
              <w:jc w:val="center"/>
              <w:rPr>
                <w:rFonts w:ascii="Calibri" w:hAnsi="Calibri" w:cstheme="minorHAnsi"/>
                <w:color w:val="000000"/>
                <w:sz w:val="18"/>
                <w:szCs w:val="18"/>
                <w:lang w:val="en-US"/>
              </w:rPr>
            </w:pPr>
          </w:p>
        </w:tc>
      </w:tr>
      <w:tr w:rsidR="001C5AC4" w:rsidRPr="00DC5D76" w14:paraId="5141E7AE" w14:textId="77777777" w:rsidTr="007F1961">
        <w:trPr>
          <w:trHeight w:val="2294"/>
        </w:trPr>
        <w:tc>
          <w:tcPr>
            <w:tcW w:w="1408" w:type="dxa"/>
            <w:vMerge/>
            <w:tcBorders>
              <w:left w:val="single" w:sz="4" w:space="0" w:color="auto"/>
              <w:bottom w:val="single" w:sz="4" w:space="0" w:color="auto"/>
            </w:tcBorders>
            <w:shd w:val="clear" w:color="auto" w:fill="auto"/>
            <w:textDirection w:val="btLr"/>
            <w:vAlign w:val="center"/>
          </w:tcPr>
          <w:p w14:paraId="16A28D44" w14:textId="77777777" w:rsidR="001C5AC4" w:rsidRPr="00AF6261" w:rsidRDefault="001C5AC4" w:rsidP="001C5AC4">
            <w:pPr>
              <w:ind w:left="113" w:right="113"/>
              <w:jc w:val="center"/>
              <w:rPr>
                <w:rFonts w:ascii="Calibri" w:hAnsi="Calibri"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75121F59" w14:textId="77777777" w:rsidR="001C5AC4" w:rsidRPr="00AF6261" w:rsidRDefault="001C5AC4" w:rsidP="001C5AC4">
            <w:pPr>
              <w:ind w:left="113" w:right="113"/>
              <w:jc w:val="center"/>
              <w:rPr>
                <w:rFonts w:ascii="Calibri" w:hAnsi="Calibri" w:cstheme="minorHAnsi"/>
                <w:color w:val="000000"/>
                <w:sz w:val="18"/>
                <w:szCs w:val="18"/>
                <w:lang w:val="en-US"/>
              </w:rPr>
            </w:pPr>
          </w:p>
        </w:tc>
        <w:tc>
          <w:tcPr>
            <w:tcW w:w="1275" w:type="dxa"/>
            <w:vMerge/>
            <w:tcBorders>
              <w:bottom w:val="single" w:sz="4" w:space="0" w:color="auto"/>
            </w:tcBorders>
            <w:shd w:val="clear" w:color="auto" w:fill="auto"/>
            <w:textDirection w:val="btLr"/>
            <w:vAlign w:val="center"/>
          </w:tcPr>
          <w:p w14:paraId="53499BA2" w14:textId="77777777" w:rsidR="001C5AC4" w:rsidRPr="00AF6261" w:rsidRDefault="001C5AC4" w:rsidP="001C5AC4">
            <w:pPr>
              <w:ind w:left="113" w:right="113"/>
              <w:jc w:val="center"/>
              <w:rPr>
                <w:rFonts w:ascii="Calibri" w:hAnsi="Calibri" w:cstheme="minorHAnsi"/>
                <w:color w:val="000000"/>
                <w:sz w:val="18"/>
                <w:szCs w:val="18"/>
                <w:lang w:val="en-US"/>
              </w:rPr>
            </w:pPr>
          </w:p>
        </w:tc>
        <w:tc>
          <w:tcPr>
            <w:tcW w:w="1668" w:type="dxa"/>
            <w:tcBorders>
              <w:top w:val="single" w:sz="4" w:space="0" w:color="auto"/>
            </w:tcBorders>
            <w:shd w:val="clear" w:color="auto" w:fill="auto"/>
            <w:vAlign w:val="center"/>
          </w:tcPr>
          <w:p w14:paraId="49E46AE5" w14:textId="44EC1086" w:rsidR="001C5AC4" w:rsidRPr="008A37EC" w:rsidRDefault="001C5AC4" w:rsidP="007F1961">
            <w:pPr>
              <w:jc w:val="center"/>
              <w:rPr>
                <w:rFonts w:ascii="Calibri" w:hAnsi="Calibri" w:cstheme="minorHAnsi"/>
                <w:color w:val="000000"/>
                <w:sz w:val="18"/>
                <w:szCs w:val="18"/>
                <w:highlight w:val="yellow"/>
              </w:rPr>
            </w:pPr>
            <w:r w:rsidRPr="00912134">
              <w:rPr>
                <w:rFonts w:ascii="Calibri" w:hAnsi="Calibri" w:cstheme="minorHAnsi"/>
                <w:color w:val="000000"/>
                <w:sz w:val="18"/>
                <w:szCs w:val="18"/>
              </w:rPr>
              <w:t>Histopathological Examination</w:t>
            </w:r>
          </w:p>
        </w:tc>
        <w:tc>
          <w:tcPr>
            <w:tcW w:w="1703" w:type="dxa"/>
            <w:tcBorders>
              <w:top w:val="single" w:sz="4" w:space="0" w:color="auto"/>
            </w:tcBorders>
            <w:shd w:val="clear" w:color="auto" w:fill="auto"/>
            <w:vAlign w:val="center"/>
          </w:tcPr>
          <w:p w14:paraId="5AE5B340" w14:textId="77777777" w:rsidR="001C5AC4" w:rsidRPr="00AF6261" w:rsidRDefault="001C5AC4" w:rsidP="007F1961">
            <w:pPr>
              <w:jc w:val="center"/>
              <w:rPr>
                <w:rFonts w:ascii="Calibri" w:hAnsi="Calibri" w:cstheme="minorHAnsi"/>
                <w:color w:val="000000"/>
                <w:sz w:val="18"/>
                <w:szCs w:val="18"/>
                <w:highlight w:val="yellow"/>
                <w:lang w:val="en-US"/>
              </w:rPr>
            </w:pPr>
            <w:r w:rsidRPr="00AF6261">
              <w:rPr>
                <w:rFonts w:ascii="Calibri" w:hAnsi="Calibri" w:cstheme="minorHAnsi"/>
                <w:color w:val="000000"/>
                <w:sz w:val="18"/>
                <w:szCs w:val="18"/>
                <w:lang w:val="en-US"/>
              </w:rPr>
              <w:t>Histological changes in the testis by HE staining</w:t>
            </w:r>
          </w:p>
        </w:tc>
        <w:tc>
          <w:tcPr>
            <w:tcW w:w="2010" w:type="dxa"/>
            <w:tcBorders>
              <w:top w:val="single" w:sz="4" w:space="0" w:color="auto"/>
            </w:tcBorders>
            <w:shd w:val="clear" w:color="auto" w:fill="auto"/>
            <w:vAlign w:val="center"/>
          </w:tcPr>
          <w:p w14:paraId="391A72D8" w14:textId="77777777" w:rsidR="001C5AC4" w:rsidRPr="008A37EC" w:rsidRDefault="001C5AC4" w:rsidP="007F1961">
            <w:pPr>
              <w:jc w:val="center"/>
              <w:rPr>
                <w:rFonts w:cstheme="minorHAnsi"/>
                <w:sz w:val="18"/>
                <w:szCs w:val="18"/>
                <w:highlight w:val="yellow"/>
              </w:rPr>
            </w:pPr>
            <w:r w:rsidRPr="00AF6261">
              <w:rPr>
                <w:rFonts w:ascii="Calibri" w:hAnsi="Calibri" w:cstheme="minorHAnsi"/>
                <w:color w:val="000000"/>
                <w:sz w:val="18"/>
                <w:szCs w:val="18"/>
                <w:lang w:val="en-US"/>
              </w:rPr>
              <w:t xml:space="preserve">Histological changes in the testis, including disordered structure, irregular cellular arrangement and increases in intercellular space. </w:t>
            </w:r>
            <w:r>
              <w:rPr>
                <w:rFonts w:ascii="Calibri" w:hAnsi="Calibri" w:cstheme="minorHAnsi"/>
                <w:color w:val="000000"/>
                <w:sz w:val="18"/>
                <w:szCs w:val="18"/>
              </w:rPr>
              <w:t xml:space="preserve">Swollen mitochondria </w:t>
            </w:r>
            <w:r w:rsidRPr="000D750E">
              <w:rPr>
                <w:rFonts w:ascii="Calibri" w:hAnsi="Calibri" w:cstheme="minorHAnsi"/>
                <w:color w:val="000000"/>
                <w:sz w:val="18"/>
                <w:szCs w:val="18"/>
              </w:rPr>
              <w:t xml:space="preserve">in the germ cells </w:t>
            </w:r>
            <w:r>
              <w:rPr>
                <w:rFonts w:ascii="Calibri" w:hAnsi="Calibri" w:cstheme="minorHAnsi"/>
                <w:color w:val="000000"/>
                <w:sz w:val="18"/>
                <w:szCs w:val="18"/>
              </w:rPr>
              <w:t xml:space="preserve">( at </w:t>
            </w:r>
            <w:r w:rsidRPr="000D750E">
              <w:rPr>
                <w:rFonts w:ascii="Calibri" w:hAnsi="Calibri" w:cstheme="minorHAnsi"/>
                <w:color w:val="000000"/>
                <w:sz w:val="18"/>
                <w:szCs w:val="18"/>
              </w:rPr>
              <w:t>125 mg/kg</w:t>
            </w:r>
            <w:r>
              <w:rPr>
                <w:rFonts w:ascii="Calibri" w:hAnsi="Calibri" w:cstheme="minorHAnsi"/>
                <w:color w:val="000000"/>
                <w:sz w:val="18"/>
                <w:szCs w:val="18"/>
              </w:rPr>
              <w:t>)</w:t>
            </w:r>
          </w:p>
        </w:tc>
        <w:tc>
          <w:tcPr>
            <w:tcW w:w="2273" w:type="dxa"/>
            <w:tcBorders>
              <w:top w:val="single" w:sz="4" w:space="0" w:color="auto"/>
            </w:tcBorders>
            <w:vAlign w:val="center"/>
          </w:tcPr>
          <w:p w14:paraId="46B4A514" w14:textId="77777777" w:rsidR="001C5AC4" w:rsidRPr="000270BA" w:rsidRDefault="001C5AC4"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Testicular atrophy</w:t>
            </w:r>
          </w:p>
          <w:p w14:paraId="1B2DDD97" w14:textId="77777777" w:rsidR="001C5AC4" w:rsidRPr="008A37EC" w:rsidRDefault="001C5AC4" w:rsidP="007F1961">
            <w:pPr>
              <w:spacing w:after="0" w:line="240" w:lineRule="auto"/>
              <w:jc w:val="center"/>
              <w:rPr>
                <w:rFonts w:ascii="Calibri" w:eastAsia="Times New Roman" w:hAnsi="Calibri" w:cstheme="minorHAnsi"/>
                <w:b/>
                <w:sz w:val="18"/>
                <w:szCs w:val="18"/>
                <w:highlight w:val="yellow"/>
                <w:lang w:eastAsia="fr-FR"/>
              </w:rPr>
            </w:pPr>
            <w:r w:rsidRPr="000270BA">
              <w:rPr>
                <w:rFonts w:eastAsia="Times New Roman" w:cstheme="minorHAnsi"/>
                <w:sz w:val="18"/>
                <w:szCs w:val="18"/>
                <w:lang w:eastAsia="fr-FR"/>
              </w:rPr>
              <w:t>(ID1506)</w:t>
            </w:r>
          </w:p>
        </w:tc>
        <w:tc>
          <w:tcPr>
            <w:tcW w:w="2386" w:type="dxa"/>
            <w:tcBorders>
              <w:top w:val="single" w:sz="4" w:space="0" w:color="auto"/>
            </w:tcBorders>
            <w:shd w:val="clear" w:color="auto" w:fill="auto"/>
            <w:vAlign w:val="center"/>
          </w:tcPr>
          <w:p w14:paraId="499A9DDB" w14:textId="77777777" w:rsidR="001C5AC4" w:rsidRPr="000270BA" w:rsidRDefault="001C5AC4"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4BA6B6A5" w14:textId="77777777" w:rsidR="001C5AC4" w:rsidRPr="00AF6261" w:rsidRDefault="001C5AC4" w:rsidP="007F1961">
            <w:pPr>
              <w:spacing w:after="0" w:line="240" w:lineRule="auto"/>
              <w:jc w:val="center"/>
              <w:rPr>
                <w:rFonts w:ascii="Calibri" w:eastAsia="Times New Roman" w:hAnsi="Calibri" w:cstheme="minorHAnsi"/>
                <w:b/>
                <w:sz w:val="18"/>
                <w:szCs w:val="18"/>
                <w:highlight w:val="yellow"/>
                <w:lang w:val="en-US" w:eastAsia="fr-FR"/>
              </w:rPr>
            </w:pPr>
            <w:r w:rsidRPr="000270BA">
              <w:rPr>
                <w:rFonts w:eastAsia="Times New Roman" w:cstheme="minorHAnsi"/>
                <w:sz w:val="18"/>
                <w:szCs w:val="18"/>
                <w:lang w:val="en-US" w:eastAsia="fr-FR"/>
              </w:rPr>
              <w:t>Reduced, Reproductive Success (ID675)</w:t>
            </w:r>
          </w:p>
        </w:tc>
        <w:tc>
          <w:tcPr>
            <w:tcW w:w="851" w:type="dxa"/>
            <w:vMerge/>
            <w:tcBorders>
              <w:left w:val="nil"/>
              <w:bottom w:val="single" w:sz="4" w:space="0" w:color="auto"/>
              <w:right w:val="single" w:sz="8" w:space="0" w:color="auto"/>
            </w:tcBorders>
          </w:tcPr>
          <w:p w14:paraId="55B9BAD9" w14:textId="77777777" w:rsidR="001C5AC4" w:rsidRPr="00AF6261" w:rsidRDefault="001C5AC4" w:rsidP="007F3FC3">
            <w:pPr>
              <w:jc w:val="center"/>
              <w:rPr>
                <w:rFonts w:ascii="Calibri" w:hAnsi="Calibri" w:cstheme="minorHAnsi"/>
                <w:color w:val="000000"/>
                <w:sz w:val="18"/>
                <w:szCs w:val="18"/>
                <w:lang w:val="en-US"/>
              </w:rPr>
            </w:pPr>
          </w:p>
        </w:tc>
      </w:tr>
      <w:tr w:rsidR="001C5AC4" w:rsidRPr="00912134" w14:paraId="51F117A6" w14:textId="77777777" w:rsidTr="007F1961">
        <w:trPr>
          <w:cantSplit/>
          <w:trHeight w:val="1134"/>
        </w:trPr>
        <w:tc>
          <w:tcPr>
            <w:tcW w:w="1408" w:type="dxa"/>
            <w:vMerge w:val="restart"/>
            <w:tcBorders>
              <w:top w:val="single" w:sz="4" w:space="0" w:color="auto"/>
              <w:left w:val="single" w:sz="4" w:space="0" w:color="auto"/>
            </w:tcBorders>
            <w:shd w:val="clear" w:color="auto" w:fill="auto"/>
            <w:textDirection w:val="btLr"/>
            <w:vAlign w:val="center"/>
          </w:tcPr>
          <w:p w14:paraId="6861D7AC" w14:textId="77777777" w:rsidR="001C5AC4" w:rsidRPr="00912134" w:rsidRDefault="001C5AC4" w:rsidP="001C5AC4">
            <w:pPr>
              <w:ind w:left="113" w:right="113"/>
              <w:jc w:val="center"/>
              <w:rPr>
                <w:rFonts w:ascii="Calibri" w:hAnsi="Calibri" w:cstheme="minorHAnsi"/>
                <w:color w:val="000000"/>
                <w:sz w:val="18"/>
                <w:szCs w:val="18"/>
              </w:rPr>
            </w:pPr>
            <w:r w:rsidRPr="00912134">
              <w:rPr>
                <w:rFonts w:ascii="Calibri" w:hAnsi="Calibri" w:cstheme="minorHAnsi"/>
                <w:color w:val="000000"/>
                <w:sz w:val="18"/>
                <w:szCs w:val="18"/>
              </w:rPr>
              <w:t>Size:40 nm</w:t>
            </w:r>
          </w:p>
          <w:p w14:paraId="0C9BDD0B" w14:textId="77777777" w:rsidR="001C5AC4" w:rsidRPr="00912134" w:rsidRDefault="001C5AC4" w:rsidP="001C5AC4">
            <w:pPr>
              <w:ind w:left="113" w:right="113"/>
              <w:jc w:val="center"/>
              <w:rPr>
                <w:rFonts w:ascii="Calibri" w:hAnsi="Calibri" w:cstheme="minorHAnsi"/>
                <w:color w:val="000000"/>
                <w:sz w:val="18"/>
                <w:szCs w:val="18"/>
              </w:rPr>
            </w:pPr>
            <w:r>
              <w:rPr>
                <w:rFonts w:ascii="Calibri" w:hAnsi="Calibri" w:cstheme="minorHAnsi"/>
                <w:color w:val="000000"/>
                <w:sz w:val="18"/>
                <w:szCs w:val="18"/>
              </w:rPr>
              <w:t>Spherical</w:t>
            </w:r>
          </w:p>
          <w:p w14:paraId="527BB6A0" w14:textId="77777777" w:rsidR="001C5AC4" w:rsidRPr="00912134" w:rsidRDefault="001C5AC4" w:rsidP="001C5AC4">
            <w:pPr>
              <w:ind w:left="113" w:right="113"/>
              <w:jc w:val="center"/>
              <w:rPr>
                <w:rFonts w:ascii="Calibri" w:hAnsi="Calibri" w:cstheme="minorHAnsi"/>
                <w:color w:val="000000"/>
                <w:sz w:val="18"/>
                <w:szCs w:val="18"/>
              </w:rPr>
            </w:pPr>
          </w:p>
        </w:tc>
        <w:tc>
          <w:tcPr>
            <w:tcW w:w="1276" w:type="dxa"/>
            <w:vMerge w:val="restart"/>
            <w:tcBorders>
              <w:top w:val="single" w:sz="4" w:space="0" w:color="auto"/>
            </w:tcBorders>
            <w:shd w:val="clear" w:color="auto" w:fill="auto"/>
            <w:textDirection w:val="btLr"/>
            <w:vAlign w:val="center"/>
          </w:tcPr>
          <w:p w14:paraId="6F1A0AD6" w14:textId="77777777" w:rsidR="001C5AC4" w:rsidRPr="00AF6261" w:rsidRDefault="001C5AC4" w:rsidP="001C5AC4">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Adult male NMRI mice , Oral gavage</w:t>
            </w:r>
          </w:p>
        </w:tc>
        <w:tc>
          <w:tcPr>
            <w:tcW w:w="1275" w:type="dxa"/>
            <w:vMerge w:val="restart"/>
            <w:tcBorders>
              <w:top w:val="single" w:sz="4" w:space="0" w:color="auto"/>
            </w:tcBorders>
            <w:textDirection w:val="btLr"/>
            <w:vAlign w:val="center"/>
          </w:tcPr>
          <w:p w14:paraId="551EB777" w14:textId="77777777" w:rsidR="001C5AC4" w:rsidRPr="00AF6261" w:rsidRDefault="001C5AC4" w:rsidP="001C5AC4">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500  mg/kg  bw with a time interval of 24 hr for 35 days</w:t>
            </w:r>
          </w:p>
        </w:tc>
        <w:tc>
          <w:tcPr>
            <w:tcW w:w="1668" w:type="dxa"/>
            <w:tcBorders>
              <w:top w:val="single" w:sz="4" w:space="0" w:color="auto"/>
              <w:bottom w:val="single" w:sz="4" w:space="0" w:color="auto"/>
            </w:tcBorders>
            <w:shd w:val="clear" w:color="auto" w:fill="auto"/>
            <w:vAlign w:val="center"/>
          </w:tcPr>
          <w:p w14:paraId="167136A9" w14:textId="77777777" w:rsidR="001C5AC4" w:rsidRPr="00912134" w:rsidRDefault="001C5AC4" w:rsidP="007F1961">
            <w:pPr>
              <w:jc w:val="center"/>
              <w:rPr>
                <w:rFonts w:ascii="Calibri" w:hAnsi="Calibri" w:cstheme="minorHAnsi"/>
                <w:color w:val="000000"/>
                <w:sz w:val="18"/>
                <w:szCs w:val="18"/>
              </w:rPr>
            </w:pPr>
            <w:r>
              <w:rPr>
                <w:rFonts w:ascii="Calibri" w:hAnsi="Calibri" w:cstheme="minorHAnsi"/>
                <w:color w:val="000000"/>
                <w:sz w:val="18"/>
                <w:szCs w:val="18"/>
              </w:rPr>
              <w:t>Oxidative Status</w:t>
            </w:r>
          </w:p>
        </w:tc>
        <w:tc>
          <w:tcPr>
            <w:tcW w:w="1703" w:type="dxa"/>
            <w:tcBorders>
              <w:top w:val="single" w:sz="4" w:space="0" w:color="auto"/>
              <w:bottom w:val="single" w:sz="4" w:space="0" w:color="auto"/>
            </w:tcBorders>
            <w:shd w:val="clear" w:color="auto" w:fill="auto"/>
            <w:vAlign w:val="center"/>
          </w:tcPr>
          <w:p w14:paraId="104AB07D" w14:textId="77777777" w:rsidR="001C5AC4" w:rsidRPr="00AF6261" w:rsidRDefault="001C5AC4"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Total antioxidant capacity and Lipid peroxidation parameters</w:t>
            </w:r>
          </w:p>
        </w:tc>
        <w:tc>
          <w:tcPr>
            <w:tcW w:w="2010" w:type="dxa"/>
            <w:tcBorders>
              <w:top w:val="single" w:sz="4" w:space="0" w:color="auto"/>
              <w:bottom w:val="single" w:sz="4" w:space="0" w:color="auto"/>
            </w:tcBorders>
            <w:shd w:val="clear" w:color="auto" w:fill="auto"/>
            <w:vAlign w:val="center"/>
          </w:tcPr>
          <w:p w14:paraId="1C615CA4" w14:textId="77777777" w:rsidR="001C5AC4" w:rsidRPr="00AF6261" w:rsidRDefault="001C5AC4"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Decrease in the total antioxidant capacity, Increased MDA concent</w:t>
            </w:r>
          </w:p>
        </w:tc>
        <w:tc>
          <w:tcPr>
            <w:tcW w:w="2273" w:type="dxa"/>
            <w:tcBorders>
              <w:top w:val="single" w:sz="4" w:space="0" w:color="auto"/>
              <w:bottom w:val="single" w:sz="4" w:space="0" w:color="auto"/>
            </w:tcBorders>
            <w:vAlign w:val="center"/>
          </w:tcPr>
          <w:p w14:paraId="5E2BC004" w14:textId="77777777" w:rsidR="001C5AC4" w:rsidRPr="000270BA" w:rsidRDefault="001C5AC4"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4F723B62" w14:textId="77777777" w:rsidR="001C5AC4" w:rsidRPr="000270BA" w:rsidRDefault="001C5AC4" w:rsidP="007F1961">
            <w:pPr>
              <w:jc w:val="center"/>
              <w:rPr>
                <w:rFonts w:cstheme="minorHAnsi"/>
                <w:bCs/>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6C5D07F3" w14:textId="77777777" w:rsidR="001C5AC4" w:rsidRPr="000270BA" w:rsidRDefault="001C5AC4"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Oxidative Damage</w:t>
            </w:r>
          </w:p>
          <w:p w14:paraId="4806DDF4" w14:textId="77777777" w:rsidR="001C5AC4" w:rsidRPr="000270BA" w:rsidRDefault="001C5AC4"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(ID356)</w:t>
            </w:r>
          </w:p>
        </w:tc>
        <w:tc>
          <w:tcPr>
            <w:tcW w:w="851" w:type="dxa"/>
            <w:vMerge w:val="restart"/>
            <w:tcBorders>
              <w:top w:val="single" w:sz="4" w:space="0" w:color="auto"/>
              <w:left w:val="nil"/>
              <w:right w:val="single" w:sz="8" w:space="0" w:color="auto"/>
            </w:tcBorders>
            <w:vAlign w:val="center"/>
          </w:tcPr>
          <w:p w14:paraId="4A7DAA0A" w14:textId="7492501E" w:rsidR="001C5AC4" w:rsidRPr="00912134" w:rsidRDefault="001C5AC4" w:rsidP="007F3FC3">
            <w:pPr>
              <w:jc w:val="center"/>
              <w:rPr>
                <w:rFonts w:ascii="Calibri" w:hAnsi="Calibri" w:cstheme="minorHAnsi"/>
                <w:color w:val="000000"/>
                <w:sz w:val="18"/>
                <w:szCs w:val="18"/>
              </w:rPr>
            </w:pPr>
            <w:r w:rsidRPr="00912134">
              <w:rPr>
                <w:rFonts w:ascii="Calibri" w:hAnsi="Calibri" w:cstheme="minorHAnsi"/>
                <w:color w:val="000000"/>
                <w:sz w:val="18"/>
                <w:szCs w:val="18"/>
              </w:rPr>
              <w:fldChar w:fldCharType="begin" w:fldLock="1"/>
            </w:r>
            <w:r w:rsidR="007F3FC3">
              <w:rPr>
                <w:rFonts w:ascii="Calibri" w:hAnsi="Calibri" w:cstheme="minorHAnsi"/>
                <w:color w:val="000000"/>
                <w:sz w:val="18"/>
                <w:szCs w:val="18"/>
              </w:rPr>
              <w:instrText>ADDIN CSL_CITATION {"citationItems":[{"id":"ITEM-1","itemData":{"DOI":"10.1111/and.13982","ISSN":"14390272","PMID":"33469996","abstract":"Silver nanoparticles (SNPs) can pass from the cell membrane and testicular blood barrier due to their small size, and by increasing oxidative stress they cause disorder in the male reproductive system. Kombucha is a traditional fermented drink with detoxification and potent antioxidant properties. We aimed to examine the protective effect of Kombucha against the damages due to SNPs on the testis tissue. In this experimental study, NMRI mice were randomly separated into four groups (n = 6), namely control (distilled water), SNPs (500 mg/kg), Kombucha extract (9 ml/kg) and SNPs + Kombucha, and were treated with gavage for 35 days. A significant decrease in testosterone level and total antioxidant capacity, and a significant increase in malondialdehyde concentration was observed in the SNPs group in comparison with the control group. Histological studies on the testis of mice treated with SNPs showed vacuolation, decrease in generational epithelium thickness, seminiferous tubules diameter, testis volume and the number of spermatozoa in lumen of the seminiferous tubule and increase in the volume of interstitial space while the mentioned parameters were improved in the SNPs + Kombucha group compared to the SNPs group. Kombucha reduces the adverse effects of SNPs on testis tissue and improves the function of the male reproductive system.","author":[{"dropping-particle":"","family":"Shariatzadeh","given":"Seyed Mohammad Ali","non-dropping-particle":"","parse-names":false,"suffix":""},{"dropping-particle":"","family":"Miri","given":"Seyede Azam","non-dropping-particle":"","parse-names":false,"suffix":""},{"dropping-particle":"","family":"Cheraghi","given":"Ebrahim","non-dropping-particle":"","parse-names":false,"suffix":""}],"container-title":"Andrologia","id":"ITEM-1","issue":"3","issued":{"date-parts":[["2021"]]},"page":"1-10","title":"The protective effect of Kombucha against silver nanoparticles-induced toxicity on testicular tissue in NMRI mice","type":"article-journal","volume":"53"},"uris":["http://www.mendeley.com/documents/?uuid=03ccbe6e-1361-46be-8f05-4341f3a4dbed"]}],"mendeley":{"formattedCitation":"(5)","plainTextFormattedCitation":"(5)","previouslyFormattedCitation":"(Shariatzadeh, Miri, and Cheraghi 2021)"},"properties":{"noteIndex":0},"schema":"https://github.com/citation-style-language/schema/raw/master/csl-citation.json"}</w:instrText>
            </w:r>
            <w:r w:rsidRPr="00912134">
              <w:rPr>
                <w:rFonts w:ascii="Calibri" w:hAnsi="Calibri" w:cstheme="minorHAnsi"/>
                <w:color w:val="000000"/>
                <w:sz w:val="18"/>
                <w:szCs w:val="18"/>
              </w:rPr>
              <w:fldChar w:fldCharType="separate"/>
            </w:r>
            <w:r w:rsidR="007F3FC3" w:rsidRPr="007F3FC3">
              <w:rPr>
                <w:rFonts w:ascii="Calibri" w:hAnsi="Calibri" w:cstheme="minorHAnsi"/>
                <w:noProof/>
                <w:color w:val="000000"/>
                <w:sz w:val="18"/>
                <w:szCs w:val="18"/>
              </w:rPr>
              <w:t>(5)</w:t>
            </w:r>
            <w:r w:rsidRPr="00912134">
              <w:rPr>
                <w:rFonts w:ascii="Calibri" w:hAnsi="Calibri" w:cstheme="minorHAnsi"/>
                <w:color w:val="000000"/>
                <w:sz w:val="18"/>
                <w:szCs w:val="18"/>
              </w:rPr>
              <w:fldChar w:fldCharType="end"/>
            </w:r>
          </w:p>
        </w:tc>
      </w:tr>
      <w:tr w:rsidR="001C5AC4" w:rsidRPr="00DC5D76" w14:paraId="5538AF27" w14:textId="77777777" w:rsidTr="007F1961">
        <w:trPr>
          <w:trHeight w:val="195"/>
        </w:trPr>
        <w:tc>
          <w:tcPr>
            <w:tcW w:w="1408" w:type="dxa"/>
            <w:vMerge/>
            <w:tcBorders>
              <w:left w:val="single" w:sz="4" w:space="0" w:color="auto"/>
            </w:tcBorders>
            <w:shd w:val="clear" w:color="auto" w:fill="auto"/>
            <w:textDirection w:val="btLr"/>
            <w:vAlign w:val="center"/>
          </w:tcPr>
          <w:p w14:paraId="2925293A" w14:textId="77777777" w:rsidR="001C5AC4" w:rsidRPr="00912134" w:rsidRDefault="001C5AC4" w:rsidP="001C5AC4">
            <w:pPr>
              <w:ind w:left="113" w:right="113"/>
              <w:jc w:val="center"/>
              <w:rPr>
                <w:rFonts w:ascii="Calibri" w:hAnsi="Calibri" w:cstheme="minorHAnsi"/>
                <w:color w:val="000000"/>
                <w:sz w:val="18"/>
                <w:szCs w:val="18"/>
              </w:rPr>
            </w:pPr>
          </w:p>
        </w:tc>
        <w:tc>
          <w:tcPr>
            <w:tcW w:w="1276" w:type="dxa"/>
            <w:vMerge/>
            <w:shd w:val="clear" w:color="auto" w:fill="auto"/>
            <w:textDirection w:val="btLr"/>
            <w:vAlign w:val="center"/>
          </w:tcPr>
          <w:p w14:paraId="11AB5B75" w14:textId="77777777" w:rsidR="001C5AC4" w:rsidRPr="00912134" w:rsidRDefault="001C5AC4" w:rsidP="001C5AC4">
            <w:pPr>
              <w:ind w:left="113" w:right="113"/>
              <w:jc w:val="center"/>
              <w:rPr>
                <w:rFonts w:ascii="Calibri" w:hAnsi="Calibri" w:cstheme="minorHAnsi"/>
                <w:color w:val="000000"/>
                <w:sz w:val="18"/>
                <w:szCs w:val="18"/>
              </w:rPr>
            </w:pPr>
          </w:p>
        </w:tc>
        <w:tc>
          <w:tcPr>
            <w:tcW w:w="1275" w:type="dxa"/>
            <w:vMerge/>
            <w:textDirection w:val="btLr"/>
            <w:vAlign w:val="center"/>
          </w:tcPr>
          <w:p w14:paraId="75E0529F" w14:textId="77777777" w:rsidR="001C5AC4" w:rsidRPr="00912134" w:rsidRDefault="001C5AC4" w:rsidP="001C5AC4">
            <w:pPr>
              <w:ind w:left="113" w:right="113"/>
              <w:jc w:val="center"/>
              <w:rPr>
                <w:rFonts w:ascii="Calibri" w:hAnsi="Calibri" w:cstheme="minorHAnsi"/>
                <w:color w:val="000000"/>
                <w:sz w:val="18"/>
                <w:szCs w:val="18"/>
              </w:rPr>
            </w:pPr>
          </w:p>
        </w:tc>
        <w:tc>
          <w:tcPr>
            <w:tcW w:w="1668" w:type="dxa"/>
            <w:tcBorders>
              <w:top w:val="single" w:sz="4" w:space="0" w:color="auto"/>
              <w:bottom w:val="single" w:sz="4" w:space="0" w:color="auto"/>
            </w:tcBorders>
            <w:shd w:val="clear" w:color="auto" w:fill="auto"/>
            <w:vAlign w:val="center"/>
          </w:tcPr>
          <w:p w14:paraId="39CE83AA" w14:textId="77777777" w:rsidR="001C5AC4" w:rsidRPr="00912134" w:rsidRDefault="001C5AC4" w:rsidP="007F1961">
            <w:pPr>
              <w:jc w:val="center"/>
              <w:rPr>
                <w:rFonts w:ascii="Calibri" w:hAnsi="Calibri" w:cstheme="minorHAnsi"/>
                <w:color w:val="000000"/>
                <w:sz w:val="18"/>
                <w:szCs w:val="18"/>
              </w:rPr>
            </w:pPr>
            <w:r w:rsidRPr="00912134">
              <w:rPr>
                <w:rFonts w:ascii="Calibri" w:hAnsi="Calibri" w:cstheme="minorHAnsi"/>
                <w:color w:val="000000"/>
                <w:sz w:val="18"/>
                <w:szCs w:val="18"/>
              </w:rPr>
              <w:t>Hormonal Assessment</w:t>
            </w:r>
          </w:p>
        </w:tc>
        <w:tc>
          <w:tcPr>
            <w:tcW w:w="1703" w:type="dxa"/>
            <w:tcBorders>
              <w:top w:val="single" w:sz="4" w:space="0" w:color="auto"/>
              <w:bottom w:val="single" w:sz="4" w:space="0" w:color="auto"/>
            </w:tcBorders>
            <w:shd w:val="clear" w:color="auto" w:fill="auto"/>
            <w:vAlign w:val="center"/>
          </w:tcPr>
          <w:p w14:paraId="429DEBCC" w14:textId="77777777" w:rsidR="001C5AC4" w:rsidRPr="00AF6261" w:rsidRDefault="001C5AC4"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Serum testosterone level by comercial kits</w:t>
            </w:r>
          </w:p>
        </w:tc>
        <w:tc>
          <w:tcPr>
            <w:tcW w:w="2010" w:type="dxa"/>
            <w:tcBorders>
              <w:top w:val="single" w:sz="4" w:space="0" w:color="auto"/>
              <w:bottom w:val="single" w:sz="4" w:space="0" w:color="auto"/>
            </w:tcBorders>
            <w:shd w:val="clear" w:color="auto" w:fill="auto"/>
            <w:vAlign w:val="center"/>
          </w:tcPr>
          <w:p w14:paraId="3F6BBF2F" w14:textId="77777777" w:rsidR="001C5AC4" w:rsidRPr="00912134" w:rsidRDefault="001C5AC4" w:rsidP="007F1961">
            <w:pPr>
              <w:jc w:val="center"/>
              <w:rPr>
                <w:rFonts w:ascii="Calibri" w:hAnsi="Calibri" w:cstheme="minorHAnsi"/>
                <w:color w:val="000000"/>
                <w:sz w:val="18"/>
                <w:szCs w:val="18"/>
              </w:rPr>
            </w:pPr>
            <w:r w:rsidRPr="00912134">
              <w:rPr>
                <w:rFonts w:ascii="Calibri" w:hAnsi="Calibri" w:cstheme="minorHAnsi"/>
                <w:color w:val="000000"/>
                <w:sz w:val="18"/>
                <w:szCs w:val="18"/>
              </w:rPr>
              <w:t>Decreased testosterone hormone</w:t>
            </w:r>
          </w:p>
        </w:tc>
        <w:tc>
          <w:tcPr>
            <w:tcW w:w="2273" w:type="dxa"/>
            <w:tcBorders>
              <w:top w:val="single" w:sz="4" w:space="0" w:color="auto"/>
              <w:bottom w:val="single" w:sz="4" w:space="0" w:color="auto"/>
            </w:tcBorders>
            <w:vAlign w:val="center"/>
          </w:tcPr>
          <w:p w14:paraId="23925241" w14:textId="77777777" w:rsidR="001C5AC4" w:rsidRPr="005C7007" w:rsidRDefault="001C5AC4" w:rsidP="007F1961">
            <w:pPr>
              <w:jc w:val="center"/>
              <w:rPr>
                <w:sz w:val="18"/>
                <w:szCs w:val="18"/>
                <w:lang w:val="en-US"/>
              </w:rPr>
            </w:pPr>
            <w:r w:rsidRPr="000270BA">
              <w:rPr>
                <w:sz w:val="18"/>
                <w:szCs w:val="18"/>
                <w:lang w:val="en-US"/>
              </w:rPr>
              <w:t>Reduction, testosterone</w:t>
            </w:r>
            <w:r>
              <w:rPr>
                <w:sz w:val="18"/>
                <w:szCs w:val="18"/>
                <w:lang w:val="en-US"/>
              </w:rPr>
              <w:t xml:space="preserve"> level (ID1613, ID1689, ID1612)</w:t>
            </w:r>
          </w:p>
        </w:tc>
        <w:tc>
          <w:tcPr>
            <w:tcW w:w="2386" w:type="dxa"/>
            <w:tcBorders>
              <w:top w:val="single" w:sz="4" w:space="0" w:color="auto"/>
              <w:bottom w:val="single" w:sz="4" w:space="0" w:color="auto"/>
            </w:tcBorders>
            <w:shd w:val="clear" w:color="auto" w:fill="auto"/>
            <w:vAlign w:val="center"/>
          </w:tcPr>
          <w:p w14:paraId="3F6A5BD5" w14:textId="77777777" w:rsidR="001C5AC4" w:rsidRPr="000270BA" w:rsidRDefault="001C5AC4"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Decreased sperm quantity or quality in the adult, Decreased fertility</w:t>
            </w:r>
          </w:p>
        </w:tc>
        <w:tc>
          <w:tcPr>
            <w:tcW w:w="851" w:type="dxa"/>
            <w:vMerge/>
            <w:tcBorders>
              <w:left w:val="nil"/>
              <w:right w:val="single" w:sz="8" w:space="0" w:color="auto"/>
            </w:tcBorders>
          </w:tcPr>
          <w:p w14:paraId="6E51DA82" w14:textId="77777777" w:rsidR="001C5AC4" w:rsidRPr="00AF6261" w:rsidRDefault="001C5AC4" w:rsidP="007F3FC3">
            <w:pPr>
              <w:jc w:val="center"/>
              <w:rPr>
                <w:rFonts w:ascii="Calibri" w:hAnsi="Calibri" w:cstheme="minorHAnsi"/>
                <w:color w:val="000000"/>
                <w:sz w:val="18"/>
                <w:szCs w:val="18"/>
                <w:lang w:val="en-US"/>
              </w:rPr>
            </w:pPr>
          </w:p>
        </w:tc>
      </w:tr>
      <w:tr w:rsidR="001C5AC4" w:rsidRPr="00DC5D76" w14:paraId="71377E15"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7AA443CE" w14:textId="77777777" w:rsidR="001C5AC4" w:rsidRPr="00AF6261" w:rsidRDefault="001C5AC4" w:rsidP="001C5AC4">
            <w:pPr>
              <w:ind w:left="113" w:right="113"/>
              <w:jc w:val="center"/>
              <w:rPr>
                <w:rFonts w:ascii="Calibri" w:hAnsi="Calibri"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0ACA3179" w14:textId="77777777" w:rsidR="001C5AC4" w:rsidRPr="00AF6261" w:rsidRDefault="001C5AC4" w:rsidP="001C5AC4">
            <w:pPr>
              <w:ind w:left="113" w:right="113"/>
              <w:jc w:val="center"/>
              <w:rPr>
                <w:rFonts w:ascii="Calibri" w:hAnsi="Calibri" w:cstheme="minorHAnsi"/>
                <w:color w:val="000000"/>
                <w:sz w:val="18"/>
                <w:szCs w:val="18"/>
                <w:lang w:val="en-US"/>
              </w:rPr>
            </w:pPr>
          </w:p>
        </w:tc>
        <w:tc>
          <w:tcPr>
            <w:tcW w:w="1275" w:type="dxa"/>
            <w:vMerge/>
            <w:tcBorders>
              <w:bottom w:val="single" w:sz="4" w:space="0" w:color="auto"/>
            </w:tcBorders>
            <w:textDirection w:val="btLr"/>
            <w:vAlign w:val="center"/>
          </w:tcPr>
          <w:p w14:paraId="09D89759" w14:textId="77777777" w:rsidR="001C5AC4" w:rsidRPr="00AF6261" w:rsidRDefault="001C5AC4" w:rsidP="001C5AC4">
            <w:pPr>
              <w:ind w:left="113" w:right="113"/>
              <w:jc w:val="center"/>
              <w:rPr>
                <w:rFonts w:ascii="Calibri" w:hAnsi="Calibri"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5532E123" w14:textId="77777777" w:rsidR="001C5AC4" w:rsidRPr="00912134" w:rsidRDefault="001C5AC4" w:rsidP="007F1961">
            <w:pPr>
              <w:jc w:val="center"/>
              <w:rPr>
                <w:rFonts w:ascii="Calibri" w:hAnsi="Calibri" w:cstheme="minorHAnsi"/>
                <w:color w:val="000000"/>
                <w:sz w:val="18"/>
                <w:szCs w:val="18"/>
              </w:rPr>
            </w:pPr>
            <w:r w:rsidRPr="00912134">
              <w:rPr>
                <w:rFonts w:ascii="Calibri" w:hAnsi="Calibri" w:cstheme="minorHAnsi"/>
                <w:color w:val="000000"/>
                <w:sz w:val="18"/>
                <w:szCs w:val="18"/>
              </w:rPr>
              <w:t>Histological parametres</w:t>
            </w:r>
          </w:p>
        </w:tc>
        <w:tc>
          <w:tcPr>
            <w:tcW w:w="1703" w:type="dxa"/>
            <w:tcBorders>
              <w:top w:val="single" w:sz="4" w:space="0" w:color="auto"/>
              <w:bottom w:val="single" w:sz="4" w:space="0" w:color="auto"/>
            </w:tcBorders>
            <w:shd w:val="clear" w:color="auto" w:fill="auto"/>
            <w:vAlign w:val="center"/>
          </w:tcPr>
          <w:p w14:paraId="1BF3D136" w14:textId="77777777" w:rsidR="001C5AC4" w:rsidRPr="00AF6261" w:rsidRDefault="001C5AC4"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Testis, the volume of interstitial tissue and seminiferous tubules</w:t>
            </w:r>
          </w:p>
        </w:tc>
        <w:tc>
          <w:tcPr>
            <w:tcW w:w="2010" w:type="dxa"/>
            <w:tcBorders>
              <w:top w:val="single" w:sz="4" w:space="0" w:color="auto"/>
              <w:bottom w:val="single" w:sz="4" w:space="0" w:color="auto"/>
            </w:tcBorders>
            <w:shd w:val="clear" w:color="auto" w:fill="auto"/>
            <w:vAlign w:val="center"/>
          </w:tcPr>
          <w:p w14:paraId="73ADC1C1" w14:textId="77777777" w:rsidR="001C5AC4" w:rsidRPr="00AF6261" w:rsidRDefault="001C5AC4"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 xml:space="preserve">Decreased mean volume of testicular tissue and the volume of seminiferous tubules  Decreased sperm density,  mean  number  </w:t>
            </w:r>
            <w:r w:rsidRPr="00AF6261">
              <w:rPr>
                <w:rFonts w:ascii="Calibri" w:hAnsi="Calibri" w:cstheme="minorHAnsi"/>
                <w:color w:val="000000"/>
                <w:sz w:val="18"/>
                <w:szCs w:val="18"/>
                <w:lang w:val="en-US"/>
              </w:rPr>
              <w:lastRenderedPageBreak/>
              <w:t>of  spermatocytes, mean  number of Sertoli cells</w:t>
            </w:r>
          </w:p>
        </w:tc>
        <w:tc>
          <w:tcPr>
            <w:tcW w:w="2273" w:type="dxa"/>
            <w:tcBorders>
              <w:top w:val="single" w:sz="4" w:space="0" w:color="auto"/>
              <w:bottom w:val="single" w:sz="4" w:space="0" w:color="auto"/>
            </w:tcBorders>
            <w:vAlign w:val="center"/>
          </w:tcPr>
          <w:p w14:paraId="6BEF11B5" w14:textId="77777777" w:rsidR="001C5AC4" w:rsidRPr="000270BA" w:rsidRDefault="001C5AC4"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lastRenderedPageBreak/>
              <w:t>Testicular atrophy</w:t>
            </w:r>
          </w:p>
          <w:p w14:paraId="4D872BB0" w14:textId="77777777" w:rsidR="001C5AC4" w:rsidRPr="000270BA" w:rsidRDefault="001C5AC4"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bottom w:val="single" w:sz="4" w:space="0" w:color="auto"/>
            </w:tcBorders>
            <w:shd w:val="clear" w:color="auto" w:fill="auto"/>
            <w:vAlign w:val="center"/>
          </w:tcPr>
          <w:p w14:paraId="55A3DE2C" w14:textId="77777777" w:rsidR="001C5AC4" w:rsidRPr="000270BA" w:rsidRDefault="001C5AC4"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0A8F12A8" w14:textId="77777777" w:rsidR="001C5AC4" w:rsidRPr="000270BA" w:rsidRDefault="001C5AC4"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left w:val="nil"/>
              <w:bottom w:val="single" w:sz="4" w:space="0" w:color="auto"/>
              <w:right w:val="single" w:sz="8" w:space="0" w:color="auto"/>
            </w:tcBorders>
          </w:tcPr>
          <w:p w14:paraId="2DCB7440" w14:textId="77777777" w:rsidR="001C5AC4" w:rsidRPr="00AF6261" w:rsidRDefault="001C5AC4" w:rsidP="007F3FC3">
            <w:pPr>
              <w:jc w:val="center"/>
              <w:rPr>
                <w:rFonts w:ascii="Calibri" w:hAnsi="Calibri" w:cstheme="minorHAnsi"/>
                <w:color w:val="000000"/>
                <w:sz w:val="18"/>
                <w:szCs w:val="18"/>
                <w:lang w:val="en-US"/>
              </w:rPr>
            </w:pPr>
          </w:p>
        </w:tc>
      </w:tr>
      <w:tr w:rsidR="00AE73B3" w:rsidRPr="00DC5D76" w14:paraId="45030CBE" w14:textId="77777777" w:rsidTr="007F1961">
        <w:trPr>
          <w:trHeight w:val="195"/>
        </w:trPr>
        <w:tc>
          <w:tcPr>
            <w:tcW w:w="1408" w:type="dxa"/>
            <w:vMerge w:val="restart"/>
            <w:tcBorders>
              <w:left w:val="single" w:sz="4" w:space="0" w:color="auto"/>
            </w:tcBorders>
            <w:shd w:val="clear" w:color="auto" w:fill="auto"/>
            <w:textDirection w:val="btLr"/>
            <w:vAlign w:val="center"/>
          </w:tcPr>
          <w:p w14:paraId="1996AD9A" w14:textId="77777777" w:rsidR="00AE73B3" w:rsidRPr="00AF6261" w:rsidRDefault="00AE73B3" w:rsidP="002F09B7">
            <w:pPr>
              <w:autoSpaceDE w:val="0"/>
              <w:autoSpaceDN w:val="0"/>
              <w:adjustRightInd w:val="0"/>
              <w:spacing w:after="0" w:line="240" w:lineRule="auto"/>
              <w:ind w:left="113" w:right="113"/>
              <w:rPr>
                <w:rFonts w:cstheme="minorHAnsi"/>
                <w:sz w:val="18"/>
                <w:szCs w:val="18"/>
                <w:lang w:val="en-US"/>
              </w:rPr>
            </w:pPr>
          </w:p>
          <w:p w14:paraId="5349F34A" w14:textId="668C3E34" w:rsidR="00AE73B3" w:rsidRPr="00912134" w:rsidRDefault="00AE73B3" w:rsidP="002F09B7">
            <w:pPr>
              <w:autoSpaceDE w:val="0"/>
              <w:autoSpaceDN w:val="0"/>
              <w:adjustRightInd w:val="0"/>
              <w:spacing w:after="0" w:line="240" w:lineRule="auto"/>
              <w:ind w:left="113" w:right="113"/>
              <w:rPr>
                <w:rFonts w:ascii="Calibri" w:hAnsi="Calibri" w:cstheme="minorHAnsi"/>
                <w:color w:val="000000"/>
                <w:sz w:val="18"/>
                <w:szCs w:val="18"/>
              </w:rPr>
            </w:pPr>
            <w:r w:rsidRPr="00AF6261">
              <w:rPr>
                <w:rFonts w:cstheme="minorHAnsi"/>
                <w:sz w:val="18"/>
                <w:szCs w:val="18"/>
                <w:lang w:val="en-US"/>
              </w:rPr>
              <w:t xml:space="preserve"> AgNPs obtained by green synthesis with </w:t>
            </w:r>
            <w:r w:rsidRPr="00AF6261">
              <w:rPr>
                <w:rFonts w:cstheme="minorHAnsi"/>
                <w:i/>
                <w:iCs/>
                <w:sz w:val="18"/>
                <w:szCs w:val="18"/>
                <w:lang w:val="en-US"/>
              </w:rPr>
              <w:t xml:space="preserve">Viburnum opulus </w:t>
            </w:r>
            <w:r w:rsidRPr="00AF6261">
              <w:rPr>
                <w:rFonts w:cstheme="minorHAnsi"/>
                <w:sz w:val="18"/>
                <w:szCs w:val="18"/>
                <w:lang w:val="en-US"/>
              </w:rPr>
              <w:t xml:space="preserve">L.  </w:t>
            </w:r>
            <w:r>
              <w:rPr>
                <w:rFonts w:cstheme="minorHAnsi"/>
                <w:sz w:val="18"/>
                <w:szCs w:val="18"/>
              </w:rPr>
              <w:t xml:space="preserve">Size : </w:t>
            </w:r>
            <w:r w:rsidRPr="009870F6">
              <w:rPr>
                <w:rFonts w:cstheme="minorHAnsi"/>
                <w:sz w:val="18"/>
                <w:szCs w:val="18"/>
              </w:rPr>
              <w:t>17 nm</w:t>
            </w:r>
            <w:r>
              <w:rPr>
                <w:rFonts w:cstheme="minorHAnsi"/>
                <w:sz w:val="18"/>
                <w:szCs w:val="18"/>
              </w:rPr>
              <w:t xml:space="preserve">, Shape : </w:t>
            </w:r>
            <w:r w:rsidRPr="009870F6">
              <w:rPr>
                <w:rFonts w:cstheme="minorHAnsi"/>
                <w:sz w:val="18"/>
                <w:szCs w:val="18"/>
              </w:rPr>
              <w:t>Spherical</w:t>
            </w:r>
          </w:p>
        </w:tc>
        <w:tc>
          <w:tcPr>
            <w:tcW w:w="1276" w:type="dxa"/>
            <w:vMerge w:val="restart"/>
            <w:shd w:val="clear" w:color="auto" w:fill="auto"/>
            <w:textDirection w:val="btLr"/>
            <w:vAlign w:val="center"/>
          </w:tcPr>
          <w:p w14:paraId="71ADBF20" w14:textId="77777777" w:rsidR="00AE73B3" w:rsidRPr="00AF6261" w:rsidRDefault="00AE73B3" w:rsidP="001C5AC4">
            <w:pPr>
              <w:ind w:left="113" w:right="113"/>
              <w:jc w:val="center"/>
              <w:rPr>
                <w:rFonts w:cstheme="minorHAnsi"/>
                <w:sz w:val="18"/>
                <w:szCs w:val="18"/>
                <w:lang w:val="en-US"/>
              </w:rPr>
            </w:pPr>
            <w:r w:rsidRPr="00AF6261">
              <w:rPr>
                <w:rFonts w:cstheme="minorHAnsi"/>
                <w:sz w:val="18"/>
                <w:szCs w:val="18"/>
                <w:lang w:val="en-US"/>
              </w:rPr>
              <w:t xml:space="preserve">Ten-week-old pregnant Wistar rats </w:t>
            </w:r>
          </w:p>
          <w:p w14:paraId="04E6F953" w14:textId="77777777" w:rsidR="00AE73B3" w:rsidRPr="00A85F63" w:rsidRDefault="00AE73B3" w:rsidP="00A85F63">
            <w:pPr>
              <w:ind w:left="113" w:right="113"/>
              <w:jc w:val="center"/>
              <w:rPr>
                <w:rFonts w:cstheme="minorHAnsi"/>
                <w:sz w:val="18"/>
                <w:szCs w:val="18"/>
              </w:rPr>
            </w:pPr>
            <w:r w:rsidRPr="009870F6">
              <w:rPr>
                <w:rFonts w:cstheme="minorHAnsi"/>
                <w:sz w:val="18"/>
                <w:szCs w:val="18"/>
              </w:rPr>
              <w:t>Intraperitoneally</w:t>
            </w:r>
            <w:r>
              <w:rPr>
                <w:rFonts w:cstheme="minorHAnsi"/>
                <w:sz w:val="18"/>
                <w:szCs w:val="18"/>
              </w:rPr>
              <w:t xml:space="preserve"> </w:t>
            </w:r>
          </w:p>
          <w:p w14:paraId="57074F2C" w14:textId="034F438E" w:rsidR="00AE73B3" w:rsidRPr="00912134" w:rsidRDefault="00AE73B3" w:rsidP="00A85F63">
            <w:pPr>
              <w:ind w:left="113" w:right="113"/>
              <w:jc w:val="center"/>
              <w:rPr>
                <w:rFonts w:ascii="Calibri" w:hAnsi="Calibri" w:cstheme="minorHAnsi"/>
                <w:color w:val="000000"/>
                <w:sz w:val="18"/>
                <w:szCs w:val="18"/>
              </w:rPr>
            </w:pPr>
          </w:p>
        </w:tc>
        <w:tc>
          <w:tcPr>
            <w:tcW w:w="1275" w:type="dxa"/>
            <w:vMerge w:val="restart"/>
            <w:textDirection w:val="btLr"/>
            <w:vAlign w:val="center"/>
          </w:tcPr>
          <w:p w14:paraId="4E753D66" w14:textId="45BBED63" w:rsidR="00AE73B3" w:rsidRPr="00AF6261" w:rsidRDefault="00AE73B3" w:rsidP="001C5AC4">
            <w:pPr>
              <w:ind w:left="113" w:right="113"/>
              <w:jc w:val="center"/>
              <w:rPr>
                <w:rFonts w:ascii="Calibri" w:hAnsi="Calibri" w:cstheme="minorHAnsi"/>
                <w:color w:val="000000"/>
                <w:sz w:val="18"/>
                <w:szCs w:val="18"/>
                <w:lang w:val="en-US"/>
              </w:rPr>
            </w:pPr>
            <w:r w:rsidRPr="00AF6261">
              <w:rPr>
                <w:rFonts w:cstheme="minorHAnsi"/>
                <w:sz w:val="18"/>
                <w:szCs w:val="18"/>
                <w:lang w:val="en-US"/>
              </w:rPr>
              <w:t>Two different doses of AgNPs (0.8 and 1.5 mg/kg b.w.) were administered to Wistar female rats on days 3–14 of gestation. Evaluation after 6 weeks of birth. AgNPs D1 group (from mothers treated with 0.8 mg/kg b.w. AgNPs); AgNPs D2 group (from mothers treated with 1.5 mg/kg b.w. AgNPs).</w:t>
            </w:r>
          </w:p>
        </w:tc>
        <w:tc>
          <w:tcPr>
            <w:tcW w:w="1668" w:type="dxa"/>
            <w:tcBorders>
              <w:top w:val="single" w:sz="4" w:space="0" w:color="auto"/>
              <w:bottom w:val="single" w:sz="4" w:space="0" w:color="auto"/>
            </w:tcBorders>
            <w:shd w:val="clear" w:color="auto" w:fill="auto"/>
            <w:vAlign w:val="center"/>
          </w:tcPr>
          <w:p w14:paraId="02C159E9" w14:textId="58B65A3F" w:rsidR="00AE73B3" w:rsidRPr="00912134" w:rsidRDefault="00AE73B3" w:rsidP="007F1961">
            <w:pPr>
              <w:jc w:val="center"/>
              <w:rPr>
                <w:rFonts w:ascii="Calibri" w:hAnsi="Calibri" w:cstheme="minorHAnsi"/>
                <w:color w:val="000000"/>
                <w:sz w:val="18"/>
                <w:szCs w:val="18"/>
              </w:rPr>
            </w:pPr>
            <w:r>
              <w:rPr>
                <w:rFonts w:eastAsia="Times New Roman" w:cstheme="minorHAnsi"/>
                <w:color w:val="000000"/>
                <w:sz w:val="18"/>
                <w:szCs w:val="18"/>
                <w:lang w:eastAsia="fr-FR"/>
              </w:rPr>
              <w:t>Oxidative Status</w:t>
            </w:r>
          </w:p>
        </w:tc>
        <w:tc>
          <w:tcPr>
            <w:tcW w:w="1703" w:type="dxa"/>
            <w:tcBorders>
              <w:top w:val="single" w:sz="4" w:space="0" w:color="auto"/>
              <w:bottom w:val="single" w:sz="4" w:space="0" w:color="auto"/>
            </w:tcBorders>
            <w:shd w:val="clear" w:color="auto" w:fill="auto"/>
            <w:vAlign w:val="center"/>
          </w:tcPr>
          <w:p w14:paraId="4EA2E9AE" w14:textId="66B0FC93" w:rsidR="00AE73B3" w:rsidRPr="00AF6261" w:rsidRDefault="00AE73B3" w:rsidP="007F1961">
            <w:pPr>
              <w:jc w:val="center"/>
              <w:rPr>
                <w:rFonts w:ascii="Calibri" w:hAnsi="Calibri" w:cstheme="minorHAnsi"/>
                <w:color w:val="000000"/>
                <w:sz w:val="18"/>
                <w:szCs w:val="18"/>
                <w:lang w:val="en-US"/>
              </w:rPr>
            </w:pPr>
            <w:r w:rsidRPr="00AF6261">
              <w:rPr>
                <w:rFonts w:eastAsia="Times New Roman" w:cstheme="minorHAnsi"/>
                <w:color w:val="000000"/>
                <w:sz w:val="18"/>
                <w:szCs w:val="18"/>
                <w:lang w:val="en-US" w:eastAsia="fr-FR"/>
              </w:rPr>
              <w:t>Blood and testicular tissue MDA, GSH, and GSH/GSSG level</w:t>
            </w:r>
          </w:p>
        </w:tc>
        <w:tc>
          <w:tcPr>
            <w:tcW w:w="2010" w:type="dxa"/>
            <w:tcBorders>
              <w:top w:val="single" w:sz="4" w:space="0" w:color="auto"/>
              <w:bottom w:val="single" w:sz="4" w:space="0" w:color="auto"/>
            </w:tcBorders>
            <w:shd w:val="clear" w:color="auto" w:fill="auto"/>
            <w:vAlign w:val="center"/>
          </w:tcPr>
          <w:p w14:paraId="2ED67D81" w14:textId="77777777" w:rsidR="00AE73B3" w:rsidRPr="00AF6261" w:rsidRDefault="00AE73B3" w:rsidP="007F1961">
            <w:pPr>
              <w:spacing w:after="0" w:line="240" w:lineRule="auto"/>
              <w:jc w:val="center"/>
              <w:rPr>
                <w:rFonts w:eastAsia="Times New Roman" w:cstheme="minorHAnsi"/>
                <w:color w:val="000000"/>
                <w:sz w:val="18"/>
                <w:szCs w:val="18"/>
                <w:lang w:val="en-US" w:eastAsia="fr-FR"/>
              </w:rPr>
            </w:pPr>
            <w:r w:rsidRPr="00AF6261">
              <w:rPr>
                <w:rFonts w:eastAsia="Times New Roman" w:cstheme="minorHAnsi"/>
                <w:color w:val="000000"/>
                <w:sz w:val="18"/>
                <w:szCs w:val="18"/>
                <w:lang w:val="en-US" w:eastAsia="fr-FR"/>
              </w:rPr>
              <w:t>Increased MDA content,</w:t>
            </w:r>
          </w:p>
          <w:p w14:paraId="5AEB8E3B" w14:textId="75997921" w:rsidR="00AE73B3" w:rsidRPr="00AF6261" w:rsidRDefault="00AE73B3" w:rsidP="007F1961">
            <w:pPr>
              <w:jc w:val="center"/>
              <w:rPr>
                <w:rFonts w:ascii="Calibri" w:hAnsi="Calibri" w:cstheme="minorHAnsi"/>
                <w:color w:val="000000"/>
                <w:sz w:val="18"/>
                <w:szCs w:val="18"/>
                <w:lang w:val="en-US"/>
              </w:rPr>
            </w:pPr>
            <w:r w:rsidRPr="00AF6261">
              <w:rPr>
                <w:rFonts w:eastAsia="Times New Roman" w:cstheme="minorHAnsi"/>
                <w:color w:val="000000"/>
                <w:sz w:val="18"/>
                <w:szCs w:val="18"/>
                <w:lang w:val="en-US" w:eastAsia="fr-FR"/>
              </w:rPr>
              <w:t xml:space="preserve">GSH/GSSG ratio </w:t>
            </w:r>
            <w:r w:rsidRPr="00AF6261">
              <w:rPr>
                <w:rFonts w:cstheme="minorHAnsi"/>
                <w:sz w:val="18"/>
                <w:szCs w:val="18"/>
                <w:lang w:val="en-US"/>
              </w:rPr>
              <w:t>AgNPs D2 group</w:t>
            </w:r>
          </w:p>
        </w:tc>
        <w:tc>
          <w:tcPr>
            <w:tcW w:w="2273" w:type="dxa"/>
            <w:tcBorders>
              <w:top w:val="single" w:sz="4" w:space="0" w:color="auto"/>
              <w:bottom w:val="single" w:sz="4" w:space="0" w:color="auto"/>
            </w:tcBorders>
            <w:vAlign w:val="center"/>
          </w:tcPr>
          <w:p w14:paraId="1BC8DAD4" w14:textId="77777777" w:rsidR="00AE73B3" w:rsidRPr="000270BA" w:rsidRDefault="00AE73B3"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19BC4BFF" w14:textId="037FC9F7" w:rsidR="00AE73B3" w:rsidRPr="00AF6261" w:rsidRDefault="00AE73B3" w:rsidP="007F1961">
            <w:pPr>
              <w:spacing w:after="0" w:line="240" w:lineRule="auto"/>
              <w:jc w:val="center"/>
              <w:rPr>
                <w:rFonts w:eastAsia="Times New Roman" w:cstheme="minorHAnsi"/>
                <w:sz w:val="18"/>
                <w:szCs w:val="18"/>
                <w:lang w:val="en-US" w:eastAsia="fr-FR"/>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5873BF21" w14:textId="2F42BA40" w:rsidR="00AE73B3" w:rsidRPr="000270BA" w:rsidRDefault="00AE73B3"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Oxidative Damage</w:t>
            </w:r>
          </w:p>
          <w:p w14:paraId="67BC31F4" w14:textId="6B7829E1" w:rsidR="00AE73B3" w:rsidRPr="000270BA" w:rsidRDefault="00AE73B3"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eastAsia="fr-FR"/>
              </w:rPr>
              <w:t>(ID356)</w:t>
            </w:r>
          </w:p>
        </w:tc>
        <w:tc>
          <w:tcPr>
            <w:tcW w:w="851" w:type="dxa"/>
            <w:vMerge w:val="restart"/>
            <w:tcBorders>
              <w:left w:val="nil"/>
              <w:right w:val="single" w:sz="8" w:space="0" w:color="auto"/>
            </w:tcBorders>
            <w:vAlign w:val="center"/>
          </w:tcPr>
          <w:p w14:paraId="39D53FF2" w14:textId="0F30CA94" w:rsidR="00AE73B3" w:rsidRPr="00AF6261" w:rsidRDefault="00AE73B3" w:rsidP="007F3FC3">
            <w:pPr>
              <w:jc w:val="center"/>
              <w:rPr>
                <w:rFonts w:ascii="Calibri" w:hAnsi="Calibri" w:cstheme="minorHAnsi"/>
                <w:color w:val="000000"/>
                <w:sz w:val="18"/>
                <w:szCs w:val="18"/>
                <w:lang w:val="en-US"/>
              </w:rPr>
            </w:pPr>
            <w:r>
              <w:rPr>
                <w:rFonts w:ascii="Calibri" w:hAnsi="Calibri" w:cstheme="minorHAnsi"/>
                <w:color w:val="000000"/>
                <w:sz w:val="18"/>
                <w:szCs w:val="18"/>
              </w:rPr>
              <w:fldChar w:fldCharType="begin" w:fldLock="1"/>
            </w:r>
            <w:r w:rsidR="007F3FC3">
              <w:rPr>
                <w:rFonts w:ascii="Calibri" w:hAnsi="Calibri" w:cstheme="minorHAnsi"/>
                <w:color w:val="000000"/>
                <w:sz w:val="18"/>
                <w:szCs w:val="18"/>
              </w:rPr>
              <w:instrText>ADDIN CSL_CITATION {"citationItems":[{"id":"ITEM-1","itemData":{"DOI":"10.1016/j.fct.2021.112053","ISSN":"18736351","PMID":"33577941","abstract":"Aim: To investigate the effects of prenatal exposure to AgNPs obtained by green synthesis with Viburnum opulus L. extract on the testis in male offspring rats. Material and methods: Two different doses of AgNPs (0.8 and 1.5 mg/kg b.w.) and vehicle (PBS) were administered to Wistar female rats on days 3–14 of gestation. At 6 weeks after birth, the ultrastructural changes in correlation with the amount of silver as well as the parameters of oxidative stress, inflammation and cell death mechanisms in the testis of male offspring were evaluated. Results: AgNPs administered during pregnancy crossed the placental and testicular barriers and induced oxidative stress, DNA damage and autophagy as mechanism of cell toxicity. The markers of inflammation and apoptosis decreased after AgNPs exposure while the NFkB activation increased. TEM examination revealed important ultrastructural changes of Sertoli cells, numerous vacuoles and cytoplasmic changes suggestive of the cellʹs evolution towards necrosis. Conclusion: Phytoreduced silver nanoparticles with polyphenols from Viburnum opulus L. fruit extract, administered during the embryological development of the male gonad, have testicular toxic effects in offspring even at 6 weeks after birth.","author":[{"dropping-particle":"","family":"Bidian","given":"Cristina","non-dropping-particle":"","parse-names":false,"suffix":""},{"dropping-particle":"","family":"Filip","given":"Gabriela Adriana","non-dropping-particle":"","parse-names":false,"suffix":""},{"dropping-particle":"","family":"David","given":"Luminita","non-dropping-particle":"","parse-names":false,"suffix":""},{"dropping-particle":"","family":"Florea","given":"Adrian","non-dropping-particle":"","parse-names":false,"suffix":""},{"dropping-particle":"","family":"Mol</w:instrText>
            </w:r>
            <w:r w:rsidR="007F3FC3" w:rsidRPr="00AF6261">
              <w:rPr>
                <w:rFonts w:ascii="Calibri" w:hAnsi="Calibri" w:cstheme="minorHAnsi"/>
                <w:color w:val="000000"/>
                <w:sz w:val="18"/>
                <w:szCs w:val="18"/>
                <w:lang w:val="en-US"/>
              </w:rPr>
              <w:instrText>dovan","given":"Bianca","non-dropping-particle":"","parse-names":false,"suffix":""},{"dropping-particle":"","family":"Robu","given":"Daniela Popa","non-dropping-particle":"","parse-names":false,"suffix":""},{"dropping-particle":"","family":"Olteanu","given":"Diana","non-dropping-particle":"","parse-names":false,"suffix":""},{"dropping-particle":"","family":"Radu","given":"Teodora","non-dropping-particle":"","parse-names":false,"suffix":""},{"dropping-particle":"","family":"Clichici","given":"Simona","non-dropping-particle":"","parse-names":false,"suffix":""},{"dropping-particle":"","family":"Mitrea","given":"Daniela Rodica","non-dropping-particle":"","parse-names":false,"suffix":""},{"dropping-particle":"","family":"Baldea","given":"Ioana","non-dropping-particle":"","parse-names":false,"suffix":""}],"container-title":"Food and Chemical Toxicology","id":"ITEM-1","issue":"February","issued":{"date-parts":[["2021"]]},"publisher":"Elsevier Ltd","title":"The impact of silver nanoparticles phytosynthesized with Viburnum opulus L. extract on the ultrastrastructure and cell death in the testis of offspring rats","type":"article-journal","volume":"150"},"uris":["http://www.mendeley.com/documents/?uuid=ed4164e9-725d-4f87-b71c-d2f63a000b84"]}],"mendeley":{"formattedCitation":"(6)","plainTextFormattedCitation":"(6)","previouslyFormattedCitation":"(Bidian et al. 2021)"},"properties":{"noteIndex":0},"schema":"https://github.com/citation-style-language/schema/raw/master/csl-citation.json"}</w:instrText>
            </w:r>
            <w:r>
              <w:rPr>
                <w:rFonts w:ascii="Calibri" w:hAnsi="Calibri" w:cstheme="minorHAnsi"/>
                <w:color w:val="000000"/>
                <w:sz w:val="18"/>
                <w:szCs w:val="18"/>
              </w:rPr>
              <w:fldChar w:fldCharType="separate"/>
            </w:r>
            <w:r w:rsidR="007F3FC3" w:rsidRPr="00AF6261">
              <w:rPr>
                <w:rFonts w:ascii="Calibri" w:hAnsi="Calibri" w:cstheme="minorHAnsi"/>
                <w:noProof/>
                <w:color w:val="000000"/>
                <w:sz w:val="18"/>
                <w:szCs w:val="18"/>
                <w:lang w:val="en-US"/>
              </w:rPr>
              <w:t>(6)</w:t>
            </w:r>
            <w:r>
              <w:rPr>
                <w:rFonts w:ascii="Calibri" w:hAnsi="Calibri" w:cstheme="minorHAnsi"/>
                <w:color w:val="000000"/>
                <w:sz w:val="18"/>
                <w:szCs w:val="18"/>
              </w:rPr>
              <w:fldChar w:fldCharType="end"/>
            </w:r>
          </w:p>
        </w:tc>
      </w:tr>
      <w:tr w:rsidR="00AE73B3" w:rsidRPr="00DC5D76" w14:paraId="35A5B413" w14:textId="77777777" w:rsidTr="007F1961">
        <w:trPr>
          <w:trHeight w:val="195"/>
        </w:trPr>
        <w:tc>
          <w:tcPr>
            <w:tcW w:w="1408" w:type="dxa"/>
            <w:vMerge/>
            <w:tcBorders>
              <w:left w:val="single" w:sz="4" w:space="0" w:color="auto"/>
            </w:tcBorders>
            <w:shd w:val="clear" w:color="auto" w:fill="auto"/>
            <w:textDirection w:val="btLr"/>
            <w:vAlign w:val="center"/>
          </w:tcPr>
          <w:p w14:paraId="6E456DFA" w14:textId="77777777" w:rsidR="00AE73B3" w:rsidRPr="00AF6261" w:rsidRDefault="00AE73B3" w:rsidP="002F09B7">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78990501" w14:textId="77777777" w:rsidR="00AE73B3" w:rsidRPr="00AF6261" w:rsidRDefault="00AE73B3" w:rsidP="002F09B7">
            <w:pPr>
              <w:ind w:left="113" w:right="113"/>
              <w:jc w:val="center"/>
              <w:rPr>
                <w:rFonts w:ascii="Calibri" w:hAnsi="Calibri" w:cstheme="minorHAnsi"/>
                <w:color w:val="000000"/>
                <w:sz w:val="18"/>
                <w:szCs w:val="18"/>
                <w:lang w:val="en-US"/>
              </w:rPr>
            </w:pPr>
          </w:p>
        </w:tc>
        <w:tc>
          <w:tcPr>
            <w:tcW w:w="1275" w:type="dxa"/>
            <w:vMerge/>
            <w:textDirection w:val="btLr"/>
            <w:vAlign w:val="center"/>
          </w:tcPr>
          <w:p w14:paraId="2161FADD" w14:textId="77777777" w:rsidR="00AE73B3" w:rsidRPr="00AF6261" w:rsidRDefault="00AE73B3" w:rsidP="002F09B7">
            <w:pPr>
              <w:ind w:left="113" w:right="113"/>
              <w:jc w:val="center"/>
              <w:rPr>
                <w:rFonts w:ascii="Calibri" w:hAnsi="Calibri"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46E1C1BB" w14:textId="2DEFED5C" w:rsidR="00AE73B3" w:rsidRPr="00AF6261" w:rsidRDefault="00AE73B3" w:rsidP="007F1961">
            <w:pPr>
              <w:jc w:val="center"/>
              <w:rPr>
                <w:rFonts w:ascii="Calibri" w:hAnsi="Calibri" w:cstheme="minorHAnsi"/>
                <w:color w:val="000000"/>
                <w:sz w:val="18"/>
                <w:szCs w:val="18"/>
                <w:lang w:val="en-US"/>
              </w:rPr>
            </w:pPr>
            <w:r w:rsidRPr="00AF6261">
              <w:rPr>
                <w:rFonts w:cstheme="minorHAnsi"/>
                <w:sz w:val="18"/>
                <w:szCs w:val="18"/>
                <w:lang w:val="en-US"/>
              </w:rPr>
              <w:t>Apoptosis , DNA lesions</w:t>
            </w:r>
          </w:p>
        </w:tc>
        <w:tc>
          <w:tcPr>
            <w:tcW w:w="1703" w:type="dxa"/>
            <w:tcBorders>
              <w:top w:val="single" w:sz="4" w:space="0" w:color="auto"/>
              <w:bottom w:val="single" w:sz="4" w:space="0" w:color="auto"/>
            </w:tcBorders>
            <w:shd w:val="clear" w:color="auto" w:fill="auto"/>
            <w:vAlign w:val="center"/>
          </w:tcPr>
          <w:p w14:paraId="5DD20DC8" w14:textId="7DEF896A" w:rsidR="00AE73B3" w:rsidRPr="00AF6261" w:rsidRDefault="00AE73B3" w:rsidP="007F1961">
            <w:pPr>
              <w:jc w:val="center"/>
              <w:rPr>
                <w:rFonts w:ascii="Calibri" w:hAnsi="Calibri" w:cstheme="minorHAnsi"/>
                <w:color w:val="000000"/>
                <w:sz w:val="18"/>
                <w:szCs w:val="18"/>
                <w:lang w:val="en-US"/>
              </w:rPr>
            </w:pPr>
            <w:r w:rsidRPr="00AF6261">
              <w:rPr>
                <w:rFonts w:cstheme="minorHAnsi"/>
                <w:color w:val="131413"/>
                <w:sz w:val="18"/>
                <w:szCs w:val="18"/>
                <w:lang w:val="en-US"/>
              </w:rPr>
              <w:t xml:space="preserve">p53, BCL2, BAX and </w:t>
            </w:r>
            <w:r w:rsidRPr="00183E88">
              <w:rPr>
                <w:rFonts w:cstheme="minorHAnsi"/>
                <w:color w:val="131413"/>
                <w:sz w:val="18"/>
                <w:szCs w:val="18"/>
              </w:rPr>
              <w:t>γ</w:t>
            </w:r>
            <w:r w:rsidRPr="00AF6261">
              <w:rPr>
                <w:rFonts w:cstheme="minorHAnsi"/>
                <w:color w:val="131413"/>
                <w:sz w:val="18"/>
                <w:szCs w:val="18"/>
                <w:lang w:val="en-US"/>
              </w:rPr>
              <w:t>H2Ax proteins in the testes</w:t>
            </w:r>
          </w:p>
        </w:tc>
        <w:tc>
          <w:tcPr>
            <w:tcW w:w="2010" w:type="dxa"/>
            <w:tcBorders>
              <w:top w:val="single" w:sz="4" w:space="0" w:color="auto"/>
              <w:bottom w:val="single" w:sz="4" w:space="0" w:color="auto"/>
            </w:tcBorders>
            <w:shd w:val="clear" w:color="auto" w:fill="auto"/>
            <w:vAlign w:val="center"/>
          </w:tcPr>
          <w:p w14:paraId="5E678C3E" w14:textId="697794C0" w:rsidR="00AE73B3" w:rsidRPr="00AF6261" w:rsidRDefault="00AE73B3" w:rsidP="007F1961">
            <w:pPr>
              <w:jc w:val="center"/>
              <w:rPr>
                <w:rFonts w:ascii="Calibri" w:hAnsi="Calibri" w:cstheme="minorHAnsi"/>
                <w:color w:val="000000"/>
                <w:sz w:val="18"/>
                <w:szCs w:val="18"/>
                <w:lang w:val="en-US"/>
              </w:rPr>
            </w:pPr>
            <w:r w:rsidRPr="00AF6261">
              <w:rPr>
                <w:rFonts w:cstheme="minorHAnsi"/>
                <w:color w:val="131413"/>
                <w:sz w:val="18"/>
                <w:szCs w:val="18"/>
                <w:lang w:val="en-US"/>
              </w:rPr>
              <w:t>Decreased p53</w:t>
            </w:r>
            <w:r w:rsidRPr="00AF6261">
              <w:rPr>
                <w:rFonts w:cstheme="minorHAnsi"/>
                <w:sz w:val="18"/>
                <w:szCs w:val="18"/>
                <w:lang w:val="en-US"/>
              </w:rPr>
              <w:t xml:space="preserve"> BAX</w:t>
            </w:r>
            <w:r w:rsidRPr="00AF6261">
              <w:rPr>
                <w:rFonts w:cstheme="minorHAnsi"/>
                <w:color w:val="131413"/>
                <w:sz w:val="18"/>
                <w:szCs w:val="18"/>
                <w:lang w:val="en-US"/>
              </w:rPr>
              <w:t xml:space="preserve"> protein , no change in Bcl-2 , </w:t>
            </w:r>
            <w:r w:rsidRPr="00183E88">
              <w:rPr>
                <w:rFonts w:cstheme="minorHAnsi"/>
                <w:sz w:val="18"/>
                <w:szCs w:val="18"/>
              </w:rPr>
              <w:t>γ</w:t>
            </w:r>
            <w:r w:rsidRPr="00AF6261">
              <w:rPr>
                <w:rFonts w:cstheme="minorHAnsi"/>
                <w:sz w:val="18"/>
                <w:szCs w:val="18"/>
                <w:lang w:val="en-US"/>
              </w:rPr>
              <w:t>H2Ax analysis displayed significantly higher values in the AgNPs D2 group</w:t>
            </w:r>
          </w:p>
        </w:tc>
        <w:tc>
          <w:tcPr>
            <w:tcW w:w="2273" w:type="dxa"/>
            <w:tcBorders>
              <w:top w:val="single" w:sz="4" w:space="0" w:color="auto"/>
              <w:bottom w:val="single" w:sz="4" w:space="0" w:color="auto"/>
            </w:tcBorders>
            <w:vAlign w:val="center"/>
          </w:tcPr>
          <w:p w14:paraId="457C1784" w14:textId="6871C088" w:rsidR="00AE73B3" w:rsidRPr="00AF6261" w:rsidRDefault="00AE73B3" w:rsidP="007F1961">
            <w:pPr>
              <w:spacing w:after="0" w:line="240" w:lineRule="auto"/>
              <w:jc w:val="center"/>
              <w:rPr>
                <w:rFonts w:eastAsia="Times New Roman" w:cstheme="minorHAnsi"/>
                <w:sz w:val="18"/>
                <w:szCs w:val="18"/>
                <w:lang w:val="en-US" w:eastAsia="fr-FR"/>
              </w:rPr>
            </w:pPr>
            <w:r w:rsidRPr="00AF6261">
              <w:rPr>
                <w:rFonts w:ascii="Calibri" w:hAnsi="Calibri" w:cstheme="minorHAnsi"/>
                <w:sz w:val="18"/>
                <w:szCs w:val="18"/>
                <w:lang w:val="en-US"/>
              </w:rPr>
              <w:t>Mitochondrial dependent Apoptosis</w:t>
            </w:r>
          </w:p>
        </w:tc>
        <w:tc>
          <w:tcPr>
            <w:tcW w:w="2386" w:type="dxa"/>
            <w:tcBorders>
              <w:top w:val="single" w:sz="4" w:space="0" w:color="auto"/>
              <w:bottom w:val="single" w:sz="4" w:space="0" w:color="auto"/>
            </w:tcBorders>
            <w:shd w:val="clear" w:color="auto" w:fill="auto"/>
            <w:vAlign w:val="center"/>
          </w:tcPr>
          <w:p w14:paraId="49570C1A" w14:textId="77777777" w:rsidR="00AE73B3" w:rsidRPr="00AF6261" w:rsidRDefault="00AE73B3" w:rsidP="007F1961">
            <w:pPr>
              <w:jc w:val="center"/>
              <w:rPr>
                <w:rFonts w:ascii="Calibri" w:hAnsi="Calibri" w:cstheme="minorHAnsi"/>
                <w:sz w:val="18"/>
                <w:szCs w:val="18"/>
                <w:lang w:val="en-US"/>
              </w:rPr>
            </w:pPr>
            <w:r w:rsidRPr="00AF6261">
              <w:rPr>
                <w:rFonts w:ascii="Calibri" w:hAnsi="Calibri" w:cstheme="minorHAnsi"/>
                <w:sz w:val="18"/>
                <w:szCs w:val="18"/>
                <w:lang w:val="en-US"/>
              </w:rPr>
              <w:t>Reduce, Sperm count (ID1757)</w:t>
            </w:r>
          </w:p>
          <w:p w14:paraId="2B782C25" w14:textId="77777777" w:rsidR="00AE73B3" w:rsidRPr="00AF6261" w:rsidRDefault="00AE73B3" w:rsidP="007F1961">
            <w:pPr>
              <w:jc w:val="center"/>
              <w:rPr>
                <w:rFonts w:ascii="Calibri" w:hAnsi="Calibri" w:cstheme="minorHAnsi"/>
                <w:sz w:val="18"/>
                <w:szCs w:val="18"/>
                <w:lang w:val="en-US"/>
              </w:rPr>
            </w:pPr>
            <w:r w:rsidRPr="00AF6261">
              <w:rPr>
                <w:rFonts w:ascii="Calibri" w:hAnsi="Calibri" w:cstheme="minorHAnsi"/>
                <w:sz w:val="18"/>
                <w:szCs w:val="18"/>
                <w:lang w:val="en-US"/>
              </w:rPr>
              <w:t>Testicular atrophy (ID1506)</w:t>
            </w:r>
          </w:p>
          <w:p w14:paraId="3C425418" w14:textId="77777777" w:rsidR="00AE73B3" w:rsidRPr="00AF6261" w:rsidRDefault="00AE73B3" w:rsidP="007F1961">
            <w:pPr>
              <w:jc w:val="center"/>
              <w:rPr>
                <w:rFonts w:ascii="Calibri" w:hAnsi="Calibri" w:cstheme="minorHAnsi"/>
                <w:sz w:val="18"/>
                <w:szCs w:val="18"/>
                <w:lang w:val="en-US"/>
              </w:rPr>
            </w:pPr>
            <w:r w:rsidRPr="00AF6261">
              <w:rPr>
                <w:rFonts w:ascii="Calibri" w:hAnsi="Calibri" w:cstheme="minorHAnsi"/>
                <w:sz w:val="18"/>
                <w:szCs w:val="18"/>
                <w:lang w:val="en-US"/>
              </w:rPr>
              <w:t>Reproductive failure (ID1277)</w:t>
            </w:r>
          </w:p>
          <w:p w14:paraId="57A0EF97" w14:textId="77777777" w:rsidR="00AE73B3" w:rsidRPr="00AF6261" w:rsidRDefault="00AE73B3" w:rsidP="007F1961">
            <w:pPr>
              <w:jc w:val="center"/>
              <w:rPr>
                <w:rFonts w:ascii="Calibri" w:hAnsi="Calibri" w:cstheme="minorHAnsi"/>
                <w:sz w:val="18"/>
                <w:szCs w:val="18"/>
                <w:lang w:val="en-US"/>
              </w:rPr>
            </w:pPr>
          </w:p>
          <w:p w14:paraId="449EF97F" w14:textId="658D391F" w:rsidR="00AE73B3" w:rsidRPr="000270BA" w:rsidRDefault="00AE73B3" w:rsidP="007F1961">
            <w:pPr>
              <w:spacing w:after="0" w:line="240" w:lineRule="auto"/>
              <w:jc w:val="center"/>
              <w:rPr>
                <w:rFonts w:eastAsia="Times New Roman" w:cstheme="minorHAnsi"/>
                <w:sz w:val="18"/>
                <w:szCs w:val="18"/>
                <w:lang w:val="en-US" w:eastAsia="fr-FR"/>
              </w:rPr>
            </w:pPr>
          </w:p>
        </w:tc>
        <w:tc>
          <w:tcPr>
            <w:tcW w:w="851" w:type="dxa"/>
            <w:vMerge/>
            <w:tcBorders>
              <w:left w:val="nil"/>
              <w:right w:val="single" w:sz="8" w:space="0" w:color="auto"/>
            </w:tcBorders>
          </w:tcPr>
          <w:p w14:paraId="21D64F1C" w14:textId="77777777" w:rsidR="00AE73B3" w:rsidRPr="00AF6261" w:rsidRDefault="00AE73B3" w:rsidP="007F3FC3">
            <w:pPr>
              <w:jc w:val="center"/>
              <w:rPr>
                <w:rFonts w:ascii="Calibri" w:hAnsi="Calibri" w:cstheme="minorHAnsi"/>
                <w:color w:val="000000"/>
                <w:sz w:val="18"/>
                <w:szCs w:val="18"/>
                <w:lang w:val="en-US"/>
              </w:rPr>
            </w:pPr>
          </w:p>
        </w:tc>
      </w:tr>
      <w:tr w:rsidR="00AE73B3" w:rsidRPr="00DC5D76" w14:paraId="47833B4E" w14:textId="77777777" w:rsidTr="007F1961">
        <w:trPr>
          <w:trHeight w:val="195"/>
        </w:trPr>
        <w:tc>
          <w:tcPr>
            <w:tcW w:w="1408" w:type="dxa"/>
            <w:vMerge/>
            <w:tcBorders>
              <w:left w:val="single" w:sz="4" w:space="0" w:color="auto"/>
            </w:tcBorders>
            <w:shd w:val="clear" w:color="auto" w:fill="auto"/>
            <w:textDirection w:val="btLr"/>
            <w:vAlign w:val="center"/>
          </w:tcPr>
          <w:p w14:paraId="520F42FE" w14:textId="77777777" w:rsidR="00AE73B3" w:rsidRPr="00AF6261" w:rsidRDefault="00AE73B3" w:rsidP="001C5AC4">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2E89F0A0" w14:textId="77777777" w:rsidR="00AE73B3" w:rsidRPr="00AF6261" w:rsidRDefault="00AE73B3" w:rsidP="001C5AC4">
            <w:pPr>
              <w:ind w:left="113" w:right="113"/>
              <w:jc w:val="center"/>
              <w:rPr>
                <w:rFonts w:ascii="Calibri" w:hAnsi="Calibri" w:cstheme="minorHAnsi"/>
                <w:color w:val="000000"/>
                <w:sz w:val="18"/>
                <w:szCs w:val="18"/>
                <w:lang w:val="en-US"/>
              </w:rPr>
            </w:pPr>
          </w:p>
        </w:tc>
        <w:tc>
          <w:tcPr>
            <w:tcW w:w="1275" w:type="dxa"/>
            <w:vMerge/>
            <w:textDirection w:val="btLr"/>
            <w:vAlign w:val="center"/>
          </w:tcPr>
          <w:p w14:paraId="7CE1089B" w14:textId="77777777" w:rsidR="00AE73B3" w:rsidRPr="00AF6261" w:rsidRDefault="00AE73B3" w:rsidP="001C5AC4">
            <w:pPr>
              <w:ind w:left="113" w:right="113"/>
              <w:jc w:val="center"/>
              <w:rPr>
                <w:rFonts w:ascii="Calibri" w:hAnsi="Calibri"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60142462" w14:textId="21A750B0" w:rsidR="00AE73B3" w:rsidRPr="00AF6261" w:rsidRDefault="00AE73B3" w:rsidP="007F1961">
            <w:pPr>
              <w:jc w:val="center"/>
              <w:rPr>
                <w:rFonts w:ascii="Calibri" w:hAnsi="Calibri" w:cstheme="minorHAnsi"/>
                <w:color w:val="000000"/>
                <w:sz w:val="18"/>
                <w:szCs w:val="18"/>
                <w:lang w:val="en-US"/>
              </w:rPr>
            </w:pPr>
            <w:r w:rsidRPr="00AF6261">
              <w:rPr>
                <w:rFonts w:cstheme="minorHAnsi"/>
                <w:i/>
                <w:iCs/>
                <w:sz w:val="18"/>
                <w:szCs w:val="18"/>
                <w:lang w:val="en-US"/>
              </w:rPr>
              <w:t>Inflammation and transcription factor NFkB/NFkB expressions in the testis</w:t>
            </w:r>
          </w:p>
        </w:tc>
        <w:tc>
          <w:tcPr>
            <w:tcW w:w="1703" w:type="dxa"/>
            <w:tcBorders>
              <w:top w:val="single" w:sz="4" w:space="0" w:color="auto"/>
              <w:bottom w:val="single" w:sz="4" w:space="0" w:color="auto"/>
            </w:tcBorders>
            <w:shd w:val="clear" w:color="auto" w:fill="auto"/>
            <w:vAlign w:val="center"/>
          </w:tcPr>
          <w:p w14:paraId="7FC4AA06" w14:textId="2ACF3061" w:rsidR="00AE73B3" w:rsidRPr="00AF6261" w:rsidRDefault="00AE73B3" w:rsidP="007F1961">
            <w:pPr>
              <w:jc w:val="center"/>
              <w:rPr>
                <w:rFonts w:ascii="Calibri" w:hAnsi="Calibri" w:cstheme="minorHAnsi"/>
                <w:color w:val="000000"/>
                <w:sz w:val="18"/>
                <w:szCs w:val="18"/>
                <w:lang w:val="en-US"/>
              </w:rPr>
            </w:pPr>
            <w:r w:rsidRPr="00AF6261">
              <w:rPr>
                <w:rFonts w:cstheme="minorHAnsi"/>
                <w:sz w:val="18"/>
                <w:szCs w:val="18"/>
                <w:lang w:val="en-US"/>
              </w:rPr>
              <w:t>TNF</w:t>
            </w:r>
            <w:r w:rsidRPr="00183E88">
              <w:rPr>
                <w:rFonts w:cstheme="minorHAnsi"/>
                <w:sz w:val="18"/>
                <w:szCs w:val="18"/>
              </w:rPr>
              <w:t>α</w:t>
            </w:r>
            <w:r w:rsidRPr="00AF6261">
              <w:rPr>
                <w:rFonts w:cstheme="minorHAnsi"/>
                <w:sz w:val="18"/>
                <w:szCs w:val="18"/>
                <w:lang w:val="en-US"/>
              </w:rPr>
              <w:t xml:space="preserve"> and IL1</w:t>
            </w:r>
            <w:r w:rsidRPr="00183E88">
              <w:rPr>
                <w:rFonts w:cstheme="minorHAnsi"/>
                <w:sz w:val="18"/>
                <w:szCs w:val="18"/>
              </w:rPr>
              <w:t>α</w:t>
            </w:r>
            <w:r w:rsidRPr="00AF6261">
              <w:rPr>
                <w:rFonts w:cstheme="minorHAnsi"/>
                <w:sz w:val="18"/>
                <w:szCs w:val="18"/>
                <w:lang w:val="en-US"/>
              </w:rPr>
              <w:t xml:space="preserve"> expressions and transcription factor NFkB</w:t>
            </w:r>
          </w:p>
        </w:tc>
        <w:tc>
          <w:tcPr>
            <w:tcW w:w="2010" w:type="dxa"/>
            <w:tcBorders>
              <w:top w:val="single" w:sz="4" w:space="0" w:color="auto"/>
              <w:bottom w:val="single" w:sz="4" w:space="0" w:color="auto"/>
            </w:tcBorders>
            <w:shd w:val="clear" w:color="auto" w:fill="auto"/>
            <w:vAlign w:val="center"/>
          </w:tcPr>
          <w:p w14:paraId="697FB4CE" w14:textId="77777777" w:rsidR="00AE73B3" w:rsidRPr="00AF6261" w:rsidRDefault="00AE73B3" w:rsidP="007F1961">
            <w:pPr>
              <w:autoSpaceDE w:val="0"/>
              <w:autoSpaceDN w:val="0"/>
              <w:adjustRightInd w:val="0"/>
              <w:spacing w:after="0" w:line="240" w:lineRule="auto"/>
              <w:jc w:val="center"/>
              <w:rPr>
                <w:rFonts w:cstheme="minorHAnsi"/>
                <w:sz w:val="18"/>
                <w:szCs w:val="18"/>
                <w:lang w:val="en-US"/>
              </w:rPr>
            </w:pPr>
            <w:r w:rsidRPr="00AF6261">
              <w:rPr>
                <w:rFonts w:cstheme="minorHAnsi"/>
                <w:sz w:val="18"/>
                <w:szCs w:val="18"/>
                <w:lang w:val="en-US"/>
              </w:rPr>
              <w:t>Decreased TNF</w:t>
            </w:r>
            <w:r w:rsidRPr="00183E88">
              <w:rPr>
                <w:rFonts w:cstheme="minorHAnsi"/>
                <w:sz w:val="18"/>
                <w:szCs w:val="18"/>
              </w:rPr>
              <w:t>α</w:t>
            </w:r>
            <w:r w:rsidRPr="00AF6261">
              <w:rPr>
                <w:rFonts w:cstheme="minorHAnsi"/>
                <w:sz w:val="18"/>
                <w:szCs w:val="18"/>
                <w:lang w:val="en-US"/>
              </w:rPr>
              <w:t xml:space="preserve"> and IL1</w:t>
            </w:r>
            <w:r w:rsidRPr="00183E88">
              <w:rPr>
                <w:rFonts w:cstheme="minorHAnsi"/>
                <w:sz w:val="18"/>
                <w:szCs w:val="18"/>
              </w:rPr>
              <w:t>α</w:t>
            </w:r>
          </w:p>
          <w:p w14:paraId="63482C2F" w14:textId="51050C2E" w:rsidR="00AE73B3" w:rsidRPr="00AF6261" w:rsidRDefault="00AE73B3" w:rsidP="007F1961">
            <w:pPr>
              <w:autoSpaceDE w:val="0"/>
              <w:autoSpaceDN w:val="0"/>
              <w:adjustRightInd w:val="0"/>
              <w:spacing w:after="0" w:line="240" w:lineRule="auto"/>
              <w:jc w:val="center"/>
              <w:rPr>
                <w:rFonts w:cstheme="minorHAnsi"/>
                <w:sz w:val="18"/>
                <w:szCs w:val="18"/>
                <w:lang w:val="en-US"/>
              </w:rPr>
            </w:pPr>
            <w:r w:rsidRPr="00AF6261">
              <w:rPr>
                <w:rFonts w:cstheme="minorHAnsi"/>
                <w:sz w:val="18"/>
                <w:szCs w:val="18"/>
                <w:lang w:val="en-US"/>
              </w:rPr>
              <w:t>Increased NFkB expression significantly in the AgNPs D1</w:t>
            </w:r>
          </w:p>
          <w:p w14:paraId="49B1293C" w14:textId="2C87CB8C" w:rsidR="00AE73B3" w:rsidRPr="00AF6261" w:rsidRDefault="00AE73B3" w:rsidP="007F1961">
            <w:pPr>
              <w:autoSpaceDE w:val="0"/>
              <w:autoSpaceDN w:val="0"/>
              <w:adjustRightInd w:val="0"/>
              <w:spacing w:after="0" w:line="240" w:lineRule="auto"/>
              <w:jc w:val="center"/>
              <w:rPr>
                <w:rFonts w:cstheme="minorHAnsi"/>
                <w:sz w:val="18"/>
                <w:szCs w:val="18"/>
                <w:lang w:val="en-US"/>
              </w:rPr>
            </w:pPr>
            <w:r w:rsidRPr="00AF6261">
              <w:rPr>
                <w:rFonts w:cstheme="minorHAnsi"/>
                <w:sz w:val="18"/>
                <w:szCs w:val="18"/>
                <w:lang w:val="en-US"/>
              </w:rPr>
              <w:t>Even if the nanoparticles persisted locally, the inflammation induced by them was minimal, probably due to their green synthesis</w:t>
            </w:r>
          </w:p>
          <w:p w14:paraId="36BBB3FF" w14:textId="77777777" w:rsidR="00AE73B3" w:rsidRPr="00AF6261" w:rsidRDefault="00AE73B3" w:rsidP="007F1961">
            <w:pPr>
              <w:jc w:val="center"/>
              <w:rPr>
                <w:rFonts w:ascii="Calibri" w:hAnsi="Calibri" w:cstheme="minorHAnsi"/>
                <w:color w:val="000000"/>
                <w:sz w:val="18"/>
                <w:szCs w:val="18"/>
                <w:lang w:val="en-US"/>
              </w:rPr>
            </w:pPr>
          </w:p>
        </w:tc>
        <w:tc>
          <w:tcPr>
            <w:tcW w:w="2273" w:type="dxa"/>
            <w:tcBorders>
              <w:top w:val="single" w:sz="4" w:space="0" w:color="auto"/>
              <w:bottom w:val="single" w:sz="4" w:space="0" w:color="auto"/>
            </w:tcBorders>
            <w:vAlign w:val="center"/>
          </w:tcPr>
          <w:p w14:paraId="59F51560" w14:textId="3EEBEE0E" w:rsidR="00AE73B3" w:rsidRPr="00AF6261" w:rsidRDefault="00AE73B3" w:rsidP="007F1961">
            <w:pPr>
              <w:spacing w:after="0" w:line="240" w:lineRule="auto"/>
              <w:jc w:val="center"/>
              <w:rPr>
                <w:rFonts w:eastAsia="Times New Roman" w:cstheme="minorHAnsi"/>
                <w:sz w:val="18"/>
                <w:szCs w:val="18"/>
                <w:lang w:val="en-US" w:eastAsia="fr-FR"/>
              </w:rPr>
            </w:pPr>
            <w:r w:rsidRPr="00AF6261">
              <w:rPr>
                <w:rFonts w:cstheme="minorHAnsi"/>
                <w:b/>
                <w:bCs/>
                <w:sz w:val="18"/>
                <w:szCs w:val="18"/>
                <w:lang w:val="en-US"/>
              </w:rPr>
              <w:t>-</w:t>
            </w:r>
          </w:p>
        </w:tc>
        <w:tc>
          <w:tcPr>
            <w:tcW w:w="2386" w:type="dxa"/>
            <w:tcBorders>
              <w:top w:val="single" w:sz="4" w:space="0" w:color="auto"/>
              <w:bottom w:val="single" w:sz="4" w:space="0" w:color="auto"/>
            </w:tcBorders>
            <w:shd w:val="clear" w:color="auto" w:fill="auto"/>
            <w:vAlign w:val="center"/>
          </w:tcPr>
          <w:p w14:paraId="2A41F89D" w14:textId="7C18731D" w:rsidR="00AE73B3" w:rsidRPr="000270BA" w:rsidRDefault="00AE73B3" w:rsidP="007F1961">
            <w:pPr>
              <w:spacing w:after="0" w:line="240" w:lineRule="auto"/>
              <w:jc w:val="center"/>
              <w:rPr>
                <w:rFonts w:eastAsia="Times New Roman" w:cstheme="minorHAnsi"/>
                <w:sz w:val="18"/>
                <w:szCs w:val="18"/>
                <w:lang w:val="en-US" w:eastAsia="fr-FR"/>
              </w:rPr>
            </w:pPr>
            <w:r>
              <w:rPr>
                <w:rFonts w:eastAsia="Times New Roman" w:cstheme="minorHAnsi"/>
                <w:sz w:val="18"/>
                <w:szCs w:val="18"/>
                <w:lang w:val="en-US" w:eastAsia="fr-FR"/>
              </w:rPr>
              <w:t>-</w:t>
            </w:r>
          </w:p>
        </w:tc>
        <w:tc>
          <w:tcPr>
            <w:tcW w:w="851" w:type="dxa"/>
            <w:vMerge/>
            <w:tcBorders>
              <w:left w:val="nil"/>
              <w:right w:val="single" w:sz="8" w:space="0" w:color="auto"/>
            </w:tcBorders>
          </w:tcPr>
          <w:p w14:paraId="3FEB78BA" w14:textId="77777777" w:rsidR="00AE73B3" w:rsidRPr="00AF6261" w:rsidRDefault="00AE73B3" w:rsidP="007F3FC3">
            <w:pPr>
              <w:jc w:val="center"/>
              <w:rPr>
                <w:rFonts w:ascii="Calibri" w:hAnsi="Calibri" w:cstheme="minorHAnsi"/>
                <w:color w:val="000000"/>
                <w:sz w:val="18"/>
                <w:szCs w:val="18"/>
                <w:lang w:val="en-US"/>
              </w:rPr>
            </w:pPr>
          </w:p>
        </w:tc>
      </w:tr>
      <w:tr w:rsidR="00AE73B3" w:rsidRPr="00DC5D76" w14:paraId="773A781E" w14:textId="77777777" w:rsidTr="007F1961">
        <w:trPr>
          <w:trHeight w:val="1223"/>
        </w:trPr>
        <w:tc>
          <w:tcPr>
            <w:tcW w:w="1408" w:type="dxa"/>
            <w:vMerge/>
            <w:tcBorders>
              <w:left w:val="single" w:sz="4" w:space="0" w:color="auto"/>
            </w:tcBorders>
            <w:shd w:val="clear" w:color="auto" w:fill="auto"/>
            <w:textDirection w:val="btLr"/>
            <w:vAlign w:val="center"/>
          </w:tcPr>
          <w:p w14:paraId="7420743D" w14:textId="77777777" w:rsidR="00AE73B3" w:rsidRPr="00AF6261" w:rsidRDefault="00AE73B3" w:rsidP="00C8682C">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1C18413F" w14:textId="77777777" w:rsidR="00AE73B3" w:rsidRPr="00AF6261" w:rsidRDefault="00AE73B3" w:rsidP="00C8682C">
            <w:pPr>
              <w:ind w:left="113" w:right="113"/>
              <w:jc w:val="center"/>
              <w:rPr>
                <w:rFonts w:ascii="Calibri" w:hAnsi="Calibri" w:cstheme="minorHAnsi"/>
                <w:color w:val="000000"/>
                <w:sz w:val="18"/>
                <w:szCs w:val="18"/>
                <w:lang w:val="en-US"/>
              </w:rPr>
            </w:pPr>
          </w:p>
        </w:tc>
        <w:tc>
          <w:tcPr>
            <w:tcW w:w="1275" w:type="dxa"/>
            <w:vMerge/>
            <w:textDirection w:val="btLr"/>
            <w:vAlign w:val="center"/>
          </w:tcPr>
          <w:p w14:paraId="698BD5BE" w14:textId="77777777" w:rsidR="00AE73B3" w:rsidRPr="00AF6261" w:rsidRDefault="00AE73B3" w:rsidP="00C8682C">
            <w:pPr>
              <w:ind w:left="113" w:right="113"/>
              <w:jc w:val="center"/>
              <w:rPr>
                <w:rFonts w:ascii="Calibri" w:hAnsi="Calibri"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3493BB48" w14:textId="6EF400A3" w:rsidR="00AE73B3" w:rsidRPr="00AF6261" w:rsidRDefault="00AE73B3" w:rsidP="007F1961">
            <w:pPr>
              <w:jc w:val="center"/>
              <w:rPr>
                <w:rFonts w:ascii="Calibri" w:hAnsi="Calibri" w:cstheme="minorHAnsi"/>
                <w:color w:val="000000"/>
                <w:sz w:val="18"/>
                <w:szCs w:val="18"/>
                <w:lang w:val="en-US"/>
              </w:rPr>
            </w:pPr>
            <w:r w:rsidRPr="00AF6261">
              <w:rPr>
                <w:rFonts w:cstheme="minorHAnsi"/>
                <w:color w:val="000000"/>
                <w:sz w:val="18"/>
                <w:szCs w:val="18"/>
                <w:lang w:val="en-US"/>
              </w:rPr>
              <w:t>Determination of tissue Ag</w:t>
            </w:r>
          </w:p>
        </w:tc>
        <w:tc>
          <w:tcPr>
            <w:tcW w:w="1703" w:type="dxa"/>
            <w:tcBorders>
              <w:top w:val="single" w:sz="4" w:space="0" w:color="auto"/>
              <w:bottom w:val="single" w:sz="4" w:space="0" w:color="auto"/>
            </w:tcBorders>
            <w:shd w:val="clear" w:color="auto" w:fill="auto"/>
            <w:vAlign w:val="center"/>
          </w:tcPr>
          <w:p w14:paraId="22848A28" w14:textId="1A4F1A28" w:rsidR="00AE73B3" w:rsidRPr="00AF6261" w:rsidRDefault="00AE73B3" w:rsidP="007F1961">
            <w:pPr>
              <w:jc w:val="center"/>
              <w:rPr>
                <w:rFonts w:ascii="Calibri" w:hAnsi="Calibri" w:cstheme="minorHAnsi"/>
                <w:color w:val="000000"/>
                <w:sz w:val="18"/>
                <w:szCs w:val="18"/>
                <w:lang w:val="en-US"/>
              </w:rPr>
            </w:pPr>
            <w:r w:rsidRPr="00AF6261">
              <w:rPr>
                <w:rFonts w:cstheme="minorHAnsi"/>
                <w:color w:val="000000"/>
                <w:sz w:val="18"/>
                <w:szCs w:val="18"/>
                <w:lang w:val="en-US"/>
              </w:rPr>
              <w:t>Ag presence in testes AAS</w:t>
            </w:r>
          </w:p>
        </w:tc>
        <w:tc>
          <w:tcPr>
            <w:tcW w:w="2010" w:type="dxa"/>
            <w:tcBorders>
              <w:top w:val="single" w:sz="4" w:space="0" w:color="auto"/>
              <w:bottom w:val="single" w:sz="4" w:space="0" w:color="auto"/>
            </w:tcBorders>
            <w:shd w:val="clear" w:color="auto" w:fill="auto"/>
            <w:vAlign w:val="center"/>
          </w:tcPr>
          <w:p w14:paraId="51B4E191" w14:textId="103EA12C" w:rsidR="00AE73B3" w:rsidRPr="00AF6261" w:rsidRDefault="00AE73B3" w:rsidP="007F1961">
            <w:pPr>
              <w:jc w:val="center"/>
              <w:rPr>
                <w:rFonts w:ascii="Calibri" w:hAnsi="Calibri" w:cstheme="minorHAnsi"/>
                <w:color w:val="000000"/>
                <w:sz w:val="18"/>
                <w:szCs w:val="18"/>
                <w:lang w:val="en-US"/>
              </w:rPr>
            </w:pPr>
            <w:r w:rsidRPr="00AF6261">
              <w:rPr>
                <w:rFonts w:cstheme="minorHAnsi"/>
                <w:color w:val="000000"/>
                <w:sz w:val="18"/>
                <w:szCs w:val="18"/>
                <w:lang w:val="en-US"/>
              </w:rPr>
              <w:t>NPs exceed the blood-testicular barriers and accumulated in the testis, where they triggered important morphofunctional changes that persisted long after the exposure was ended.</w:t>
            </w:r>
          </w:p>
        </w:tc>
        <w:tc>
          <w:tcPr>
            <w:tcW w:w="2273" w:type="dxa"/>
            <w:tcBorders>
              <w:top w:val="single" w:sz="4" w:space="0" w:color="auto"/>
              <w:bottom w:val="single" w:sz="4" w:space="0" w:color="auto"/>
            </w:tcBorders>
            <w:vAlign w:val="center"/>
          </w:tcPr>
          <w:p w14:paraId="233E6AFE" w14:textId="233B82BE" w:rsidR="00AE73B3" w:rsidRPr="00AF6261" w:rsidRDefault="00AE73B3" w:rsidP="007F1961">
            <w:pPr>
              <w:spacing w:after="0" w:line="240" w:lineRule="auto"/>
              <w:jc w:val="center"/>
              <w:rPr>
                <w:rFonts w:eastAsia="Times New Roman" w:cstheme="minorHAnsi"/>
                <w:sz w:val="18"/>
                <w:szCs w:val="18"/>
                <w:lang w:val="en-US" w:eastAsia="fr-FR"/>
              </w:rPr>
            </w:pPr>
            <w:r w:rsidRPr="00AF6261">
              <w:rPr>
                <w:rFonts w:ascii="Calibri" w:hAnsi="Calibri"/>
                <w:sz w:val="18"/>
                <w:szCs w:val="18"/>
                <w:lang w:val="en-US"/>
              </w:rPr>
              <w:t>Penetration to the blood–testis barrier</w:t>
            </w:r>
          </w:p>
        </w:tc>
        <w:tc>
          <w:tcPr>
            <w:tcW w:w="2386" w:type="dxa"/>
            <w:tcBorders>
              <w:top w:val="single" w:sz="4" w:space="0" w:color="auto"/>
              <w:bottom w:val="single" w:sz="4" w:space="0" w:color="auto"/>
            </w:tcBorders>
            <w:shd w:val="clear" w:color="auto" w:fill="auto"/>
            <w:vAlign w:val="center"/>
          </w:tcPr>
          <w:p w14:paraId="3D13782F" w14:textId="77777777" w:rsidR="00AE73B3" w:rsidRPr="00AF6261" w:rsidRDefault="00AE73B3"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2C9B5AA8" w14:textId="2EF66FA7" w:rsidR="00AE73B3" w:rsidRPr="00C8682C" w:rsidRDefault="00AE73B3"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(ID1506)</w:t>
            </w:r>
          </w:p>
        </w:tc>
        <w:tc>
          <w:tcPr>
            <w:tcW w:w="851" w:type="dxa"/>
            <w:vMerge/>
            <w:tcBorders>
              <w:left w:val="nil"/>
              <w:bottom w:val="single" w:sz="4" w:space="0" w:color="auto"/>
              <w:right w:val="single" w:sz="8" w:space="0" w:color="auto"/>
            </w:tcBorders>
          </w:tcPr>
          <w:p w14:paraId="5EF1A457" w14:textId="77777777" w:rsidR="00AE73B3" w:rsidRPr="00AF6261" w:rsidRDefault="00AE73B3" w:rsidP="007F3FC3">
            <w:pPr>
              <w:jc w:val="center"/>
              <w:rPr>
                <w:rFonts w:ascii="Calibri" w:hAnsi="Calibri" w:cstheme="minorHAnsi"/>
                <w:color w:val="000000"/>
                <w:sz w:val="18"/>
                <w:szCs w:val="18"/>
                <w:lang w:val="en-US"/>
              </w:rPr>
            </w:pPr>
          </w:p>
        </w:tc>
      </w:tr>
      <w:tr w:rsidR="00AE73B3" w:rsidRPr="00DC5D76" w14:paraId="2A4FB299" w14:textId="77777777" w:rsidTr="007F1961">
        <w:trPr>
          <w:cantSplit/>
          <w:trHeight w:val="1707"/>
        </w:trPr>
        <w:tc>
          <w:tcPr>
            <w:tcW w:w="1408" w:type="dxa"/>
            <w:vMerge/>
            <w:tcBorders>
              <w:left w:val="single" w:sz="4" w:space="0" w:color="auto"/>
              <w:bottom w:val="single" w:sz="4" w:space="0" w:color="auto"/>
            </w:tcBorders>
            <w:shd w:val="clear" w:color="auto" w:fill="auto"/>
            <w:textDirection w:val="btLr"/>
            <w:vAlign w:val="center"/>
          </w:tcPr>
          <w:p w14:paraId="1F8BF6AA" w14:textId="77777777" w:rsidR="00AE73B3" w:rsidRPr="00AF6261" w:rsidRDefault="00AE73B3" w:rsidP="00C8682C">
            <w:pPr>
              <w:ind w:left="113" w:right="113"/>
              <w:jc w:val="center"/>
              <w:rPr>
                <w:rFonts w:ascii="Calibri" w:hAnsi="Calibri"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578289F5" w14:textId="77777777" w:rsidR="00AE73B3" w:rsidRPr="00AF6261" w:rsidRDefault="00AE73B3" w:rsidP="00C8682C">
            <w:pPr>
              <w:ind w:left="113" w:right="113"/>
              <w:jc w:val="center"/>
              <w:rPr>
                <w:rFonts w:ascii="Calibri" w:hAnsi="Calibri" w:cstheme="minorHAnsi"/>
                <w:color w:val="000000"/>
                <w:sz w:val="18"/>
                <w:szCs w:val="18"/>
                <w:lang w:val="en-US"/>
              </w:rPr>
            </w:pPr>
          </w:p>
        </w:tc>
        <w:tc>
          <w:tcPr>
            <w:tcW w:w="1275" w:type="dxa"/>
            <w:vMerge/>
            <w:tcBorders>
              <w:bottom w:val="single" w:sz="4" w:space="0" w:color="auto"/>
            </w:tcBorders>
            <w:textDirection w:val="btLr"/>
            <w:vAlign w:val="center"/>
          </w:tcPr>
          <w:p w14:paraId="45F370AB" w14:textId="77777777" w:rsidR="00AE73B3" w:rsidRPr="00AF6261" w:rsidRDefault="00AE73B3" w:rsidP="00C8682C">
            <w:pPr>
              <w:ind w:left="113" w:right="113"/>
              <w:jc w:val="center"/>
              <w:rPr>
                <w:rFonts w:ascii="Calibri" w:hAnsi="Calibri"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273622D8" w14:textId="18C18AF8" w:rsidR="00AE73B3" w:rsidRPr="00AF6261" w:rsidRDefault="00AE73B3" w:rsidP="007F1961">
            <w:pPr>
              <w:jc w:val="center"/>
              <w:rPr>
                <w:rFonts w:cstheme="minorHAnsi"/>
                <w:color w:val="000000"/>
                <w:sz w:val="18"/>
                <w:szCs w:val="18"/>
                <w:lang w:val="en-US"/>
              </w:rPr>
            </w:pPr>
            <w:r w:rsidRPr="00AF6261">
              <w:rPr>
                <w:rFonts w:ascii="Calibri" w:hAnsi="Calibri" w:cstheme="minorHAnsi"/>
                <w:color w:val="000000"/>
                <w:sz w:val="18"/>
                <w:szCs w:val="18"/>
                <w:lang w:val="en-US"/>
              </w:rPr>
              <w:t>Histological parametres</w:t>
            </w:r>
          </w:p>
        </w:tc>
        <w:tc>
          <w:tcPr>
            <w:tcW w:w="1703" w:type="dxa"/>
            <w:tcBorders>
              <w:top w:val="single" w:sz="4" w:space="0" w:color="auto"/>
              <w:bottom w:val="single" w:sz="4" w:space="0" w:color="auto"/>
            </w:tcBorders>
            <w:shd w:val="clear" w:color="auto" w:fill="auto"/>
            <w:vAlign w:val="center"/>
          </w:tcPr>
          <w:p w14:paraId="62E38053" w14:textId="7FD62706" w:rsidR="00AE73B3" w:rsidRPr="00AF6261" w:rsidRDefault="00AE73B3" w:rsidP="007F1961">
            <w:pPr>
              <w:jc w:val="center"/>
              <w:rPr>
                <w:rFonts w:cstheme="minorHAnsi"/>
                <w:color w:val="000000"/>
                <w:sz w:val="18"/>
                <w:szCs w:val="18"/>
                <w:lang w:val="en-US"/>
              </w:rPr>
            </w:pPr>
            <w:r w:rsidRPr="00AF6261">
              <w:rPr>
                <w:rFonts w:cstheme="minorHAnsi"/>
                <w:color w:val="000000"/>
                <w:sz w:val="18"/>
                <w:szCs w:val="18"/>
                <w:lang w:val="en-US"/>
              </w:rPr>
              <w:t>Testes, the seminiferous tubules and interstitial tissue evaluation by TEM</w:t>
            </w:r>
          </w:p>
        </w:tc>
        <w:tc>
          <w:tcPr>
            <w:tcW w:w="2010" w:type="dxa"/>
            <w:tcBorders>
              <w:top w:val="single" w:sz="4" w:space="0" w:color="auto"/>
              <w:bottom w:val="single" w:sz="4" w:space="0" w:color="auto"/>
            </w:tcBorders>
            <w:shd w:val="clear" w:color="auto" w:fill="auto"/>
            <w:vAlign w:val="center"/>
          </w:tcPr>
          <w:p w14:paraId="4CBED169" w14:textId="21C96840" w:rsidR="00AE73B3" w:rsidRPr="00AF6261" w:rsidRDefault="008C4CCC" w:rsidP="007F1961">
            <w:pPr>
              <w:jc w:val="center"/>
              <w:rPr>
                <w:rFonts w:cstheme="minorHAnsi"/>
                <w:color w:val="000000"/>
                <w:sz w:val="18"/>
                <w:szCs w:val="18"/>
                <w:lang w:val="en-US"/>
              </w:rPr>
            </w:pPr>
            <w:r w:rsidRPr="00AF6261">
              <w:rPr>
                <w:rFonts w:cstheme="minorHAnsi"/>
                <w:color w:val="000000"/>
                <w:sz w:val="18"/>
                <w:szCs w:val="18"/>
                <w:lang w:val="en-US"/>
              </w:rPr>
              <w:t>I</w:t>
            </w:r>
            <w:r w:rsidR="00AE73B3" w:rsidRPr="00AF6261">
              <w:rPr>
                <w:rFonts w:cstheme="minorHAnsi"/>
                <w:color w:val="000000"/>
                <w:sz w:val="18"/>
                <w:szCs w:val="18"/>
                <w:lang w:val="en-US"/>
              </w:rPr>
              <w:t>mportant ultrastructural changes of Sertoli cells, numerous vacuoles and cytoplasmic changes suggestive of the cellʹs evolution towards necrosis</w:t>
            </w:r>
          </w:p>
        </w:tc>
        <w:tc>
          <w:tcPr>
            <w:tcW w:w="2273" w:type="dxa"/>
            <w:tcBorders>
              <w:top w:val="single" w:sz="4" w:space="0" w:color="auto"/>
              <w:bottom w:val="single" w:sz="4" w:space="0" w:color="auto"/>
            </w:tcBorders>
            <w:vAlign w:val="center"/>
          </w:tcPr>
          <w:p w14:paraId="1146BC41" w14:textId="77777777" w:rsidR="00AE73B3" w:rsidRPr="00AF6261" w:rsidRDefault="00AE73B3"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4F747A24" w14:textId="61B0C0C2" w:rsidR="00AE73B3" w:rsidRPr="00AF6261" w:rsidRDefault="00AE73B3"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(ID1506)</w:t>
            </w:r>
          </w:p>
        </w:tc>
        <w:tc>
          <w:tcPr>
            <w:tcW w:w="2386" w:type="dxa"/>
            <w:tcBorders>
              <w:top w:val="single" w:sz="4" w:space="0" w:color="auto"/>
              <w:bottom w:val="single" w:sz="4" w:space="0" w:color="auto"/>
            </w:tcBorders>
            <w:shd w:val="clear" w:color="auto" w:fill="auto"/>
            <w:vAlign w:val="center"/>
          </w:tcPr>
          <w:p w14:paraId="54DFC6B0" w14:textId="77777777" w:rsidR="00AE73B3" w:rsidRPr="000270BA" w:rsidRDefault="00AE73B3"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427E9E7B" w14:textId="27D64394" w:rsidR="00AE73B3" w:rsidRPr="000270BA" w:rsidRDefault="00AE73B3"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tcBorders>
              <w:left w:val="nil"/>
              <w:bottom w:val="single" w:sz="4" w:space="0" w:color="auto"/>
              <w:right w:val="single" w:sz="8" w:space="0" w:color="auto"/>
            </w:tcBorders>
          </w:tcPr>
          <w:p w14:paraId="0E92A1A3" w14:textId="77777777" w:rsidR="00AE73B3" w:rsidRPr="00AF6261" w:rsidRDefault="00AE73B3" w:rsidP="007F3FC3">
            <w:pPr>
              <w:jc w:val="center"/>
              <w:rPr>
                <w:rFonts w:ascii="Calibri" w:hAnsi="Calibri" w:cstheme="minorHAnsi"/>
                <w:color w:val="000000"/>
                <w:sz w:val="18"/>
                <w:szCs w:val="18"/>
                <w:lang w:val="en-US"/>
              </w:rPr>
            </w:pPr>
          </w:p>
        </w:tc>
      </w:tr>
      <w:tr w:rsidR="00EB16FD" w:rsidRPr="00912134" w14:paraId="4B6F7BFA" w14:textId="77777777" w:rsidTr="007F1961">
        <w:trPr>
          <w:cantSplit/>
          <w:trHeight w:val="1134"/>
        </w:trPr>
        <w:tc>
          <w:tcPr>
            <w:tcW w:w="1408" w:type="dxa"/>
            <w:vMerge w:val="restart"/>
            <w:tcBorders>
              <w:left w:val="single" w:sz="4" w:space="0" w:color="auto"/>
            </w:tcBorders>
            <w:shd w:val="clear" w:color="auto" w:fill="auto"/>
            <w:textDirection w:val="btLr"/>
            <w:vAlign w:val="center"/>
          </w:tcPr>
          <w:p w14:paraId="1E29684A" w14:textId="77777777" w:rsidR="00EB16FD" w:rsidRPr="00AF6261" w:rsidRDefault="00EB16FD" w:rsidP="00EB16FD">
            <w:pPr>
              <w:spacing w:line="240" w:lineRule="auto"/>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 xml:space="preserve">Size:45 nm </w:t>
            </w:r>
          </w:p>
          <w:p w14:paraId="359299ED" w14:textId="77777777" w:rsidR="00EB16FD" w:rsidRPr="00AF6261" w:rsidRDefault="00EB16FD" w:rsidP="00EB16FD">
            <w:pPr>
              <w:spacing w:line="240" w:lineRule="auto"/>
              <w:ind w:left="113" w:right="113"/>
              <w:jc w:val="center"/>
              <w:rPr>
                <w:rFonts w:ascii="Calibri" w:hAnsi="Calibri" w:cstheme="minorHAnsi"/>
                <w:color w:val="000000"/>
                <w:sz w:val="18"/>
                <w:szCs w:val="18"/>
                <w:lang w:val="en-US"/>
              </w:rPr>
            </w:pPr>
            <w:r w:rsidRPr="00AF6261">
              <w:rPr>
                <w:rFonts w:ascii="Calibri" w:hAnsi="Calibri" w:cstheme="minorHAnsi"/>
                <w:color w:val="131413"/>
                <w:sz w:val="18"/>
                <w:szCs w:val="18"/>
                <w:lang w:val="en-US"/>
              </w:rPr>
              <w:t xml:space="preserve">PVP (&lt;1%) </w:t>
            </w:r>
          </w:p>
          <w:p w14:paraId="14D66C17" w14:textId="5427F808"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Zeta potential:−20 mV</w:t>
            </w:r>
          </w:p>
        </w:tc>
        <w:tc>
          <w:tcPr>
            <w:tcW w:w="1276" w:type="dxa"/>
            <w:vMerge w:val="restart"/>
            <w:shd w:val="clear" w:color="auto" w:fill="auto"/>
            <w:textDirection w:val="btLr"/>
            <w:vAlign w:val="center"/>
          </w:tcPr>
          <w:p w14:paraId="00FD697B" w14:textId="03D8BCAE"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New Zealand White male rabbits, Intravenous</w:t>
            </w:r>
          </w:p>
        </w:tc>
        <w:tc>
          <w:tcPr>
            <w:tcW w:w="1275" w:type="dxa"/>
            <w:vMerge w:val="restart"/>
            <w:textDirection w:val="btLr"/>
            <w:vAlign w:val="center"/>
          </w:tcPr>
          <w:p w14:paraId="14C443DE" w14:textId="74CA0645"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5 mM  AgNP  solution (0.6 mg/kg bw) 2 months (weekly)</w:t>
            </w:r>
          </w:p>
        </w:tc>
        <w:tc>
          <w:tcPr>
            <w:tcW w:w="1668" w:type="dxa"/>
            <w:tcBorders>
              <w:top w:val="single" w:sz="4" w:space="0" w:color="auto"/>
              <w:bottom w:val="single" w:sz="4" w:space="0" w:color="auto"/>
            </w:tcBorders>
            <w:shd w:val="clear" w:color="auto" w:fill="auto"/>
            <w:vAlign w:val="center"/>
          </w:tcPr>
          <w:p w14:paraId="486C4742" w14:textId="4C470A01" w:rsidR="00EB16FD" w:rsidRDefault="00EB16FD" w:rsidP="007F1961">
            <w:pPr>
              <w:jc w:val="center"/>
              <w:rPr>
                <w:rFonts w:ascii="Calibri" w:hAnsi="Calibri" w:cstheme="minorHAnsi"/>
                <w:color w:val="000000"/>
                <w:sz w:val="18"/>
                <w:szCs w:val="18"/>
              </w:rPr>
            </w:pPr>
            <w:r w:rsidRPr="00AF6261">
              <w:rPr>
                <w:rFonts w:cstheme="minorHAnsi"/>
                <w:color w:val="000000"/>
                <w:sz w:val="18"/>
                <w:szCs w:val="18"/>
                <w:lang w:val="en-US"/>
              </w:rPr>
              <w:t>Sperm Evalu</w:t>
            </w:r>
            <w:r w:rsidRPr="000270BA">
              <w:rPr>
                <w:rFonts w:cstheme="minorHAnsi"/>
                <w:color w:val="000000"/>
                <w:sz w:val="18"/>
                <w:szCs w:val="18"/>
              </w:rPr>
              <w:t>ation</w:t>
            </w:r>
          </w:p>
        </w:tc>
        <w:tc>
          <w:tcPr>
            <w:tcW w:w="1703" w:type="dxa"/>
            <w:tcBorders>
              <w:top w:val="single" w:sz="4" w:space="0" w:color="auto"/>
              <w:bottom w:val="single" w:sz="4" w:space="0" w:color="auto"/>
            </w:tcBorders>
            <w:shd w:val="clear" w:color="auto" w:fill="auto"/>
            <w:vAlign w:val="center"/>
          </w:tcPr>
          <w:p w14:paraId="7CF68960" w14:textId="5C57A31A" w:rsidR="00EB16FD" w:rsidRPr="00AF6261" w:rsidRDefault="00EB16FD" w:rsidP="007F1961">
            <w:pPr>
              <w:jc w:val="center"/>
              <w:rPr>
                <w:rFonts w:ascii="Calibri" w:hAnsi="Calibri" w:cstheme="minorHAnsi"/>
                <w:color w:val="000000"/>
                <w:sz w:val="18"/>
                <w:szCs w:val="18"/>
                <w:lang w:val="en-US"/>
              </w:rPr>
            </w:pPr>
            <w:r w:rsidRPr="000270BA">
              <w:rPr>
                <w:rFonts w:cstheme="minorHAnsi"/>
                <w:color w:val="000000"/>
                <w:sz w:val="18"/>
                <w:szCs w:val="18"/>
                <w:lang w:val="en-US"/>
              </w:rPr>
              <w:t>Sperm Volume,  Concentration, and Viability</w:t>
            </w:r>
          </w:p>
        </w:tc>
        <w:tc>
          <w:tcPr>
            <w:tcW w:w="2010" w:type="dxa"/>
            <w:tcBorders>
              <w:top w:val="single" w:sz="4" w:space="0" w:color="auto"/>
              <w:bottom w:val="single" w:sz="4" w:space="0" w:color="auto"/>
            </w:tcBorders>
            <w:shd w:val="clear" w:color="auto" w:fill="auto"/>
            <w:vAlign w:val="center"/>
          </w:tcPr>
          <w:p w14:paraId="19011AAB" w14:textId="2918F503" w:rsidR="00EB16FD" w:rsidRPr="00AF6261" w:rsidRDefault="00EB16FD" w:rsidP="007F1961">
            <w:pPr>
              <w:jc w:val="center"/>
              <w:rPr>
                <w:rFonts w:ascii="Calibri" w:hAnsi="Calibri" w:cstheme="minorHAnsi"/>
                <w:color w:val="000000"/>
                <w:sz w:val="18"/>
                <w:szCs w:val="18"/>
                <w:lang w:val="en-US"/>
              </w:rPr>
            </w:pPr>
            <w:r w:rsidRPr="000270BA">
              <w:rPr>
                <w:rFonts w:cstheme="minorHAnsi"/>
                <w:color w:val="000000"/>
                <w:sz w:val="18"/>
                <w:szCs w:val="18"/>
                <w:lang w:val="en-US"/>
              </w:rPr>
              <w:t>Decreased sperm motility, concentration and volume</w:t>
            </w:r>
          </w:p>
        </w:tc>
        <w:tc>
          <w:tcPr>
            <w:tcW w:w="2273" w:type="dxa"/>
            <w:tcBorders>
              <w:top w:val="single" w:sz="4" w:space="0" w:color="auto"/>
              <w:bottom w:val="single" w:sz="4" w:space="0" w:color="auto"/>
            </w:tcBorders>
            <w:vAlign w:val="center"/>
          </w:tcPr>
          <w:p w14:paraId="5A68D016" w14:textId="3D7C4264" w:rsidR="00EB16FD" w:rsidRPr="000270BA" w:rsidRDefault="00EB16FD" w:rsidP="007F1961">
            <w:pPr>
              <w:jc w:val="center"/>
              <w:rPr>
                <w:rFonts w:cstheme="minorHAnsi"/>
                <w:bCs/>
                <w:sz w:val="18"/>
                <w:szCs w:val="18"/>
                <w:lang w:val="en-US"/>
              </w:rPr>
            </w:pPr>
            <w:r w:rsidRPr="000270BA">
              <w:rPr>
                <w:bCs/>
                <w:sz w:val="18"/>
                <w:szCs w:val="18"/>
                <w:lang w:val="en-US"/>
              </w:rPr>
              <w:t>Decreased sperm quantity or quality in the adult, Decreased fertility</w:t>
            </w:r>
          </w:p>
        </w:tc>
        <w:tc>
          <w:tcPr>
            <w:tcW w:w="2386" w:type="dxa"/>
            <w:tcBorders>
              <w:top w:val="single" w:sz="4" w:space="0" w:color="auto"/>
              <w:bottom w:val="single" w:sz="4" w:space="0" w:color="auto"/>
            </w:tcBorders>
            <w:shd w:val="clear" w:color="auto" w:fill="auto"/>
            <w:vAlign w:val="center"/>
          </w:tcPr>
          <w:p w14:paraId="630BC90C"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Impaired fertility</w:t>
            </w:r>
          </w:p>
          <w:p w14:paraId="0203BE27" w14:textId="77777777" w:rsidR="00EB16FD" w:rsidRPr="000270BA" w:rsidRDefault="00EB16FD" w:rsidP="007F1961">
            <w:pPr>
              <w:spacing w:after="0" w:line="240" w:lineRule="auto"/>
              <w:jc w:val="center"/>
              <w:rPr>
                <w:rFonts w:eastAsia="Times New Roman" w:cstheme="minorHAnsi"/>
                <w:sz w:val="18"/>
                <w:szCs w:val="18"/>
                <w:lang w:eastAsia="fr-FR"/>
              </w:rPr>
            </w:pPr>
          </w:p>
        </w:tc>
        <w:tc>
          <w:tcPr>
            <w:tcW w:w="851" w:type="dxa"/>
            <w:tcBorders>
              <w:left w:val="nil"/>
              <w:right w:val="single" w:sz="8" w:space="0" w:color="auto"/>
            </w:tcBorders>
            <w:vAlign w:val="center"/>
          </w:tcPr>
          <w:p w14:paraId="64A28FB2" w14:textId="77777777" w:rsidR="00EB16FD" w:rsidRDefault="00EB16FD" w:rsidP="007F3FC3">
            <w:pPr>
              <w:jc w:val="center"/>
              <w:rPr>
                <w:rFonts w:ascii="Calibri" w:hAnsi="Calibri" w:cstheme="minorHAnsi"/>
                <w:color w:val="000000"/>
                <w:sz w:val="18"/>
                <w:szCs w:val="18"/>
              </w:rPr>
            </w:pPr>
          </w:p>
        </w:tc>
      </w:tr>
      <w:tr w:rsidR="00EB16FD" w:rsidRPr="00DC5D76" w14:paraId="2CE33727" w14:textId="77777777" w:rsidTr="007F1961">
        <w:trPr>
          <w:trHeight w:val="195"/>
        </w:trPr>
        <w:tc>
          <w:tcPr>
            <w:tcW w:w="1408" w:type="dxa"/>
            <w:vMerge/>
            <w:tcBorders>
              <w:left w:val="single" w:sz="4" w:space="0" w:color="auto"/>
            </w:tcBorders>
            <w:shd w:val="clear" w:color="auto" w:fill="auto"/>
            <w:textDirection w:val="btLr"/>
            <w:vAlign w:val="center"/>
          </w:tcPr>
          <w:p w14:paraId="3BFC2C9E" w14:textId="21E66124" w:rsidR="00EB16FD" w:rsidRPr="00912134" w:rsidRDefault="00EB16FD" w:rsidP="00EB16FD">
            <w:pPr>
              <w:ind w:left="113" w:right="113"/>
              <w:jc w:val="center"/>
              <w:rPr>
                <w:rFonts w:ascii="Calibri" w:hAnsi="Calibri" w:cstheme="minorHAnsi"/>
                <w:color w:val="000000"/>
                <w:sz w:val="18"/>
                <w:szCs w:val="18"/>
              </w:rPr>
            </w:pPr>
          </w:p>
        </w:tc>
        <w:tc>
          <w:tcPr>
            <w:tcW w:w="1276" w:type="dxa"/>
            <w:vMerge/>
            <w:shd w:val="clear" w:color="auto" w:fill="auto"/>
            <w:textDirection w:val="btLr"/>
            <w:vAlign w:val="center"/>
          </w:tcPr>
          <w:p w14:paraId="544883D6" w14:textId="125FE4C9" w:rsidR="00EB16FD" w:rsidRPr="00912134" w:rsidRDefault="00EB16FD" w:rsidP="00EB16FD">
            <w:pPr>
              <w:ind w:left="113" w:right="113"/>
              <w:jc w:val="center"/>
              <w:rPr>
                <w:rFonts w:ascii="Calibri" w:hAnsi="Calibri" w:cstheme="minorHAnsi"/>
                <w:color w:val="000000"/>
                <w:sz w:val="18"/>
                <w:szCs w:val="18"/>
              </w:rPr>
            </w:pPr>
          </w:p>
        </w:tc>
        <w:tc>
          <w:tcPr>
            <w:tcW w:w="1275" w:type="dxa"/>
            <w:vMerge/>
            <w:textDirection w:val="btLr"/>
            <w:vAlign w:val="center"/>
          </w:tcPr>
          <w:p w14:paraId="7CF68BCB" w14:textId="7CC6E19C" w:rsidR="00EB16FD" w:rsidRPr="00912134" w:rsidRDefault="00EB16FD" w:rsidP="00EB16FD">
            <w:pPr>
              <w:ind w:left="113" w:right="113"/>
              <w:jc w:val="center"/>
              <w:rPr>
                <w:rFonts w:ascii="Calibri" w:hAnsi="Calibri" w:cstheme="minorHAnsi"/>
                <w:color w:val="000000"/>
                <w:sz w:val="18"/>
                <w:szCs w:val="18"/>
              </w:rPr>
            </w:pPr>
          </w:p>
        </w:tc>
        <w:tc>
          <w:tcPr>
            <w:tcW w:w="1668" w:type="dxa"/>
            <w:tcBorders>
              <w:top w:val="single" w:sz="4" w:space="0" w:color="auto"/>
              <w:bottom w:val="single" w:sz="4" w:space="0" w:color="auto"/>
            </w:tcBorders>
            <w:shd w:val="clear" w:color="auto" w:fill="auto"/>
            <w:vAlign w:val="center"/>
          </w:tcPr>
          <w:p w14:paraId="195DEFE5" w14:textId="46B11C9E" w:rsidR="00EB16FD" w:rsidRPr="00183E88" w:rsidRDefault="00EB16FD" w:rsidP="007F1961">
            <w:pPr>
              <w:jc w:val="center"/>
              <w:rPr>
                <w:rFonts w:cstheme="minorHAnsi"/>
                <w:color w:val="000000"/>
                <w:sz w:val="18"/>
                <w:szCs w:val="18"/>
              </w:rPr>
            </w:pPr>
            <w:r>
              <w:rPr>
                <w:rFonts w:ascii="Calibri" w:hAnsi="Calibri" w:cstheme="minorHAnsi"/>
                <w:color w:val="000000"/>
                <w:sz w:val="18"/>
                <w:szCs w:val="18"/>
              </w:rPr>
              <w:t>Oxidative Status</w:t>
            </w:r>
          </w:p>
        </w:tc>
        <w:tc>
          <w:tcPr>
            <w:tcW w:w="1703" w:type="dxa"/>
            <w:tcBorders>
              <w:top w:val="single" w:sz="4" w:space="0" w:color="auto"/>
              <w:bottom w:val="single" w:sz="4" w:space="0" w:color="auto"/>
            </w:tcBorders>
            <w:shd w:val="clear" w:color="auto" w:fill="auto"/>
            <w:vAlign w:val="center"/>
          </w:tcPr>
          <w:p w14:paraId="43C8F57D" w14:textId="70659150" w:rsidR="00EB16FD" w:rsidRPr="00AF6261" w:rsidRDefault="00EB16FD" w:rsidP="007F1961">
            <w:pPr>
              <w:jc w:val="center"/>
              <w:rPr>
                <w:rFonts w:cstheme="minorHAnsi"/>
                <w:color w:val="000000"/>
                <w:sz w:val="18"/>
                <w:szCs w:val="18"/>
                <w:lang w:val="en-US"/>
              </w:rPr>
            </w:pPr>
            <w:r w:rsidRPr="00AF6261">
              <w:rPr>
                <w:rFonts w:ascii="Calibri" w:hAnsi="Calibri" w:cstheme="minorHAnsi"/>
                <w:color w:val="000000"/>
                <w:sz w:val="18"/>
                <w:szCs w:val="18"/>
                <w:lang w:val="en-US"/>
              </w:rPr>
              <w:t>MDA content, NO concentration, CAT  and  GPX Activity in sperm and blood samples by commercial kits</w:t>
            </w:r>
          </w:p>
        </w:tc>
        <w:tc>
          <w:tcPr>
            <w:tcW w:w="2010" w:type="dxa"/>
            <w:tcBorders>
              <w:top w:val="single" w:sz="4" w:space="0" w:color="auto"/>
              <w:bottom w:val="single" w:sz="4" w:space="0" w:color="auto"/>
            </w:tcBorders>
            <w:shd w:val="clear" w:color="auto" w:fill="auto"/>
            <w:vAlign w:val="center"/>
          </w:tcPr>
          <w:p w14:paraId="0384A0E7"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Increased NO, and MDA content</w:t>
            </w:r>
          </w:p>
          <w:p w14:paraId="0F7E9953" w14:textId="121D74B2" w:rsidR="00EB16FD" w:rsidRPr="00AF6261" w:rsidRDefault="00EB16FD" w:rsidP="007F1961">
            <w:pPr>
              <w:jc w:val="center"/>
              <w:rPr>
                <w:rFonts w:cstheme="minorHAnsi"/>
                <w:color w:val="000000"/>
                <w:sz w:val="18"/>
                <w:szCs w:val="18"/>
                <w:lang w:val="en-US"/>
              </w:rPr>
            </w:pPr>
            <w:r w:rsidRPr="00AF6261">
              <w:rPr>
                <w:rFonts w:ascii="Calibri" w:hAnsi="Calibri" w:cstheme="minorHAnsi"/>
                <w:color w:val="000000"/>
                <w:sz w:val="18"/>
                <w:szCs w:val="18"/>
                <w:lang w:val="en-US"/>
              </w:rPr>
              <w:t>Decreased CAT activity, and GSH level</w:t>
            </w:r>
          </w:p>
        </w:tc>
        <w:tc>
          <w:tcPr>
            <w:tcW w:w="2273" w:type="dxa"/>
            <w:tcBorders>
              <w:top w:val="single" w:sz="4" w:space="0" w:color="auto"/>
              <w:bottom w:val="single" w:sz="4" w:space="0" w:color="auto"/>
            </w:tcBorders>
            <w:vAlign w:val="center"/>
          </w:tcPr>
          <w:p w14:paraId="0F127BAD"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06CCC1A0" w14:textId="531F595D" w:rsidR="00EB16FD" w:rsidRPr="00AF6261" w:rsidRDefault="00EB16FD" w:rsidP="007F1961">
            <w:pPr>
              <w:spacing w:after="0" w:line="240" w:lineRule="auto"/>
              <w:jc w:val="center"/>
              <w:rPr>
                <w:rFonts w:eastAsia="Times New Roman" w:cstheme="minorHAnsi"/>
                <w:sz w:val="18"/>
                <w:szCs w:val="18"/>
                <w:lang w:val="en-US" w:eastAsia="fr-FR"/>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74B4237E" w14:textId="13A3AA2D"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Oxidative Damage</w:t>
            </w:r>
          </w:p>
          <w:p w14:paraId="782CBAA3" w14:textId="3DC28964"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eastAsia="fr-FR"/>
              </w:rPr>
              <w:t>(ID356)</w:t>
            </w:r>
          </w:p>
        </w:tc>
        <w:tc>
          <w:tcPr>
            <w:tcW w:w="851" w:type="dxa"/>
            <w:vMerge w:val="restart"/>
            <w:tcBorders>
              <w:left w:val="nil"/>
              <w:right w:val="single" w:sz="8" w:space="0" w:color="auto"/>
            </w:tcBorders>
            <w:vAlign w:val="center"/>
          </w:tcPr>
          <w:p w14:paraId="67010329" w14:textId="46283083" w:rsidR="00EB16FD" w:rsidRPr="00AF6261" w:rsidRDefault="00EB16FD" w:rsidP="007F3FC3">
            <w:pPr>
              <w:jc w:val="center"/>
              <w:rPr>
                <w:rFonts w:ascii="Calibri" w:hAnsi="Calibri" w:cstheme="minorHAnsi"/>
                <w:color w:val="000000"/>
                <w:sz w:val="18"/>
                <w:szCs w:val="18"/>
                <w:lang w:val="en-US"/>
              </w:rPr>
            </w:pPr>
            <w:r>
              <w:rPr>
                <w:rFonts w:ascii="Calibri" w:hAnsi="Calibri" w:cstheme="minorHAnsi"/>
                <w:color w:val="000000"/>
                <w:sz w:val="18"/>
                <w:szCs w:val="18"/>
              </w:rPr>
              <w:fldChar w:fldCharType="begin" w:fldLock="1"/>
            </w:r>
            <w:r w:rsidR="007F3FC3">
              <w:rPr>
                <w:rFonts w:ascii="Calibri" w:hAnsi="Calibri" w:cstheme="minorHAnsi"/>
                <w:color w:val="000000"/>
                <w:sz w:val="18"/>
                <w:szCs w:val="18"/>
              </w:rPr>
              <w:instrText>ADDIN CSL_CITATION {"citationItems":[{"id":"ITEM-1","itemData":{"DOI":"10.1155/2020/6664062","ISSN":"14661861","PMID":"33424436","abstract":"The aim of this research was to evaluate the inflammatory and/or oxidative damage related to silver nanoparticles (AgNPs), which are responsible for negative effects on sperm physiology and metabolism. Thirty New Zealand White rabbit bucks were divided into 5 experimental groups (6 animals/group): Control, treated with 0.9% NaCl; AgNP, treated with a 5 mM AgNP solution; LPS, treated with 50 g/kg b.w. E. coli LPS; AgNPs + NSAID, treated with an anti-inflammatory drug at 0.2 mg/kg b.w. and 5 mM AgNPs; and AgNPs + Vit E, treated with 0.18 mg/kg b.w. vitamin E and 5 mM AgNPs. Sperm quality and oxidative and inflammatory status were assessed at different times (0-60 days). Two statistical models were built: the first evaluated the effects of AgNPs and LPS (vs. Control), whereas the second evaluated the protective effect of an NSAID and vitamin E against AgNP-induced damage. Three principal component analyses were performed: sperm traits (motility, volume), oxidative status (antioxidants, oxidative metabolites, and redox reactions), and cytokines (TNF-α, IL-8, and IL-6). A negative effect on reproductive traits resulted after NP administration. In particular, an inflammatory/oxidative response took place in the reproductive tract during the first 2-3 wks of AgNP administration (cytokine and oxidative metabolite generation); the inflammatory/oxidative thrust impaired the status of rabbit tissues (seminal plasma, sperm, and blood), inducing a response (increased antioxidant enzymes and redox reactions) at 4-7 wks; oxidative stress, if not totally counteracted, likely induced toxicity in the late phases of AgNP administration (8-9 wks). In conclusion, exposure to silver nanoparticles produced a similar but more persistent effect than that of LPS on rabbit reproductive tissues: AgNP administration triggered a proinflammatory response linked to oxidative thrust, worsening many sperm parameters. However, only anti-inflammatory treatment counteracted the negative effects of AgNPs, whereas vitamin E seemed to act as an adjuvant, attenuating the oxidative cascade.","author":[{"dropping-particle":"","family":"Collodel","given":"Giulia","non-dropping-particle":"","parse-names":false,"suffix":""},{"dropping-particle":"","family":"Simona","given":"Mattioli","non-dropping-particle":"","parse-names":f</w:instrText>
            </w:r>
            <w:r w:rsidR="007F3FC3" w:rsidRPr="00AF6261">
              <w:rPr>
                <w:rFonts w:ascii="Calibri" w:hAnsi="Calibri" w:cstheme="minorHAnsi"/>
                <w:color w:val="000000"/>
                <w:sz w:val="18"/>
                <w:szCs w:val="18"/>
                <w:lang w:val="en-US"/>
              </w:rPr>
              <w:instrText>alse,"suffix":""},{"dropping-particle":"","family":"Moretti","given":"Elena","non-dropping-particle":"","parse-names":false,"suffix":""},{"dropping-particle":"","family":"Cerretani","given":"Daniela","non-dropping-particle":"","parse-names":false,"suffix":""},{"dropping-particle":"","family":"Lucia","given":"Micheli","non-dropping-particle":"","parse-names":false,"suffix":""},{"dropping-particle":"","family":"Anna Ida","given":"Fiaschi","non-dropping-particle":"","parse-names":false,"suffix":""},{"dropping-particle":"","family":"Laura","given":"Menchetti","non-dropping-particle":"","parse-names":false,"suffix":""},{"dropping-particle":"","family":"Gabriele","given":"Brecchia","non-dropping-particle":"","parse-names":false,"suffix":""},{"dropping-particle":"","family":"Cesare","given":"Castellini","non-dropping-particle":"","parse-names":false,"suffix":""}],"container-title":"Mediators of Inflammation","id":"ITEM-1","issued":{"date-parts":[["2020"]]},"title":"Oxidative and/or Inflammatory Thrust Induced by Silver Nanoparticles in Rabbits: Effect of Vitamin E or NSAID Administration on Semen Parameters","type":"article-journal","volume":"2020"},"uris":["http://www.mendeley.com/documents/?uuid=bde27433-d653-4170-98c5-4d6553052edc"]}],"mendeley":{"formattedCitation":"(7)","plainTextFormattedCitation":"(7)","previouslyFormattedCitation":"(Collodel et al. 2020)"},"properties":{"noteIndex":0},"schema":"https://github.com/citation-style-language/schema/raw/master/csl-citation.json"}</w:instrText>
            </w:r>
            <w:r>
              <w:rPr>
                <w:rFonts w:ascii="Calibri" w:hAnsi="Calibri" w:cstheme="minorHAnsi"/>
                <w:color w:val="000000"/>
                <w:sz w:val="18"/>
                <w:szCs w:val="18"/>
              </w:rPr>
              <w:fldChar w:fldCharType="separate"/>
            </w:r>
            <w:r w:rsidR="007F3FC3" w:rsidRPr="00AF6261">
              <w:rPr>
                <w:rFonts w:ascii="Calibri" w:hAnsi="Calibri" w:cstheme="minorHAnsi"/>
                <w:noProof/>
                <w:color w:val="000000"/>
                <w:sz w:val="18"/>
                <w:szCs w:val="18"/>
                <w:lang w:val="en-US"/>
              </w:rPr>
              <w:t>(7)</w:t>
            </w:r>
            <w:r>
              <w:rPr>
                <w:rFonts w:ascii="Calibri" w:hAnsi="Calibri" w:cstheme="minorHAnsi"/>
                <w:color w:val="000000"/>
                <w:sz w:val="18"/>
                <w:szCs w:val="18"/>
              </w:rPr>
              <w:fldChar w:fldCharType="end"/>
            </w:r>
          </w:p>
        </w:tc>
      </w:tr>
      <w:tr w:rsidR="00EB16FD" w:rsidRPr="00DC5D76" w14:paraId="05610FB9"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6A7DB9AF"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74495719"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cBorders>
              <w:bottom w:val="single" w:sz="4" w:space="0" w:color="auto"/>
            </w:tcBorders>
            <w:textDirection w:val="btLr"/>
            <w:vAlign w:val="center"/>
          </w:tcPr>
          <w:p w14:paraId="3C9F42D5"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44D3BCD2" w14:textId="08C42C7C" w:rsidR="00EB16FD" w:rsidRPr="00AF6261" w:rsidRDefault="00EB16FD" w:rsidP="007F1961">
            <w:pPr>
              <w:jc w:val="center"/>
              <w:rPr>
                <w:rFonts w:cstheme="minorHAnsi"/>
                <w:color w:val="000000"/>
                <w:sz w:val="18"/>
                <w:szCs w:val="18"/>
                <w:lang w:val="en-US"/>
              </w:rPr>
            </w:pPr>
            <w:r w:rsidRPr="00AF6261">
              <w:rPr>
                <w:rFonts w:ascii="Calibri" w:hAnsi="Calibri" w:cstheme="minorHAnsi"/>
                <w:color w:val="000000"/>
                <w:sz w:val="18"/>
                <w:szCs w:val="18"/>
                <w:lang w:val="en-US"/>
              </w:rPr>
              <w:t>Cytokine assessment</w:t>
            </w:r>
          </w:p>
        </w:tc>
        <w:tc>
          <w:tcPr>
            <w:tcW w:w="1703" w:type="dxa"/>
            <w:tcBorders>
              <w:top w:val="single" w:sz="4" w:space="0" w:color="auto"/>
              <w:bottom w:val="single" w:sz="4" w:space="0" w:color="auto"/>
            </w:tcBorders>
            <w:shd w:val="clear" w:color="auto" w:fill="auto"/>
            <w:vAlign w:val="center"/>
          </w:tcPr>
          <w:p w14:paraId="09FF9D28" w14:textId="5930D85F" w:rsidR="00EB16FD" w:rsidRPr="00AF6261" w:rsidRDefault="00EB16FD" w:rsidP="007F1961">
            <w:pPr>
              <w:jc w:val="center"/>
              <w:rPr>
                <w:rFonts w:cstheme="minorHAnsi"/>
                <w:color w:val="000000"/>
                <w:sz w:val="18"/>
                <w:szCs w:val="18"/>
                <w:lang w:val="en-US"/>
              </w:rPr>
            </w:pPr>
            <w:r w:rsidRPr="00AF6261">
              <w:rPr>
                <w:rFonts w:ascii="Calibri" w:hAnsi="Calibri" w:cstheme="minorHAnsi"/>
                <w:color w:val="000000"/>
                <w:sz w:val="18"/>
                <w:szCs w:val="18"/>
                <w:lang w:val="en-US"/>
              </w:rPr>
              <w:t>IL-6, IL-8, and TNF-</w:t>
            </w:r>
            <w:r>
              <w:rPr>
                <w:rFonts w:ascii="Calibri" w:hAnsi="Calibri" w:cs="Calibri"/>
                <w:color w:val="000000"/>
                <w:sz w:val="18"/>
                <w:szCs w:val="18"/>
              </w:rPr>
              <w:t>α</w:t>
            </w:r>
            <w:r w:rsidRPr="00AF6261">
              <w:rPr>
                <w:rFonts w:ascii="Calibri" w:hAnsi="Calibri" w:cs="Calibri"/>
                <w:color w:val="000000"/>
                <w:sz w:val="18"/>
                <w:szCs w:val="18"/>
                <w:lang w:val="en-US"/>
              </w:rPr>
              <w:t xml:space="preserve"> </w:t>
            </w:r>
            <w:r w:rsidRPr="00AF6261">
              <w:rPr>
                <w:rFonts w:ascii="Calibri" w:hAnsi="Calibri" w:cstheme="minorHAnsi"/>
                <w:color w:val="000000"/>
                <w:sz w:val="18"/>
                <w:szCs w:val="18"/>
                <w:lang w:val="en-US"/>
              </w:rPr>
              <w:t xml:space="preserve">in seminal plasma by </w:t>
            </w:r>
            <w:r w:rsidRPr="00AF6261">
              <w:rPr>
                <w:rFonts w:ascii="Calibri" w:hAnsi="Calibri" w:cstheme="minorHAnsi"/>
                <w:color w:val="000000"/>
                <w:sz w:val="18"/>
                <w:szCs w:val="18"/>
                <w:lang w:val="en-US"/>
              </w:rPr>
              <w:lastRenderedPageBreak/>
              <w:t>the Bio-Plex Cytokine assay</w:t>
            </w:r>
          </w:p>
        </w:tc>
        <w:tc>
          <w:tcPr>
            <w:tcW w:w="2010" w:type="dxa"/>
            <w:tcBorders>
              <w:top w:val="single" w:sz="4" w:space="0" w:color="auto"/>
              <w:bottom w:val="single" w:sz="4" w:space="0" w:color="auto"/>
            </w:tcBorders>
            <w:shd w:val="clear" w:color="auto" w:fill="auto"/>
            <w:vAlign w:val="center"/>
          </w:tcPr>
          <w:p w14:paraId="2E3CCB58" w14:textId="41E9AC06" w:rsidR="00EB16FD" w:rsidRPr="00AF6261" w:rsidRDefault="00EB16FD" w:rsidP="007F1961">
            <w:pPr>
              <w:jc w:val="center"/>
              <w:rPr>
                <w:rFonts w:cstheme="minorHAnsi"/>
                <w:color w:val="000000"/>
                <w:sz w:val="18"/>
                <w:szCs w:val="18"/>
                <w:lang w:val="en-US"/>
              </w:rPr>
            </w:pPr>
            <w:r w:rsidRPr="00AF6261">
              <w:rPr>
                <w:rFonts w:ascii="Calibri" w:hAnsi="Calibri" w:cstheme="minorHAnsi"/>
                <w:color w:val="000000"/>
                <w:sz w:val="18"/>
                <w:szCs w:val="18"/>
                <w:lang w:val="en-US"/>
              </w:rPr>
              <w:lastRenderedPageBreak/>
              <w:t>Increased cytokines</w:t>
            </w:r>
          </w:p>
        </w:tc>
        <w:tc>
          <w:tcPr>
            <w:tcW w:w="2273" w:type="dxa"/>
            <w:tcBorders>
              <w:top w:val="single" w:sz="4" w:space="0" w:color="auto"/>
              <w:bottom w:val="single" w:sz="4" w:space="0" w:color="auto"/>
            </w:tcBorders>
            <w:vAlign w:val="center"/>
          </w:tcPr>
          <w:p w14:paraId="6D51B134" w14:textId="3C793128"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ascii="Calibri" w:hAnsi="Calibri" w:cstheme="minorHAnsi"/>
                <w:bCs/>
                <w:sz w:val="18"/>
                <w:szCs w:val="18"/>
                <w:lang w:val="en-US"/>
              </w:rPr>
              <w:t>Increased Pro-inflammatory mediators (</w:t>
            </w:r>
            <w:r w:rsidRPr="000C0945">
              <w:rPr>
                <w:rFonts w:cstheme="minorHAnsi"/>
                <w:bCs/>
                <w:sz w:val="18"/>
                <w:szCs w:val="18"/>
                <w:lang w:val="en-US"/>
              </w:rPr>
              <w:t>ID1493)</w:t>
            </w:r>
          </w:p>
        </w:tc>
        <w:tc>
          <w:tcPr>
            <w:tcW w:w="2386" w:type="dxa"/>
            <w:tcBorders>
              <w:top w:val="single" w:sz="4" w:space="0" w:color="auto"/>
              <w:bottom w:val="single" w:sz="4" w:space="0" w:color="auto"/>
            </w:tcBorders>
            <w:shd w:val="clear" w:color="auto" w:fill="auto"/>
            <w:vAlign w:val="center"/>
          </w:tcPr>
          <w:p w14:paraId="7208079B" w14:textId="105F903E" w:rsidR="00EB16FD" w:rsidRPr="000270BA" w:rsidRDefault="00EB16FD" w:rsidP="007F1961">
            <w:pPr>
              <w:spacing w:after="0" w:line="240" w:lineRule="auto"/>
              <w:jc w:val="center"/>
              <w:rPr>
                <w:rFonts w:eastAsia="Times New Roman" w:cstheme="minorHAnsi"/>
                <w:sz w:val="18"/>
                <w:szCs w:val="18"/>
                <w:lang w:val="en-US" w:eastAsia="fr-FR"/>
              </w:rPr>
            </w:pPr>
            <w:r w:rsidRPr="00AF6261">
              <w:rPr>
                <w:rFonts w:ascii="Calibri" w:hAnsi="Calibri" w:cstheme="minorHAnsi"/>
                <w:sz w:val="18"/>
                <w:szCs w:val="18"/>
                <w:lang w:val="en-US"/>
              </w:rPr>
              <w:t>Inflammation (ID 149, 1087, 1633)</w:t>
            </w:r>
          </w:p>
        </w:tc>
        <w:tc>
          <w:tcPr>
            <w:tcW w:w="851" w:type="dxa"/>
            <w:vMerge/>
            <w:tcBorders>
              <w:left w:val="nil"/>
              <w:bottom w:val="single" w:sz="4" w:space="0" w:color="auto"/>
              <w:right w:val="single" w:sz="8" w:space="0" w:color="auto"/>
            </w:tcBorders>
          </w:tcPr>
          <w:p w14:paraId="3918BEEB" w14:textId="77777777" w:rsidR="00EB16FD" w:rsidRPr="00AF6261" w:rsidRDefault="00EB16FD" w:rsidP="007F3FC3">
            <w:pPr>
              <w:jc w:val="center"/>
              <w:rPr>
                <w:rFonts w:ascii="Calibri" w:hAnsi="Calibri" w:cstheme="minorHAnsi"/>
                <w:color w:val="000000"/>
                <w:sz w:val="18"/>
                <w:szCs w:val="18"/>
                <w:lang w:val="en-US"/>
              </w:rPr>
            </w:pPr>
          </w:p>
        </w:tc>
      </w:tr>
      <w:tr w:rsidR="00EB16FD" w:rsidRPr="00912134" w14:paraId="422F091E" w14:textId="77777777" w:rsidTr="007F1961">
        <w:trPr>
          <w:trHeight w:val="195"/>
        </w:trPr>
        <w:tc>
          <w:tcPr>
            <w:tcW w:w="1408" w:type="dxa"/>
            <w:vMerge w:val="restart"/>
            <w:tcBorders>
              <w:top w:val="single" w:sz="4" w:space="0" w:color="auto"/>
              <w:left w:val="single" w:sz="4" w:space="0" w:color="auto"/>
            </w:tcBorders>
            <w:shd w:val="clear" w:color="auto" w:fill="auto"/>
            <w:textDirection w:val="btLr"/>
            <w:vAlign w:val="center"/>
          </w:tcPr>
          <w:p w14:paraId="78ECECBA" w14:textId="77777777" w:rsidR="00EB16FD" w:rsidRPr="00AF6261" w:rsidRDefault="00EB16FD" w:rsidP="00EB16FD">
            <w:pPr>
              <w:spacing w:line="240" w:lineRule="auto"/>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Size:100 nm</w:t>
            </w:r>
          </w:p>
          <w:p w14:paraId="34429A93" w14:textId="77777777" w:rsidR="00EB16FD" w:rsidRPr="00AF6261" w:rsidRDefault="00EB16FD" w:rsidP="00EB16FD">
            <w:pPr>
              <w:spacing w:line="240" w:lineRule="auto"/>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Spherical</w:t>
            </w:r>
          </w:p>
          <w:p w14:paraId="7A30CEBE" w14:textId="77777777" w:rsidR="00EB16FD" w:rsidRPr="00AF6261" w:rsidRDefault="00EB16FD" w:rsidP="00EB16FD">
            <w:pPr>
              <w:spacing w:line="240" w:lineRule="auto"/>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SSA : 7.5329m</w:t>
            </w:r>
            <w:r w:rsidRPr="00AF6261">
              <w:rPr>
                <w:rFonts w:ascii="Calibri" w:hAnsi="Calibri" w:cstheme="minorHAnsi"/>
                <w:color w:val="000000"/>
                <w:sz w:val="18"/>
                <w:szCs w:val="18"/>
                <w:vertAlign w:val="superscript"/>
                <w:lang w:val="en-US"/>
              </w:rPr>
              <w:t>2</w:t>
            </w:r>
            <w:r w:rsidRPr="00AF6261">
              <w:rPr>
                <w:rFonts w:ascii="Calibri" w:hAnsi="Calibri" w:cstheme="minorHAnsi"/>
                <w:color w:val="000000"/>
                <w:sz w:val="18"/>
                <w:szCs w:val="18"/>
                <w:lang w:val="en-US"/>
              </w:rPr>
              <w:t>/g</w:t>
            </w:r>
          </w:p>
          <w:p w14:paraId="3D784AF5" w14:textId="77777777" w:rsidR="00EB16FD" w:rsidRPr="00AF6261" w:rsidRDefault="00EB16FD" w:rsidP="00EB16FD">
            <w:pPr>
              <w:spacing w:line="240" w:lineRule="auto"/>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Zeta potential:− 18.9 mV</w:t>
            </w:r>
          </w:p>
        </w:tc>
        <w:tc>
          <w:tcPr>
            <w:tcW w:w="1276" w:type="dxa"/>
            <w:vMerge w:val="restart"/>
            <w:tcBorders>
              <w:top w:val="single" w:sz="4" w:space="0" w:color="auto"/>
            </w:tcBorders>
            <w:shd w:val="clear" w:color="auto" w:fill="auto"/>
            <w:textDirection w:val="btLr"/>
            <w:vAlign w:val="center"/>
          </w:tcPr>
          <w:p w14:paraId="4AE05D43"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Male Rats, Sub dermal</w:t>
            </w:r>
          </w:p>
        </w:tc>
        <w:tc>
          <w:tcPr>
            <w:tcW w:w="1275" w:type="dxa"/>
            <w:vMerge w:val="restart"/>
            <w:tcBorders>
              <w:top w:val="single" w:sz="4" w:space="0" w:color="auto"/>
            </w:tcBorders>
            <w:shd w:val="clear" w:color="auto" w:fill="auto"/>
            <w:textDirection w:val="btLr"/>
            <w:vAlign w:val="center"/>
          </w:tcPr>
          <w:p w14:paraId="1C66BF64"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10 and 50 mg/kg  bw, 7 and 28 days</w:t>
            </w:r>
          </w:p>
        </w:tc>
        <w:tc>
          <w:tcPr>
            <w:tcW w:w="1668" w:type="dxa"/>
            <w:tcBorders>
              <w:top w:val="single" w:sz="4" w:space="0" w:color="auto"/>
              <w:bottom w:val="single" w:sz="4" w:space="0" w:color="auto"/>
            </w:tcBorders>
            <w:shd w:val="clear" w:color="auto" w:fill="auto"/>
            <w:vAlign w:val="center"/>
          </w:tcPr>
          <w:p w14:paraId="2CC90FF5"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3875FF6C"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 xml:space="preserve">Sperm motility, velocity by </w:t>
            </w:r>
            <w:r w:rsidRPr="00AF6261">
              <w:rPr>
                <w:rFonts w:ascii="Calibri" w:eastAsia="Times New Roman" w:hAnsi="Calibri" w:cstheme="minorHAnsi"/>
                <w:color w:val="000000"/>
                <w:sz w:val="18"/>
                <w:szCs w:val="18"/>
                <w:lang w:val="en-US" w:eastAsia="fr-FR"/>
              </w:rPr>
              <w:t>HE staining</w:t>
            </w:r>
          </w:p>
        </w:tc>
        <w:tc>
          <w:tcPr>
            <w:tcW w:w="2010" w:type="dxa"/>
            <w:tcBorders>
              <w:top w:val="single" w:sz="4" w:space="0" w:color="auto"/>
              <w:bottom w:val="single" w:sz="4" w:space="0" w:color="auto"/>
            </w:tcBorders>
            <w:shd w:val="clear" w:color="auto" w:fill="auto"/>
            <w:vAlign w:val="center"/>
          </w:tcPr>
          <w:p w14:paraId="21D4AEC6" w14:textId="5E306D64"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Decreased sperm motility and velocity</w:t>
            </w:r>
          </w:p>
        </w:tc>
        <w:tc>
          <w:tcPr>
            <w:tcW w:w="2273" w:type="dxa"/>
            <w:tcBorders>
              <w:top w:val="single" w:sz="4" w:space="0" w:color="auto"/>
              <w:bottom w:val="single" w:sz="4" w:space="0" w:color="auto"/>
            </w:tcBorders>
            <w:vAlign w:val="center"/>
          </w:tcPr>
          <w:p w14:paraId="7741A1EA"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2BED92DB" w14:textId="1E0D5AD9"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5427B758"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val="restart"/>
            <w:tcBorders>
              <w:top w:val="single" w:sz="4" w:space="0" w:color="auto"/>
              <w:left w:val="nil"/>
              <w:right w:val="single" w:sz="8" w:space="0" w:color="auto"/>
            </w:tcBorders>
            <w:vAlign w:val="center"/>
          </w:tcPr>
          <w:p w14:paraId="12B1985E" w14:textId="36AEA34C"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{"citationItems":[{"id":"ITEM-1","itemData":{"DOI":"10.3390/molecules25051063","ISSN":"14203049","PMID":"32120976","abstract":"The potential pharmaceutical application of nanoparticles has led to the toxicity within the male reproductive system. In the present study, the effects of silver nanoparticles (Ag-NPs) on hematological parameters, free radical generation, antioxidant system, sperm parameters, and organ histo-morphometry in male rats were investigated. Ag-NPs were produced by the reduction of silver ions, while the formation of which was monitored by UV–visible spectrophotometry. Zeta potential, transmission, and scanning electron microscopies were applied for the characterization of AgNPs. A total of 30 rats were divided into 6 groups and were sub-dermally exposed to Ag-NPs at the dosage of 0 (control), 10, and 50 mg/kg bodyweight (bw) doses for either 7 or 28 days. Ag-NP administration altered hematological indices and</w:instrText>
            </w:r>
            <w:r w:rsidR="007F3FC3">
              <w:rPr>
                <w:rFonts w:ascii="Calibri" w:eastAsia="Times New Roman" w:hAnsi="Calibri" w:cstheme="minorHAnsi"/>
                <w:color w:val="000000"/>
                <w:sz w:val="18"/>
                <w:szCs w:val="18"/>
                <w:lang w:eastAsia="fr-FR"/>
              </w:rPr>
              <w:instrText xml:space="preserve"> caused dose-dependent decreases in sperm motility, velocity, kinematic parameters, concentrations of luteinizing hormone, follicle-stimulating hormone, and testosterone. In the epididymis and testis, the concentrations of malondialdehyde and peroxide increases while superoxide dismutase, catalase, reduced glutathione, and total thiol group decreases. These findings suggest that Ag-NP triggered hormonal imbalance and induce oxidative stress in testis and epididymis; which negatively affect sperm parameters of male rats.","author":[{"dropping-particle":"","family":"Olugbodi","given":"Janet Olayemi","non-dropping-particle":"","parse-names":false,"suffix":""},{"dropping-particle":"","family":"David","given":"Oladipupo","non-dropping-particle":"","parse-names":false,"suffix":""},{"dropping-particle":"","family":"Oketa","given":"Ene Naomi","non-dropping-particle":"","parse-names":false,"suffix":""},{"dropping-particle":"","family":"Lawal","given":"Bashir","non-dropping-particle":"","parse-names":false,"suffix":""},{"dropping-particle":"","family":"Okoli","given":"Bamidele Joseph","non-dropping-particle":"","parse-names":false,"suffix":""},{"dropping-particle":"","family":"Mtunzi","given":"Fanyana","non-dropping-particle":"","parse-names":false,"suffix":""}],"container-title":"Molecules","id":"ITEM-1","issue":"5","issued":{"date-parts":[["2020","2","27"]]},"publisher":"MDPI AG","title":"Silver nanoparticles stimulates spermatogenesis impairments and hematological alterations in testis and epididymis of Male rats","type":"article-journal","volume":"25"},"uris":["http://www.mendeley.com/documents/?uuid=7d2f85be-c75e-3cd2-bd4b-a242a8cb9e5b"]}],"mendeley":{"formattedCitation":"(8)","plainTextFormattedCitation":"(8)","previouslyFormattedCitation":"(Olugbodi et al. 2020)"},"properties":{"noteIndex":0},"schema":"https://github.com/citation-style-language/schema/raw/master/csl-citation.json"}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(8)</w:t>
            </w:r>
            <w:r w:rsidRPr="00912134">
              <w:rPr>
                <w:rFonts w:ascii="Calibri" w:eastAsia="Times New Roman" w:hAnsi="Calibri" w:cstheme="minorHAnsi"/>
                <w:color w:val="000000"/>
                <w:sz w:val="18"/>
                <w:szCs w:val="18"/>
                <w:lang w:eastAsia="fr-FR"/>
              </w:rPr>
              <w:fldChar w:fldCharType="end"/>
            </w:r>
          </w:p>
        </w:tc>
      </w:tr>
      <w:tr w:rsidR="00EB16FD" w:rsidRPr="00912134" w14:paraId="045252AA" w14:textId="77777777" w:rsidTr="007F1961">
        <w:trPr>
          <w:trHeight w:val="195"/>
        </w:trPr>
        <w:tc>
          <w:tcPr>
            <w:tcW w:w="1408" w:type="dxa"/>
            <w:vMerge/>
            <w:tcBorders>
              <w:left w:val="single" w:sz="4" w:space="0" w:color="auto"/>
            </w:tcBorders>
            <w:shd w:val="clear" w:color="auto" w:fill="auto"/>
            <w:textDirection w:val="btLr"/>
            <w:vAlign w:val="center"/>
          </w:tcPr>
          <w:p w14:paraId="217D9BDE" w14:textId="77777777" w:rsidR="00EB16FD" w:rsidRPr="00912134" w:rsidRDefault="00EB16FD" w:rsidP="00EB16FD">
            <w:pPr>
              <w:ind w:left="113" w:right="113"/>
              <w:jc w:val="center"/>
              <w:rPr>
                <w:rFonts w:ascii="Calibri" w:hAnsi="Calibri" w:cstheme="minorHAnsi"/>
                <w:color w:val="000000"/>
                <w:sz w:val="18"/>
                <w:szCs w:val="18"/>
              </w:rPr>
            </w:pPr>
          </w:p>
        </w:tc>
        <w:tc>
          <w:tcPr>
            <w:tcW w:w="1276" w:type="dxa"/>
            <w:vMerge/>
            <w:shd w:val="clear" w:color="auto" w:fill="auto"/>
            <w:textDirection w:val="btLr"/>
            <w:vAlign w:val="center"/>
          </w:tcPr>
          <w:p w14:paraId="6AD15090" w14:textId="77777777" w:rsidR="00EB16FD" w:rsidRPr="00912134" w:rsidRDefault="00EB16FD" w:rsidP="00EB16FD">
            <w:pPr>
              <w:ind w:left="113" w:right="113"/>
              <w:jc w:val="center"/>
              <w:rPr>
                <w:rFonts w:ascii="Calibri" w:hAnsi="Calibri" w:cstheme="minorHAnsi"/>
                <w:color w:val="000000"/>
                <w:sz w:val="18"/>
                <w:szCs w:val="18"/>
              </w:rPr>
            </w:pPr>
          </w:p>
        </w:tc>
        <w:tc>
          <w:tcPr>
            <w:tcW w:w="1275" w:type="dxa"/>
            <w:vMerge/>
            <w:shd w:val="clear" w:color="auto" w:fill="auto"/>
            <w:textDirection w:val="btLr"/>
            <w:vAlign w:val="center"/>
          </w:tcPr>
          <w:p w14:paraId="7B0C9800" w14:textId="77777777" w:rsidR="00EB16FD" w:rsidRPr="00912134" w:rsidRDefault="00EB16FD" w:rsidP="00EB16FD">
            <w:pPr>
              <w:ind w:left="113" w:right="113"/>
              <w:jc w:val="center"/>
              <w:rPr>
                <w:rFonts w:ascii="Calibri" w:hAnsi="Calibri" w:cstheme="minorHAnsi"/>
                <w:color w:val="000000"/>
                <w:sz w:val="18"/>
                <w:szCs w:val="18"/>
              </w:rPr>
            </w:pPr>
          </w:p>
        </w:tc>
        <w:tc>
          <w:tcPr>
            <w:tcW w:w="1668" w:type="dxa"/>
            <w:tcBorders>
              <w:top w:val="single" w:sz="4" w:space="0" w:color="auto"/>
              <w:bottom w:val="single" w:sz="4" w:space="0" w:color="auto"/>
            </w:tcBorders>
            <w:shd w:val="clear" w:color="auto" w:fill="auto"/>
            <w:vAlign w:val="center"/>
          </w:tcPr>
          <w:p w14:paraId="2D302339" w14:textId="77777777" w:rsidR="00EB16FD" w:rsidRPr="00912134" w:rsidRDefault="00EB16FD" w:rsidP="007F1961">
            <w:pPr>
              <w:jc w:val="center"/>
              <w:rPr>
                <w:rFonts w:ascii="Calibri" w:hAnsi="Calibri" w:cstheme="minorHAnsi"/>
                <w:color w:val="000000"/>
                <w:sz w:val="18"/>
                <w:szCs w:val="18"/>
              </w:rPr>
            </w:pPr>
            <w:r>
              <w:rPr>
                <w:rFonts w:ascii="Calibri" w:hAnsi="Calibri" w:cstheme="minorHAnsi"/>
                <w:color w:val="000000"/>
                <w:sz w:val="18"/>
                <w:szCs w:val="18"/>
              </w:rPr>
              <w:t>Oxidative Status</w:t>
            </w:r>
          </w:p>
        </w:tc>
        <w:tc>
          <w:tcPr>
            <w:tcW w:w="1703" w:type="dxa"/>
            <w:tcBorders>
              <w:top w:val="single" w:sz="4" w:space="0" w:color="auto"/>
              <w:bottom w:val="single" w:sz="4" w:space="0" w:color="auto"/>
            </w:tcBorders>
            <w:shd w:val="clear" w:color="auto" w:fill="auto"/>
            <w:vAlign w:val="center"/>
          </w:tcPr>
          <w:p w14:paraId="2AC418DA"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MD</w:t>
            </w:r>
            <w:r>
              <w:rPr>
                <w:rFonts w:ascii="Calibri" w:hAnsi="Calibri" w:cstheme="minorHAnsi"/>
                <w:color w:val="000000"/>
                <w:sz w:val="18"/>
                <w:szCs w:val="18"/>
              </w:rPr>
              <w:t xml:space="preserve">A, GSH, </w:t>
            </w:r>
            <w:r w:rsidRPr="00912134">
              <w:rPr>
                <w:rFonts w:ascii="Calibri" w:hAnsi="Calibri" w:cstheme="minorHAnsi"/>
                <w:color w:val="000000"/>
                <w:sz w:val="18"/>
                <w:szCs w:val="18"/>
              </w:rPr>
              <w:t>CAT</w:t>
            </w:r>
          </w:p>
        </w:tc>
        <w:tc>
          <w:tcPr>
            <w:tcW w:w="2010" w:type="dxa"/>
            <w:tcBorders>
              <w:top w:val="single" w:sz="4" w:space="0" w:color="auto"/>
              <w:bottom w:val="single" w:sz="4" w:space="0" w:color="auto"/>
            </w:tcBorders>
            <w:shd w:val="clear" w:color="auto" w:fill="auto"/>
            <w:vAlign w:val="center"/>
          </w:tcPr>
          <w:p w14:paraId="3FFA2030"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Increased Lipid peroxidization Decreased SOD, CAT, GSH and total thiols</w:t>
            </w:r>
          </w:p>
        </w:tc>
        <w:tc>
          <w:tcPr>
            <w:tcW w:w="2273" w:type="dxa"/>
            <w:tcBorders>
              <w:top w:val="single" w:sz="4" w:space="0" w:color="auto"/>
              <w:bottom w:val="single" w:sz="4" w:space="0" w:color="auto"/>
            </w:tcBorders>
            <w:vAlign w:val="center"/>
          </w:tcPr>
          <w:p w14:paraId="79B1A5BB"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2F2FDE09"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5A65D6B6" w14:textId="68EB43FF"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Oxidative Damage</w:t>
            </w:r>
          </w:p>
          <w:p w14:paraId="0FEADCFC"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(ID356)</w:t>
            </w:r>
          </w:p>
        </w:tc>
        <w:tc>
          <w:tcPr>
            <w:tcW w:w="851" w:type="dxa"/>
            <w:vMerge/>
            <w:tcBorders>
              <w:left w:val="nil"/>
              <w:right w:val="single" w:sz="8" w:space="0" w:color="auto"/>
            </w:tcBorders>
          </w:tcPr>
          <w:p w14:paraId="402C735B"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DC5D76" w14:paraId="2CBB962C" w14:textId="77777777" w:rsidTr="007F1961">
        <w:trPr>
          <w:trHeight w:val="195"/>
        </w:trPr>
        <w:tc>
          <w:tcPr>
            <w:tcW w:w="1408" w:type="dxa"/>
            <w:vMerge/>
            <w:tcBorders>
              <w:left w:val="single" w:sz="4" w:space="0" w:color="auto"/>
            </w:tcBorders>
            <w:shd w:val="clear" w:color="auto" w:fill="auto"/>
            <w:textDirection w:val="btLr"/>
            <w:vAlign w:val="center"/>
          </w:tcPr>
          <w:p w14:paraId="6539E6BF" w14:textId="77777777" w:rsidR="00EB16FD" w:rsidRPr="00912134" w:rsidRDefault="00EB16FD" w:rsidP="00EB16FD">
            <w:pPr>
              <w:ind w:left="113" w:right="113"/>
              <w:jc w:val="center"/>
              <w:rPr>
                <w:rFonts w:ascii="Calibri" w:hAnsi="Calibri" w:cstheme="minorHAnsi"/>
                <w:color w:val="000000"/>
                <w:sz w:val="18"/>
                <w:szCs w:val="18"/>
              </w:rPr>
            </w:pPr>
          </w:p>
        </w:tc>
        <w:tc>
          <w:tcPr>
            <w:tcW w:w="1276" w:type="dxa"/>
            <w:vMerge/>
            <w:shd w:val="clear" w:color="auto" w:fill="auto"/>
            <w:textDirection w:val="btLr"/>
            <w:vAlign w:val="center"/>
          </w:tcPr>
          <w:p w14:paraId="795626EB" w14:textId="77777777" w:rsidR="00EB16FD" w:rsidRPr="00912134" w:rsidRDefault="00EB16FD" w:rsidP="00EB16FD">
            <w:pPr>
              <w:ind w:left="113" w:right="113"/>
              <w:jc w:val="center"/>
              <w:rPr>
                <w:rFonts w:ascii="Calibri" w:hAnsi="Calibri" w:cstheme="minorHAnsi"/>
                <w:color w:val="000000"/>
                <w:sz w:val="18"/>
                <w:szCs w:val="18"/>
              </w:rPr>
            </w:pPr>
          </w:p>
        </w:tc>
        <w:tc>
          <w:tcPr>
            <w:tcW w:w="1275" w:type="dxa"/>
            <w:vMerge/>
            <w:shd w:val="clear" w:color="auto" w:fill="auto"/>
            <w:textDirection w:val="btLr"/>
            <w:vAlign w:val="center"/>
          </w:tcPr>
          <w:p w14:paraId="791FF709" w14:textId="77777777" w:rsidR="00EB16FD" w:rsidRPr="00912134" w:rsidRDefault="00EB16FD" w:rsidP="00EB16FD">
            <w:pPr>
              <w:ind w:left="113" w:right="113"/>
              <w:jc w:val="center"/>
              <w:rPr>
                <w:rFonts w:ascii="Calibri" w:hAnsi="Calibri" w:cstheme="minorHAnsi"/>
                <w:color w:val="000000"/>
                <w:sz w:val="18"/>
                <w:szCs w:val="18"/>
              </w:rPr>
            </w:pPr>
          </w:p>
        </w:tc>
        <w:tc>
          <w:tcPr>
            <w:tcW w:w="1668" w:type="dxa"/>
            <w:tcBorders>
              <w:top w:val="single" w:sz="4" w:space="0" w:color="auto"/>
              <w:bottom w:val="single" w:sz="4" w:space="0" w:color="auto"/>
            </w:tcBorders>
            <w:shd w:val="clear" w:color="auto" w:fill="auto"/>
            <w:vAlign w:val="center"/>
          </w:tcPr>
          <w:p w14:paraId="5A55033D"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Hormonal Assessment</w:t>
            </w:r>
          </w:p>
        </w:tc>
        <w:tc>
          <w:tcPr>
            <w:tcW w:w="1703" w:type="dxa"/>
            <w:tcBorders>
              <w:top w:val="single" w:sz="4" w:space="0" w:color="auto"/>
              <w:bottom w:val="single" w:sz="4" w:space="0" w:color="auto"/>
            </w:tcBorders>
            <w:shd w:val="clear" w:color="auto" w:fill="auto"/>
            <w:vAlign w:val="center"/>
          </w:tcPr>
          <w:p w14:paraId="0A6A1574"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Testosterone, LH and FSH</w:t>
            </w:r>
          </w:p>
        </w:tc>
        <w:tc>
          <w:tcPr>
            <w:tcW w:w="2010" w:type="dxa"/>
            <w:tcBorders>
              <w:top w:val="single" w:sz="4" w:space="0" w:color="auto"/>
              <w:bottom w:val="single" w:sz="4" w:space="0" w:color="auto"/>
            </w:tcBorders>
            <w:shd w:val="clear" w:color="auto" w:fill="auto"/>
            <w:vAlign w:val="center"/>
          </w:tcPr>
          <w:p w14:paraId="22C5B1E6"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Decreased testosterone, LH and FSH levels (dose dependent)</w:t>
            </w:r>
          </w:p>
        </w:tc>
        <w:tc>
          <w:tcPr>
            <w:tcW w:w="2273" w:type="dxa"/>
            <w:tcBorders>
              <w:top w:val="single" w:sz="4" w:space="0" w:color="auto"/>
              <w:bottom w:val="single" w:sz="4" w:space="0" w:color="auto"/>
            </w:tcBorders>
            <w:vAlign w:val="center"/>
          </w:tcPr>
          <w:p w14:paraId="15468539" w14:textId="77777777" w:rsidR="00EB16FD" w:rsidRPr="000270BA" w:rsidRDefault="00EB16FD" w:rsidP="007F1961">
            <w:pPr>
              <w:jc w:val="center"/>
              <w:rPr>
                <w:sz w:val="18"/>
                <w:szCs w:val="18"/>
                <w:lang w:val="en-US"/>
              </w:rPr>
            </w:pPr>
            <w:r w:rsidRPr="000270BA">
              <w:rPr>
                <w:sz w:val="18"/>
                <w:szCs w:val="18"/>
                <w:lang w:val="en-US"/>
              </w:rPr>
              <w:t>Reduction, testosterone level (ID1613, ID1689, ID1612)</w:t>
            </w:r>
          </w:p>
          <w:p w14:paraId="4D7185D1" w14:textId="77777777" w:rsidR="00EB16FD" w:rsidRPr="000270BA" w:rsidRDefault="00EB16FD" w:rsidP="007F1961">
            <w:pPr>
              <w:jc w:val="center"/>
              <w:rPr>
                <w:bCs/>
                <w:sz w:val="18"/>
                <w:szCs w:val="18"/>
                <w:lang w:val="en-US"/>
              </w:rPr>
            </w:pPr>
            <w:r w:rsidRPr="000270BA">
              <w:rPr>
                <w:bCs/>
                <w:sz w:val="18"/>
                <w:szCs w:val="18"/>
                <w:lang w:val="en-US"/>
              </w:rPr>
              <w:t>Reduced, Gonadotropins (ID1986)</w:t>
            </w:r>
          </w:p>
        </w:tc>
        <w:tc>
          <w:tcPr>
            <w:tcW w:w="2386" w:type="dxa"/>
            <w:tcBorders>
              <w:top w:val="single" w:sz="4" w:space="0" w:color="auto"/>
              <w:bottom w:val="single" w:sz="4" w:space="0" w:color="auto"/>
            </w:tcBorders>
            <w:shd w:val="clear" w:color="auto" w:fill="auto"/>
            <w:vAlign w:val="center"/>
          </w:tcPr>
          <w:p w14:paraId="17277FEA" w14:textId="223162DA"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Decreased sperm quantity or quality in the adult, Decreased fertility</w:t>
            </w:r>
          </w:p>
        </w:tc>
        <w:tc>
          <w:tcPr>
            <w:tcW w:w="851" w:type="dxa"/>
            <w:vMerge/>
            <w:tcBorders>
              <w:left w:val="nil"/>
              <w:right w:val="single" w:sz="8" w:space="0" w:color="auto"/>
            </w:tcBorders>
          </w:tcPr>
          <w:p w14:paraId="6162F771"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0A360215"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337CF3F2"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5BA75C36"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cBorders>
              <w:bottom w:val="single" w:sz="4" w:space="0" w:color="auto"/>
            </w:tcBorders>
            <w:shd w:val="clear" w:color="auto" w:fill="auto"/>
            <w:textDirection w:val="btLr"/>
            <w:vAlign w:val="center"/>
          </w:tcPr>
          <w:p w14:paraId="3E896087"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3748FDE0"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Histological parametres</w:t>
            </w:r>
          </w:p>
        </w:tc>
        <w:tc>
          <w:tcPr>
            <w:tcW w:w="1703" w:type="dxa"/>
            <w:tcBorders>
              <w:top w:val="single" w:sz="4" w:space="0" w:color="auto"/>
              <w:bottom w:val="single" w:sz="4" w:space="0" w:color="auto"/>
            </w:tcBorders>
            <w:shd w:val="clear" w:color="auto" w:fill="auto"/>
            <w:vAlign w:val="center"/>
          </w:tcPr>
          <w:p w14:paraId="06404442" w14:textId="5BAA10CC" w:rsidR="00EB16FD" w:rsidRPr="00912134" w:rsidRDefault="00EB16FD" w:rsidP="007F1961">
            <w:pPr>
              <w:jc w:val="center"/>
              <w:rPr>
                <w:rFonts w:ascii="Calibri" w:hAnsi="Calibri" w:cstheme="minorHAnsi"/>
                <w:color w:val="000000"/>
                <w:sz w:val="18"/>
                <w:szCs w:val="18"/>
              </w:rPr>
            </w:pPr>
            <w:r>
              <w:rPr>
                <w:rFonts w:ascii="Calibri" w:hAnsi="Calibri" w:cstheme="minorHAnsi"/>
                <w:color w:val="000000"/>
                <w:sz w:val="18"/>
                <w:szCs w:val="18"/>
              </w:rPr>
              <w:t>In testicular samples</w:t>
            </w:r>
          </w:p>
        </w:tc>
        <w:tc>
          <w:tcPr>
            <w:tcW w:w="2010" w:type="dxa"/>
            <w:tcBorders>
              <w:top w:val="single" w:sz="4" w:space="0" w:color="auto"/>
              <w:bottom w:val="single" w:sz="4" w:space="0" w:color="auto"/>
            </w:tcBorders>
            <w:shd w:val="clear" w:color="auto" w:fill="auto"/>
            <w:vAlign w:val="center"/>
          </w:tcPr>
          <w:p w14:paraId="6A874F32"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Degenerative alterations in the cellular architecture of testes and epididymis</w:t>
            </w:r>
          </w:p>
        </w:tc>
        <w:tc>
          <w:tcPr>
            <w:tcW w:w="2273" w:type="dxa"/>
            <w:tcBorders>
              <w:top w:val="single" w:sz="4" w:space="0" w:color="auto"/>
              <w:bottom w:val="single" w:sz="4" w:space="0" w:color="auto"/>
            </w:tcBorders>
            <w:vAlign w:val="center"/>
          </w:tcPr>
          <w:p w14:paraId="63F62C58"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Testicular atrophy</w:t>
            </w:r>
          </w:p>
          <w:p w14:paraId="76101D7B"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bottom w:val="single" w:sz="4" w:space="0" w:color="auto"/>
            </w:tcBorders>
            <w:shd w:val="clear" w:color="auto" w:fill="auto"/>
            <w:vAlign w:val="center"/>
          </w:tcPr>
          <w:p w14:paraId="6347FF01"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5C0EA500"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left w:val="nil"/>
              <w:bottom w:val="single" w:sz="4" w:space="0" w:color="auto"/>
              <w:right w:val="single" w:sz="8" w:space="0" w:color="auto"/>
            </w:tcBorders>
          </w:tcPr>
          <w:p w14:paraId="38DCD076"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0E1BF8B1" w14:textId="77777777" w:rsidTr="007F1961">
        <w:trPr>
          <w:cantSplit/>
          <w:trHeight w:val="1223"/>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54FA907B"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lastRenderedPageBreak/>
              <w:t>Size:10, 20, 40, 60 and 100 nm</w:t>
            </w:r>
          </w:p>
          <w:p w14:paraId="2B85A902"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Hydrodynamic size : 113.4±12.1 nm</w:t>
            </w:r>
          </w:p>
        </w:tc>
        <w:tc>
          <w:tcPr>
            <w:tcW w:w="1276" w:type="dxa"/>
            <w:tcBorders>
              <w:top w:val="single" w:sz="4" w:space="0" w:color="auto"/>
              <w:bottom w:val="single" w:sz="4" w:space="0" w:color="auto"/>
            </w:tcBorders>
            <w:shd w:val="clear" w:color="auto" w:fill="auto"/>
            <w:textDirection w:val="btLr"/>
            <w:vAlign w:val="center"/>
          </w:tcPr>
          <w:p w14:paraId="41B181E6"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Male mice (BALB/C), intraperitoneal route</w:t>
            </w:r>
          </w:p>
        </w:tc>
        <w:tc>
          <w:tcPr>
            <w:tcW w:w="1275" w:type="dxa"/>
            <w:tcBorders>
              <w:top w:val="single" w:sz="4" w:space="0" w:color="auto"/>
              <w:bottom w:val="single" w:sz="4" w:space="0" w:color="auto"/>
            </w:tcBorders>
            <w:shd w:val="clear" w:color="auto" w:fill="auto"/>
            <w:textDirection w:val="btLr"/>
            <w:vAlign w:val="center"/>
          </w:tcPr>
          <w:p w14:paraId="51D13C08" w14:textId="77777777" w:rsidR="00EB16FD" w:rsidRPr="00912134" w:rsidRDefault="00EB16FD" w:rsidP="00EB16FD">
            <w:pPr>
              <w:ind w:left="113" w:right="113"/>
              <w:jc w:val="center"/>
              <w:rPr>
                <w:rFonts w:ascii="Calibri" w:hAnsi="Calibri" w:cstheme="minorHAnsi"/>
                <w:color w:val="000000"/>
                <w:sz w:val="18"/>
                <w:szCs w:val="18"/>
              </w:rPr>
            </w:pPr>
            <w:r w:rsidRPr="00912134">
              <w:rPr>
                <w:rFonts w:ascii="Calibri" w:hAnsi="Calibri" w:cstheme="minorHAnsi"/>
                <w:color w:val="000000"/>
                <w:sz w:val="18"/>
                <w:szCs w:val="18"/>
              </w:rPr>
              <w:t>1 mg/kg bw 35 days</w:t>
            </w:r>
          </w:p>
        </w:tc>
        <w:tc>
          <w:tcPr>
            <w:tcW w:w="1668" w:type="dxa"/>
            <w:tcBorders>
              <w:top w:val="single" w:sz="4" w:space="0" w:color="auto"/>
              <w:bottom w:val="single" w:sz="4" w:space="0" w:color="auto"/>
            </w:tcBorders>
            <w:shd w:val="clear" w:color="auto" w:fill="auto"/>
            <w:vAlign w:val="center"/>
          </w:tcPr>
          <w:p w14:paraId="62F8D2D3"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Histological parametres</w:t>
            </w:r>
          </w:p>
        </w:tc>
        <w:tc>
          <w:tcPr>
            <w:tcW w:w="1703" w:type="dxa"/>
            <w:tcBorders>
              <w:top w:val="single" w:sz="4" w:space="0" w:color="auto"/>
              <w:bottom w:val="single" w:sz="4" w:space="0" w:color="auto"/>
            </w:tcBorders>
            <w:shd w:val="clear" w:color="auto" w:fill="auto"/>
            <w:vAlign w:val="center"/>
          </w:tcPr>
          <w:p w14:paraId="7EBCD346"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Cellular achitecture of testes and epididymis</w:t>
            </w:r>
          </w:p>
        </w:tc>
        <w:tc>
          <w:tcPr>
            <w:tcW w:w="2010" w:type="dxa"/>
            <w:tcBorders>
              <w:top w:val="single" w:sz="4" w:space="0" w:color="auto"/>
              <w:bottom w:val="single" w:sz="4" w:space="0" w:color="auto"/>
            </w:tcBorders>
            <w:shd w:val="clear" w:color="auto" w:fill="auto"/>
            <w:vAlign w:val="center"/>
          </w:tcPr>
          <w:p w14:paraId="2D02107A" w14:textId="26534684"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Degenerative spermatogenic cells, mild intertubular oedema, spermatocytes desquamation and  spermatid giant cell</w:t>
            </w:r>
          </w:p>
        </w:tc>
        <w:tc>
          <w:tcPr>
            <w:tcW w:w="2273" w:type="dxa"/>
            <w:tcBorders>
              <w:top w:val="single" w:sz="4" w:space="0" w:color="auto"/>
              <w:bottom w:val="single" w:sz="4" w:space="0" w:color="auto"/>
            </w:tcBorders>
            <w:vAlign w:val="center"/>
          </w:tcPr>
          <w:p w14:paraId="433EEF76"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Testicular atrophy</w:t>
            </w:r>
          </w:p>
          <w:p w14:paraId="60756538"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bottom w:val="single" w:sz="4" w:space="0" w:color="auto"/>
            </w:tcBorders>
            <w:shd w:val="clear" w:color="auto" w:fill="auto"/>
            <w:vAlign w:val="center"/>
          </w:tcPr>
          <w:p w14:paraId="12B91001"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60A7B71A" w14:textId="77777777" w:rsidR="00EB16FD"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p w14:paraId="1D2837E4" w14:textId="77777777" w:rsidR="00EB16FD" w:rsidRPr="000270BA" w:rsidRDefault="00EB16FD" w:rsidP="007F1961">
            <w:pPr>
              <w:spacing w:after="0" w:line="240" w:lineRule="auto"/>
              <w:jc w:val="center"/>
              <w:rPr>
                <w:rFonts w:eastAsia="Times New Roman" w:cstheme="minorHAnsi"/>
                <w:sz w:val="18"/>
                <w:szCs w:val="18"/>
                <w:lang w:val="en-US" w:eastAsia="fr-FR"/>
              </w:rPr>
            </w:pPr>
          </w:p>
        </w:tc>
        <w:tc>
          <w:tcPr>
            <w:tcW w:w="851" w:type="dxa"/>
            <w:tcBorders>
              <w:top w:val="single" w:sz="4" w:space="0" w:color="auto"/>
              <w:left w:val="nil"/>
              <w:bottom w:val="single" w:sz="4" w:space="0" w:color="auto"/>
              <w:right w:val="single" w:sz="4" w:space="0" w:color="auto"/>
            </w:tcBorders>
            <w:vAlign w:val="center"/>
          </w:tcPr>
          <w:p w14:paraId="2AF4D855" w14:textId="1A29C99C"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{"citationItems":[{"id":"ITEM-1","itemData":{"DOI":"10.1177/0748233720937201","ISSN":"14770393","PMID":"32677580","abstract":"Silver nanoparticles (Ag NPs) are widely used in nanomedicine, pharmaceutical products, industry and other consumer products owing to their unique physiochemical properties with probable potential risk to human health and the ecosystems. The aim of this work was to investigate the in-life morphological effects, biochemical, histological and histochemical alterations that might be induced by variable sizes of Ag NPs in hepatic, renal and testicular tissues with the hypothesis that variable sizes of nano-Ag could induce variable effects in the vital organs. Five groups of adult healthy male mice (BALB/C) were exposed to 35 intraperitoneal injections of Ag NPs (1 mg/kg bw) using five different particle sizes (10, 20, 40, 60 and 100 nm). All mice were subjected to in-life morphometric, biochemical, histological and histochemical analysis. The findings demonstrated that Ag NPs could induce alterations in the average body weight gain, food consumption, water intake and organ indices. In addition, these NPs significantly altered hepatic and renal biomarkers. Moreover, Ag NPs produced ground glass hepatocyte cytoplasm, with mitotic activity, nuclear alterations, degeneration, glycogen depletion and inflammatory cells infiltration in the liver. The kidneys of treated mice exhibited proximal renal tubules degeneration, distal renal tubules regeneration, glomerular shrinkage, Bowman’s capsule thickening and interstitial inflammation. The testicular tissues demonstrated spermatocyte sloughing and sperma</w:instrText>
            </w:r>
            <w:r w:rsidR="007F3FC3" w:rsidRPr="00AF6261">
              <w:rPr>
                <w:rFonts w:ascii="Calibri" w:eastAsia="Times New Roman" w:hAnsi="Calibri" w:cstheme="minorHAnsi"/>
                <w:color w:val="000000"/>
                <w:sz w:val="18"/>
                <w:szCs w:val="18"/>
                <w:lang w:val="en-US" w:eastAsia="fr-FR"/>
              </w:rPr>
              <w:instrText>tid giant cell formation. The findings together indicated that Ag NPs could interact with the anatomical structures of the liver, kidney and testis in ways that could induce injury. In addition, the results indicated that smaller Ag NPs posed a greater potential risk than the larger ones, which might be associated with their behaviour, dissolution rate, bioavailability and their probable variable toxicokinetics.","author":[{"dropping-particle":"","family":"Al-Doaiss","given":"Amin A.","non-dropping-particle":"","parse-names":false,"suffix":""},{"dropping-particle":"","family":"Jarrar","given":"Qais","non-dropping-particle":"","parse-names":false,"suffix":""},{"dropping-particle":"","family":"Alshehri","given":"Mohammed","non-dropping-particle":"","parse-names":false,"suffix":""},{"dropping-particle":"","family":"Jarrar","given":"Bashir","non-dropping-particle":"","parse-names":false,"suffix":""}],"container-title":"Toxicology and Industrial Health","id":"ITEM-1","issue":"8","issued":{"date-parts":[["2020"]]},"page":"540-557","title":"In vivo study of silver nanomaterials’ toxicity with respect to size","type":"article-journal","volume":"36"},"uris":["http://www.mendeley.com/documents/?uuid=77d8825c-c065-4cc9-a5ba-3fefbcac9261"]}],"mendeley":{"formattedCitation":"(9)","plainTextFormattedCitation":"(9)","previouslyFormattedCitation":"(Al-Doaiss et al. 2020)"},"properties":{"noteIndex":0},"schema":"https://github.com/citation-style-language/schema/raw/master/csl-citation.json"}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(9)</w:t>
            </w:r>
            <w:r w:rsidRPr="00912134">
              <w:rPr>
                <w:rFonts w:ascii="Calibri" w:eastAsia="Times New Roman" w:hAnsi="Calibri" w:cstheme="minorHAnsi"/>
                <w:color w:val="000000"/>
                <w:sz w:val="18"/>
                <w:szCs w:val="18"/>
                <w:lang w:eastAsia="fr-FR"/>
              </w:rPr>
              <w:fldChar w:fldCharType="end"/>
            </w:r>
          </w:p>
        </w:tc>
      </w:tr>
      <w:tr w:rsidR="00EB16FD" w:rsidRPr="00DC5D76" w14:paraId="4AC19CBC" w14:textId="77777777" w:rsidTr="007F1961">
        <w:trPr>
          <w:cantSplit/>
          <w:trHeight w:val="1134"/>
        </w:trPr>
        <w:tc>
          <w:tcPr>
            <w:tcW w:w="1408" w:type="dxa"/>
            <w:vMerge w:val="restart"/>
            <w:tcBorders>
              <w:top w:val="single" w:sz="4" w:space="0" w:color="auto"/>
              <w:left w:val="single" w:sz="4" w:space="0" w:color="auto"/>
            </w:tcBorders>
            <w:shd w:val="clear" w:color="auto" w:fill="auto"/>
            <w:textDirection w:val="btLr"/>
            <w:vAlign w:val="center"/>
          </w:tcPr>
          <w:p w14:paraId="62206089"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Size:&lt;100 nm, Shape: Spherical, Zeta Potential : -28 mV, Sigma-Aldrich 7440-22-4</w:t>
            </w:r>
          </w:p>
          <w:p w14:paraId="0F24577E"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Hydrodynamic size : 215 nm (PDI of 0.41)</w:t>
            </w:r>
          </w:p>
          <w:p w14:paraId="003D2996"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Zeta potential:− 20 mV</w:t>
            </w:r>
          </w:p>
        </w:tc>
        <w:tc>
          <w:tcPr>
            <w:tcW w:w="1276" w:type="dxa"/>
            <w:vMerge w:val="restart"/>
            <w:tcBorders>
              <w:top w:val="single" w:sz="4" w:space="0" w:color="auto"/>
            </w:tcBorders>
            <w:shd w:val="clear" w:color="auto" w:fill="auto"/>
            <w:textDirection w:val="btLr"/>
            <w:vAlign w:val="center"/>
          </w:tcPr>
          <w:p w14:paraId="4571046F" w14:textId="77777777" w:rsidR="00EB16FD" w:rsidRPr="00AF6261" w:rsidRDefault="00EB16FD" w:rsidP="00EB16FD">
            <w:pPr>
              <w:ind w:left="113" w:right="113"/>
              <w:jc w:val="center"/>
              <w:rPr>
                <w:rFonts w:ascii="Calibri" w:hAnsi="Calibri" w:cstheme="minorHAnsi"/>
                <w:b/>
                <w:bCs/>
                <w:color w:val="000000"/>
                <w:sz w:val="18"/>
                <w:szCs w:val="18"/>
                <w:lang w:val="en-US"/>
              </w:rPr>
            </w:pPr>
            <w:r w:rsidRPr="00AF6261">
              <w:rPr>
                <w:rFonts w:ascii="Calibri" w:hAnsi="Calibri" w:cstheme="minorHAnsi"/>
                <w:color w:val="000000"/>
                <w:sz w:val="18"/>
                <w:szCs w:val="18"/>
                <w:lang w:val="en-US"/>
              </w:rPr>
              <w:t>Male Wistar rats, intratesticular injection</w:t>
            </w:r>
          </w:p>
          <w:p w14:paraId="1BC3DEDC" w14:textId="77777777" w:rsidR="00EB16FD" w:rsidRPr="00AF6261" w:rsidRDefault="00EB16FD" w:rsidP="00EB16FD">
            <w:pPr>
              <w:ind w:left="113" w:right="113"/>
              <w:jc w:val="center"/>
              <w:rPr>
                <w:rFonts w:ascii="Calibri" w:hAnsi="Calibri" w:cstheme="minorHAnsi"/>
                <w:b/>
                <w:bCs/>
                <w:color w:val="000000"/>
                <w:sz w:val="18"/>
                <w:szCs w:val="18"/>
                <w:lang w:val="en-US"/>
              </w:rPr>
            </w:pPr>
          </w:p>
        </w:tc>
        <w:tc>
          <w:tcPr>
            <w:tcW w:w="1275" w:type="dxa"/>
            <w:vMerge w:val="restart"/>
            <w:tcBorders>
              <w:top w:val="single" w:sz="4" w:space="0" w:color="auto"/>
            </w:tcBorders>
            <w:shd w:val="clear" w:color="auto" w:fill="auto"/>
            <w:textDirection w:val="btLr"/>
            <w:vAlign w:val="center"/>
          </w:tcPr>
          <w:p w14:paraId="44495931"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AgNPs solution (0.46 µg-Ag/ml) in each testicle,   7, 14, 28, and 56 days</w:t>
            </w:r>
          </w:p>
        </w:tc>
        <w:tc>
          <w:tcPr>
            <w:tcW w:w="1668" w:type="dxa"/>
            <w:tcBorders>
              <w:top w:val="single" w:sz="4" w:space="0" w:color="auto"/>
              <w:bottom w:val="single" w:sz="4" w:space="0" w:color="auto"/>
            </w:tcBorders>
            <w:shd w:val="clear" w:color="auto" w:fill="auto"/>
            <w:vAlign w:val="center"/>
          </w:tcPr>
          <w:p w14:paraId="4CEF7A47"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1A32C897"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Sperm Motility, morphology</w:t>
            </w:r>
          </w:p>
        </w:tc>
        <w:tc>
          <w:tcPr>
            <w:tcW w:w="2010" w:type="dxa"/>
            <w:tcBorders>
              <w:top w:val="single" w:sz="4" w:space="0" w:color="auto"/>
              <w:bottom w:val="single" w:sz="4" w:space="0" w:color="auto"/>
            </w:tcBorders>
            <w:shd w:val="clear" w:color="auto" w:fill="auto"/>
            <w:vAlign w:val="center"/>
          </w:tcPr>
          <w:p w14:paraId="294617AF"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Decrease sperm motility  decrease  in the percentage</w:t>
            </w:r>
            <w:r w:rsidRPr="00AF6261">
              <w:rPr>
                <w:rFonts w:ascii="Calibri" w:hAnsi="Calibri" w:cstheme="minorHAnsi"/>
                <w:color w:val="000000"/>
                <w:sz w:val="18"/>
                <w:szCs w:val="18"/>
                <w:lang w:val="en-US"/>
              </w:rPr>
              <w:br/>
              <w:t>of normal spermatozoa, increase  in abnormal</w:t>
            </w:r>
            <w:r w:rsidRPr="00AF6261">
              <w:rPr>
                <w:rFonts w:ascii="Calibri" w:hAnsi="Calibri" w:cstheme="minorHAnsi"/>
                <w:color w:val="000000"/>
                <w:sz w:val="18"/>
                <w:szCs w:val="18"/>
                <w:lang w:val="en-US"/>
              </w:rPr>
              <w:br/>
              <w:t>morphology (D7)</w:t>
            </w:r>
          </w:p>
        </w:tc>
        <w:tc>
          <w:tcPr>
            <w:tcW w:w="2273" w:type="dxa"/>
            <w:tcBorders>
              <w:top w:val="single" w:sz="4" w:space="0" w:color="auto"/>
              <w:bottom w:val="single" w:sz="4" w:space="0" w:color="auto"/>
            </w:tcBorders>
            <w:vAlign w:val="center"/>
          </w:tcPr>
          <w:p w14:paraId="01074B5A"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0FE266B5"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7B8AEB45"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val="restart"/>
            <w:tcBorders>
              <w:top w:val="single" w:sz="4" w:space="0" w:color="auto"/>
              <w:left w:val="nil"/>
              <w:right w:val="single" w:sz="8" w:space="0" w:color="auto"/>
            </w:tcBorders>
            <w:vAlign w:val="center"/>
          </w:tcPr>
          <w:p w14:paraId="1B70A048" w14:textId="3B857FF5"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 xml:space="preserve">ADDIN CSL_CITATION {"citationItems":[{"id":"ITEM-1","itemData":{"DOI":"10.1080/17435390.2020.1774812","ISSN":"17435404","PMID":"32529924","abstract":"This study aimed to evaluate the effects of an intratesticular injection of silver nanoparticles (AgNPs) on reproductive parameters and health of rats, and to evaluate the AgNPs biodistribution in order to develop a nanotechnological contraceptive agent for male animals. Treated animals received 220 </w:instrText>
            </w:r>
            <w:r w:rsidR="007F3FC3">
              <w:rPr>
                <w:rFonts w:ascii="Calibri" w:eastAsia="Times New Roman" w:hAnsi="Calibri" w:cstheme="minorHAnsi"/>
                <w:color w:val="000000"/>
                <w:sz w:val="18"/>
                <w:szCs w:val="18"/>
                <w:lang w:eastAsia="fr-FR"/>
              </w:rPr>
              <w:instrText>μ</w:instrText>
            </w:r>
            <w:r w:rsidR="007F3FC3" w:rsidRPr="00AF6261">
              <w:rPr>
                <w:rFonts w:ascii="Calibri" w:eastAsia="Times New Roman" w:hAnsi="Calibri" w:cstheme="minorHAnsi"/>
                <w:color w:val="000000"/>
                <w:sz w:val="18"/>
                <w:szCs w:val="18"/>
                <w:lang w:val="en-US" w:eastAsia="fr-FR"/>
              </w:rPr>
              <w:instrText>L of AgNPs solution (0.46 µg-Ag/ml) in each testicle and were euthanized: seven, 14, 28, and 56 days after injection. A significant decrease (p &lt; 0.05) in the percentage of motile sperm in D7 (8.8%) was observed, comparing to the control (73.3%), D14 (86.0%), D28 (68.2%), and D56 (90.0%) groups. D7 group also presented a decrease (p &lt; 0.05) in the percentage of normal spermatozoa. Additionally, D7 group showed an increase (p &lt; 0.05) in abnormal midpiece and sperm head morphology compared to the</w:instrText>
            </w:r>
            <w:r w:rsidR="007F3FC3">
              <w:rPr>
                <w:rFonts w:ascii="Calibri" w:eastAsia="Times New Roman" w:hAnsi="Calibri" w:cstheme="minorHAnsi"/>
                <w:color w:val="000000"/>
                <w:sz w:val="18"/>
                <w:szCs w:val="18"/>
                <w:lang w:eastAsia="fr-FR"/>
              </w:rPr>
              <w:instrText xml:space="preserve"> Control group. Seminiferous tubules presented all germline cell types and spermatozoa for all groups. However, D7 group did not present spermatozoa in the epididymis, whereas some spermatozoa and cellular debris were visible in D14 and D28 groups. All animals presented hematological parameters, creatinine, and alanine aminotransferase values within the normal limits for Wistar rats. The percentage of silver found in the liver was always higher than in the other organs analyzed. A pioneering mathematical model is proposed, from which the half-life time of silver in the liver (17 days), spleen (23 days), lungs (30 days), and kidneys (35 days) was extracted. In conclusion, some acute and severe toxic effects were observed in sperm cells following intratesticular injection of AgNPs, although these effects were reversible. No adverse effects to general animal health were observed.","author":[{"dropping-particle":"","family":"Brit</w:instrText>
            </w:r>
            <w:r w:rsidR="007F3FC3" w:rsidRPr="00AF6261">
              <w:rPr>
                <w:rFonts w:ascii="Calibri" w:eastAsia="Times New Roman" w:hAnsi="Calibri" w:cstheme="minorHAnsi"/>
                <w:color w:val="000000"/>
                <w:sz w:val="18"/>
                <w:szCs w:val="18"/>
                <w:lang w:val="en-US" w:eastAsia="fr-FR"/>
              </w:rPr>
              <w:instrText>o","given":"Juliana Lis Mendes","non-dropping-particle":"de","parse-names":false,"suffix":""},{"dropping-particle":"de","family":"Lima","given":"Vanessa Nicolau","non-dropping-particle":"","parse-names":false,"suffix":""},{"dropping-particle":"","family":"Ansa","given":"Dorleta Otaegui","non-dropping-particle":"","parse-names":false,"suffix":""},{"dropping-particle":"","family":"Moya","given":"Sergio Enrique","non-dropping-particle":"","parse-names":false,"suffix":""},{"dropping-particle":"","family":"Morais","given":"Paulo Cesar","non-dropping-particle":"","parse-names":false,"suffix":""},{"dropping-particle":"de","family":"Azevedo","given":"Ricardo Bentes","non-dropping-particle":"","parse-names":false,"suffix":""},{"dropping-particle":"","family":"Lucci","given":"Carolina Madeira","non-dropping-particle":"","parse-names":false,"suffix":""}],"container-title":"Nanotoxicology","id":"ITEM-1","issue":"7","issued":{"date-parts":[["2020"]]},"page":"893-907","publisher":"Taylor &amp; Francis","title":"Acute reproductive toxicology after intratesticular injection of silver nanoparticles (AgNPs) in Wistar rats","type":"article-journal","volume":"14"},"uris":["http://www.mendeley.com/documents/?uuid=20777351-c37a-4258-8df1-f7ad042b39da"]}],"mendeley":{"formattedCitation":"(10)","plainTextFormattedCitation":"(10)","previouslyFormattedCitation":"(de Brito et al. 2020)"},"properties":{"noteIndex":0},"schema":"https://github.com/citation-style-language/schema/raw/master/csl-citation.json"}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(10)</w:t>
            </w:r>
            <w:r w:rsidRPr="00912134">
              <w:rPr>
                <w:rFonts w:ascii="Calibri" w:eastAsia="Times New Roman" w:hAnsi="Calibri" w:cstheme="minorHAnsi"/>
                <w:color w:val="000000"/>
                <w:sz w:val="18"/>
                <w:szCs w:val="18"/>
                <w:lang w:eastAsia="fr-FR"/>
              </w:rPr>
              <w:fldChar w:fldCharType="end"/>
            </w:r>
          </w:p>
        </w:tc>
      </w:tr>
      <w:tr w:rsidR="00EB16FD" w:rsidRPr="00DC5D76" w14:paraId="376AD004" w14:textId="77777777" w:rsidTr="007F1961">
        <w:trPr>
          <w:trHeight w:val="1286"/>
        </w:trPr>
        <w:tc>
          <w:tcPr>
            <w:tcW w:w="1408" w:type="dxa"/>
            <w:vMerge/>
            <w:tcBorders>
              <w:left w:val="single" w:sz="4" w:space="0" w:color="auto"/>
            </w:tcBorders>
            <w:shd w:val="clear" w:color="auto" w:fill="auto"/>
            <w:textDirection w:val="btLr"/>
            <w:vAlign w:val="center"/>
          </w:tcPr>
          <w:p w14:paraId="00A6A314"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13CAF462"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extDirection w:val="btLr"/>
            <w:vAlign w:val="center"/>
          </w:tcPr>
          <w:p w14:paraId="6C0E1D54"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668" w:type="dxa"/>
            <w:tcBorders>
              <w:top w:val="single" w:sz="4" w:space="0" w:color="auto"/>
            </w:tcBorders>
            <w:shd w:val="clear" w:color="auto" w:fill="auto"/>
            <w:vAlign w:val="center"/>
          </w:tcPr>
          <w:p w14:paraId="74882107"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Histological parametres</w:t>
            </w:r>
          </w:p>
        </w:tc>
        <w:tc>
          <w:tcPr>
            <w:tcW w:w="1703" w:type="dxa"/>
            <w:tcBorders>
              <w:top w:val="single" w:sz="4" w:space="0" w:color="auto"/>
            </w:tcBorders>
            <w:shd w:val="clear" w:color="auto" w:fill="auto"/>
            <w:vAlign w:val="center"/>
          </w:tcPr>
          <w:p w14:paraId="2567F55E" w14:textId="77777777" w:rsidR="00EB16FD" w:rsidRPr="00AF6261" w:rsidRDefault="00EB16FD" w:rsidP="007F1961">
            <w:pPr>
              <w:autoSpaceDE w:val="0"/>
              <w:autoSpaceDN w:val="0"/>
              <w:adjustRightInd w:val="0"/>
              <w:spacing w:after="0" w:line="240" w:lineRule="auto"/>
              <w:jc w:val="center"/>
              <w:rPr>
                <w:rFonts w:ascii="Calibri" w:hAnsi="Calibri" w:cstheme="minorHAnsi"/>
                <w:color w:val="000000"/>
                <w:sz w:val="18"/>
                <w:szCs w:val="18"/>
                <w:lang w:val="en-US"/>
              </w:rPr>
            </w:pPr>
            <w:r w:rsidRPr="00AF6261">
              <w:rPr>
                <w:rFonts w:ascii="Calibri" w:hAnsi="Calibri" w:cstheme="minorHAnsi"/>
                <w:sz w:val="18"/>
                <w:szCs w:val="18"/>
                <w:lang w:val="en-US"/>
              </w:rPr>
              <w:t>Tubule and tubular lumen diameter and area, together with seminiferous epithelium height</w:t>
            </w:r>
          </w:p>
        </w:tc>
        <w:tc>
          <w:tcPr>
            <w:tcW w:w="2010" w:type="dxa"/>
            <w:tcBorders>
              <w:top w:val="single" w:sz="4" w:space="0" w:color="auto"/>
            </w:tcBorders>
            <w:shd w:val="clear" w:color="auto" w:fill="auto"/>
            <w:vAlign w:val="center"/>
          </w:tcPr>
          <w:p w14:paraId="203CD950"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All the tubular parameters significantly reduced in the AgNPs-D7 group</w:t>
            </w:r>
          </w:p>
        </w:tc>
        <w:tc>
          <w:tcPr>
            <w:tcW w:w="2273" w:type="dxa"/>
            <w:tcBorders>
              <w:top w:val="single" w:sz="4" w:space="0" w:color="auto"/>
            </w:tcBorders>
            <w:vAlign w:val="center"/>
          </w:tcPr>
          <w:p w14:paraId="59699473"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4270D712" w14:textId="77777777" w:rsidR="00EB16FD" w:rsidRPr="00AF6261" w:rsidRDefault="00EB16FD" w:rsidP="007F1961">
            <w:pPr>
              <w:spacing w:after="0" w:line="240" w:lineRule="auto"/>
              <w:jc w:val="center"/>
              <w:rPr>
                <w:rFonts w:ascii="Calibri" w:hAnsi="Calibri" w:cstheme="minorHAnsi"/>
                <w:sz w:val="18"/>
                <w:szCs w:val="18"/>
                <w:lang w:val="en-US"/>
              </w:rPr>
            </w:pPr>
            <w:r w:rsidRPr="00AF6261">
              <w:rPr>
                <w:rFonts w:eastAsia="Times New Roman" w:cstheme="minorHAnsi"/>
                <w:sz w:val="18"/>
                <w:szCs w:val="18"/>
                <w:lang w:val="en-US" w:eastAsia="fr-FR"/>
              </w:rPr>
              <w:t>(ID1506)</w:t>
            </w:r>
          </w:p>
        </w:tc>
        <w:tc>
          <w:tcPr>
            <w:tcW w:w="2386" w:type="dxa"/>
            <w:tcBorders>
              <w:top w:val="single" w:sz="4" w:space="0" w:color="auto"/>
            </w:tcBorders>
            <w:shd w:val="clear" w:color="auto" w:fill="auto"/>
            <w:vAlign w:val="center"/>
          </w:tcPr>
          <w:p w14:paraId="7DF79877"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1EA0FFA6" w14:textId="77777777" w:rsidR="00EB16FD" w:rsidRPr="00AF6261" w:rsidRDefault="00EB16FD" w:rsidP="007F1961">
            <w:pPr>
              <w:spacing w:after="0" w:line="240" w:lineRule="auto"/>
              <w:jc w:val="center"/>
              <w:rPr>
                <w:rFonts w:ascii="Calibri" w:hAnsi="Calibri" w:cstheme="minorHAnsi"/>
                <w:sz w:val="18"/>
                <w:szCs w:val="18"/>
                <w:lang w:val="en-US"/>
              </w:rPr>
            </w:pPr>
            <w:r w:rsidRPr="000270BA">
              <w:rPr>
                <w:rFonts w:eastAsia="Times New Roman" w:cstheme="minorHAnsi"/>
                <w:sz w:val="18"/>
                <w:szCs w:val="18"/>
                <w:lang w:val="en-US" w:eastAsia="fr-FR"/>
              </w:rPr>
              <w:t>Reduced, Reproductive Success (ID675)</w:t>
            </w:r>
          </w:p>
        </w:tc>
        <w:tc>
          <w:tcPr>
            <w:tcW w:w="851" w:type="dxa"/>
            <w:vMerge/>
            <w:tcBorders>
              <w:left w:val="nil"/>
              <w:right w:val="single" w:sz="8" w:space="0" w:color="auto"/>
            </w:tcBorders>
          </w:tcPr>
          <w:p w14:paraId="217C44DE"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912134" w14:paraId="67FFB6F3" w14:textId="77777777" w:rsidTr="007F1961">
        <w:trPr>
          <w:cantSplit/>
          <w:trHeight w:val="1134"/>
        </w:trPr>
        <w:tc>
          <w:tcPr>
            <w:tcW w:w="1408" w:type="dxa"/>
            <w:vMerge w:val="restart"/>
            <w:tcBorders>
              <w:top w:val="single" w:sz="4" w:space="0" w:color="auto"/>
              <w:left w:val="single" w:sz="4" w:space="0" w:color="auto"/>
            </w:tcBorders>
            <w:shd w:val="clear" w:color="auto" w:fill="auto"/>
            <w:textDirection w:val="btLr"/>
            <w:vAlign w:val="center"/>
          </w:tcPr>
          <w:p w14:paraId="17BAFB5A"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Size:100 nm</w:t>
            </w:r>
          </w:p>
        </w:tc>
        <w:tc>
          <w:tcPr>
            <w:tcW w:w="1276" w:type="dxa"/>
            <w:vMerge w:val="restart"/>
            <w:tcBorders>
              <w:top w:val="single" w:sz="4" w:space="0" w:color="auto"/>
            </w:tcBorders>
            <w:shd w:val="clear" w:color="auto" w:fill="auto"/>
            <w:textDirection w:val="btLr"/>
            <w:vAlign w:val="center"/>
          </w:tcPr>
          <w:p w14:paraId="7B4973A0"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Wistar rats, intraperitoneal</w:t>
            </w:r>
          </w:p>
          <w:p w14:paraId="4BE5A95A"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val="restart"/>
            <w:tcBorders>
              <w:top w:val="single" w:sz="4" w:space="0" w:color="auto"/>
            </w:tcBorders>
            <w:shd w:val="clear" w:color="auto" w:fill="auto"/>
            <w:textDirection w:val="btLr"/>
            <w:vAlign w:val="center"/>
          </w:tcPr>
          <w:p w14:paraId="449EAEA6"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100 mg/kg bw, 8 weeks</w:t>
            </w:r>
          </w:p>
          <w:p w14:paraId="169EDEB0"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67D1CB3E" w14:textId="63C4F8B6"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Oxidative Status</w:t>
            </w:r>
          </w:p>
        </w:tc>
        <w:tc>
          <w:tcPr>
            <w:tcW w:w="1703" w:type="dxa"/>
            <w:tcBorders>
              <w:top w:val="single" w:sz="4" w:space="0" w:color="auto"/>
              <w:bottom w:val="single" w:sz="4" w:space="0" w:color="auto"/>
            </w:tcBorders>
            <w:shd w:val="clear" w:color="auto" w:fill="auto"/>
            <w:vAlign w:val="center"/>
          </w:tcPr>
          <w:p w14:paraId="766F0A66"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GSH, TBARS, GST, SOD in testicular tissue</w:t>
            </w:r>
          </w:p>
        </w:tc>
        <w:tc>
          <w:tcPr>
            <w:tcW w:w="2010" w:type="dxa"/>
            <w:tcBorders>
              <w:top w:val="single" w:sz="4" w:space="0" w:color="auto"/>
              <w:bottom w:val="single" w:sz="4" w:space="0" w:color="auto"/>
            </w:tcBorders>
            <w:shd w:val="clear" w:color="auto" w:fill="auto"/>
            <w:vAlign w:val="center"/>
          </w:tcPr>
          <w:p w14:paraId="1CEED515"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Decreased SOD, GST level, increased TBARS</w:t>
            </w:r>
          </w:p>
        </w:tc>
        <w:tc>
          <w:tcPr>
            <w:tcW w:w="2273" w:type="dxa"/>
            <w:tcBorders>
              <w:top w:val="single" w:sz="4" w:space="0" w:color="auto"/>
              <w:bottom w:val="single" w:sz="4" w:space="0" w:color="auto"/>
            </w:tcBorders>
            <w:vAlign w:val="center"/>
          </w:tcPr>
          <w:p w14:paraId="11713B02"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3FF16DEE"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2C1311C3" w14:textId="16865841"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Oxidative Damage</w:t>
            </w:r>
          </w:p>
          <w:p w14:paraId="729D388F"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(ID356)</w:t>
            </w:r>
          </w:p>
        </w:tc>
        <w:tc>
          <w:tcPr>
            <w:tcW w:w="851" w:type="dxa"/>
            <w:vMerge w:val="restart"/>
            <w:tcBorders>
              <w:top w:val="single" w:sz="4" w:space="0" w:color="auto"/>
              <w:right w:val="single" w:sz="4" w:space="0" w:color="auto"/>
            </w:tcBorders>
            <w:shd w:val="clear" w:color="auto" w:fill="auto"/>
            <w:vAlign w:val="center"/>
          </w:tcPr>
          <w:p w14:paraId="148FB42C" w14:textId="4460F6EF"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{"citationItems":[{"id":"ITEM-1","itemData":{"DOI":"10.1002/tox.22931","ISSN":"15227278","PMID":"32293792","abstract":"Silver nanoparticles (AgNPs), one of the most well-known nanomaterials, are regularly utilized in everyday consumer products. The present study aimed to investigate the testicular toxicity and oxidative stress by AgNPs and the therapeutic role of the rocket seeds (Eruca sativa) in treatments. Forty male Wistar rats were divided into four equivalent groups (group 1, control; group 2, rocket seeds extract [RS]; group 3, AgNPs; group 4, AgNPs+RS). Our results showed that AgNPs induced a significant decrease in serum total testosterone, FSH (follicle-animating hormone), prolactin and LH (luteinizing hormone), testicular glutathione (GSH), superoxide dismutase (SOD), and glutathione S-transferase (GST). I</w:instrText>
            </w:r>
            <w:r w:rsidR="007F3FC3">
              <w:rPr>
                <w:rFonts w:ascii="Calibri" w:eastAsia="Times New Roman" w:hAnsi="Calibri" w:cstheme="minorHAnsi"/>
                <w:color w:val="000000"/>
                <w:sz w:val="18"/>
                <w:szCs w:val="18"/>
                <w:lang w:eastAsia="fr-FR"/>
              </w:rPr>
              <w:instrText>n contrast, a significant increase in testicular DNA, injury, testicular thiobarbituric acid, proliferating cell nuclear antigen, and tumor necrosis factor-α (TNFα) expressions after treatments with AgNPs when contrasted with the control group. Treatments of AgNPs with rocket seeds extract (AgNPs+RS) improved testicular functions and structure. Rocket seeds extract might offer benefits against the toxic nature of AgNPs.","author":[{"dropping-particle":"","family":"Altwaijry","given":"Najla","non-dropping-particle":"","parse-names":false,"suffix":""},{"dropping-particle":"","family":"El-Masry","given":"Thanaa A.","non-dropping-particle":"","parse-names":false,"suffix":""},{"dropping-particle":"","family":"Alotaibi","given":"Badriyah","non-dropping-particle":"","parse-names":false,"suffix":""},{"dropping-particle":"","family":"Tousson","given":"Ehab","non-dropping-particle":"","parse-names":false,"suffix":""},{"dropping-particle":"","family":"Saleh","given":"Asmaa","non-dropping-particle":"","parse-names":false,"suffix":""}],"container-title":"Environmental Toxicology","id":"ITEM-1","issue":"9","issued":{"date-parts":[["2020"]]},"page":"952-960","title":"Therapeutic effects of rocket seeds (Eruca sativa L.) against testicular toxicity and oxidative stress caused by silver nanoparticles injection in rats","type":"article-journal","volume":"35"},"uris":["http://www.mendeley.com/documents/?uuid=961e438a-71fe-4705-91fc-54c09c15fd4b"]}],"mendeley":{"formattedCitation":"(11)","plainTextFormattedCitation":"(11)","previouslyFormattedCitation":"(Altwaijry et al. 2020)"},"properties":{"noteIndex":0},"schema":"https://github.com/citation-style-language/schema/raw/master/csl-citation.json"}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(11)</w:t>
            </w:r>
            <w:r w:rsidRPr="00912134">
              <w:rPr>
                <w:rFonts w:ascii="Calibri" w:eastAsia="Times New Roman" w:hAnsi="Calibri" w:cstheme="minorHAnsi"/>
                <w:color w:val="000000"/>
                <w:sz w:val="18"/>
                <w:szCs w:val="18"/>
                <w:lang w:eastAsia="fr-FR"/>
              </w:rPr>
              <w:fldChar w:fldCharType="end"/>
            </w:r>
          </w:p>
        </w:tc>
      </w:tr>
      <w:tr w:rsidR="00EB16FD" w:rsidRPr="00DC5D76" w14:paraId="51165522" w14:textId="77777777" w:rsidTr="007F1961">
        <w:trPr>
          <w:trHeight w:val="195"/>
        </w:trPr>
        <w:tc>
          <w:tcPr>
            <w:tcW w:w="1408" w:type="dxa"/>
            <w:vMerge/>
            <w:tcBorders>
              <w:left w:val="single" w:sz="4" w:space="0" w:color="auto"/>
            </w:tcBorders>
            <w:shd w:val="clear" w:color="auto" w:fill="auto"/>
            <w:textDirection w:val="btLr"/>
            <w:vAlign w:val="bottom"/>
          </w:tcPr>
          <w:p w14:paraId="581A869B" w14:textId="77777777" w:rsidR="00EB16FD" w:rsidRPr="00912134" w:rsidRDefault="00EB16FD" w:rsidP="00EB16FD">
            <w:pPr>
              <w:ind w:left="113" w:right="113"/>
              <w:jc w:val="center"/>
              <w:rPr>
                <w:rFonts w:ascii="Calibri" w:hAnsi="Calibri" w:cstheme="minorHAnsi"/>
                <w:color w:val="000000"/>
                <w:sz w:val="18"/>
                <w:szCs w:val="18"/>
              </w:rPr>
            </w:pPr>
          </w:p>
        </w:tc>
        <w:tc>
          <w:tcPr>
            <w:tcW w:w="1276" w:type="dxa"/>
            <w:vMerge/>
            <w:shd w:val="clear" w:color="auto" w:fill="auto"/>
            <w:textDirection w:val="btLr"/>
            <w:vAlign w:val="bottom"/>
          </w:tcPr>
          <w:p w14:paraId="0CAACB98" w14:textId="77777777" w:rsidR="00EB16FD" w:rsidRPr="00912134" w:rsidRDefault="00EB16FD" w:rsidP="00EB16FD">
            <w:pPr>
              <w:ind w:left="113" w:right="113"/>
              <w:jc w:val="center"/>
              <w:rPr>
                <w:rFonts w:ascii="Calibri" w:hAnsi="Calibri" w:cstheme="minorHAnsi"/>
                <w:sz w:val="18"/>
                <w:szCs w:val="18"/>
              </w:rPr>
            </w:pPr>
          </w:p>
        </w:tc>
        <w:tc>
          <w:tcPr>
            <w:tcW w:w="1275" w:type="dxa"/>
            <w:vMerge/>
            <w:shd w:val="clear" w:color="auto" w:fill="auto"/>
            <w:textDirection w:val="btLr"/>
            <w:vAlign w:val="bottom"/>
          </w:tcPr>
          <w:p w14:paraId="0F512D2F" w14:textId="77777777" w:rsidR="00EB16FD" w:rsidRPr="00912134" w:rsidRDefault="00EB16FD" w:rsidP="00EB16FD">
            <w:pPr>
              <w:ind w:left="113" w:right="113"/>
              <w:jc w:val="center"/>
              <w:rPr>
                <w:rFonts w:ascii="Calibri" w:hAnsi="Calibri" w:cstheme="minorHAnsi"/>
                <w:sz w:val="18"/>
                <w:szCs w:val="18"/>
              </w:rPr>
            </w:pPr>
          </w:p>
        </w:tc>
        <w:tc>
          <w:tcPr>
            <w:tcW w:w="1668" w:type="dxa"/>
            <w:tcBorders>
              <w:top w:val="single" w:sz="4" w:space="0" w:color="auto"/>
              <w:bottom w:val="single" w:sz="4" w:space="0" w:color="auto"/>
            </w:tcBorders>
            <w:shd w:val="clear" w:color="auto" w:fill="auto"/>
            <w:vAlign w:val="center"/>
          </w:tcPr>
          <w:p w14:paraId="383F28EF"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Hormonal Assessment</w:t>
            </w:r>
          </w:p>
        </w:tc>
        <w:tc>
          <w:tcPr>
            <w:tcW w:w="1703" w:type="dxa"/>
            <w:tcBorders>
              <w:top w:val="single" w:sz="4" w:space="0" w:color="auto"/>
              <w:bottom w:val="single" w:sz="4" w:space="0" w:color="auto"/>
            </w:tcBorders>
            <w:shd w:val="clear" w:color="auto" w:fill="auto"/>
            <w:vAlign w:val="center"/>
          </w:tcPr>
          <w:p w14:paraId="6A122FE3"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Serum testosterone, LH and FSH</w:t>
            </w:r>
          </w:p>
        </w:tc>
        <w:tc>
          <w:tcPr>
            <w:tcW w:w="2010" w:type="dxa"/>
            <w:tcBorders>
              <w:top w:val="single" w:sz="4" w:space="0" w:color="auto"/>
              <w:bottom w:val="single" w:sz="4" w:space="0" w:color="auto"/>
            </w:tcBorders>
            <w:shd w:val="clear" w:color="auto" w:fill="auto"/>
            <w:vAlign w:val="center"/>
          </w:tcPr>
          <w:p w14:paraId="56C41A37"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Decreased testosteron, LH and FSH levels</w:t>
            </w:r>
          </w:p>
        </w:tc>
        <w:tc>
          <w:tcPr>
            <w:tcW w:w="2273" w:type="dxa"/>
            <w:tcBorders>
              <w:top w:val="single" w:sz="4" w:space="0" w:color="auto"/>
              <w:bottom w:val="single" w:sz="4" w:space="0" w:color="auto"/>
            </w:tcBorders>
            <w:vAlign w:val="center"/>
          </w:tcPr>
          <w:p w14:paraId="3C2E8865" w14:textId="77777777" w:rsidR="00EB16FD" w:rsidRPr="000270BA" w:rsidRDefault="00EB16FD" w:rsidP="007F1961">
            <w:pPr>
              <w:jc w:val="center"/>
              <w:rPr>
                <w:sz w:val="18"/>
                <w:szCs w:val="18"/>
                <w:lang w:val="en-US"/>
              </w:rPr>
            </w:pPr>
            <w:r w:rsidRPr="000270BA">
              <w:rPr>
                <w:sz w:val="18"/>
                <w:szCs w:val="18"/>
                <w:lang w:val="en-US"/>
              </w:rPr>
              <w:t>Reduction, testosterone level (ID1613, ID1689, ID1612)</w:t>
            </w:r>
          </w:p>
          <w:p w14:paraId="6033716B" w14:textId="77777777" w:rsidR="00EB16FD" w:rsidRPr="000270BA" w:rsidRDefault="00EB16FD" w:rsidP="007F1961">
            <w:pPr>
              <w:jc w:val="center"/>
              <w:rPr>
                <w:bCs/>
                <w:sz w:val="18"/>
                <w:szCs w:val="18"/>
                <w:lang w:val="en-US"/>
              </w:rPr>
            </w:pPr>
            <w:r w:rsidRPr="000270BA">
              <w:rPr>
                <w:bCs/>
                <w:sz w:val="18"/>
                <w:szCs w:val="18"/>
                <w:lang w:val="en-US"/>
              </w:rPr>
              <w:lastRenderedPageBreak/>
              <w:t>Reduced, Gonadotropins (ID1986)</w:t>
            </w:r>
          </w:p>
        </w:tc>
        <w:tc>
          <w:tcPr>
            <w:tcW w:w="2386" w:type="dxa"/>
            <w:tcBorders>
              <w:top w:val="single" w:sz="4" w:space="0" w:color="auto"/>
              <w:bottom w:val="single" w:sz="4" w:space="0" w:color="auto"/>
            </w:tcBorders>
            <w:shd w:val="clear" w:color="auto" w:fill="auto"/>
            <w:vAlign w:val="center"/>
          </w:tcPr>
          <w:p w14:paraId="3092F0D6" w14:textId="4DDDA41D"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lastRenderedPageBreak/>
              <w:t>Decreased sperm quantity or quality in the adult, Decreased fertility</w:t>
            </w:r>
          </w:p>
        </w:tc>
        <w:tc>
          <w:tcPr>
            <w:tcW w:w="851" w:type="dxa"/>
            <w:vMerge/>
            <w:tcBorders>
              <w:right w:val="single" w:sz="4" w:space="0" w:color="auto"/>
            </w:tcBorders>
            <w:shd w:val="clear" w:color="auto" w:fill="auto"/>
          </w:tcPr>
          <w:p w14:paraId="102E08DA"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912134" w14:paraId="3BB1A5A5" w14:textId="77777777" w:rsidTr="007F1961">
        <w:trPr>
          <w:trHeight w:val="195"/>
        </w:trPr>
        <w:tc>
          <w:tcPr>
            <w:tcW w:w="1408" w:type="dxa"/>
            <w:vMerge/>
            <w:tcBorders>
              <w:left w:val="single" w:sz="4" w:space="0" w:color="auto"/>
            </w:tcBorders>
            <w:shd w:val="clear" w:color="auto" w:fill="auto"/>
            <w:textDirection w:val="btLr"/>
            <w:vAlign w:val="center"/>
          </w:tcPr>
          <w:p w14:paraId="60CCCD32"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2BE8DAD2"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shd w:val="clear" w:color="auto" w:fill="auto"/>
            <w:textDirection w:val="btLr"/>
            <w:vAlign w:val="center"/>
          </w:tcPr>
          <w:p w14:paraId="1F1F7419" w14:textId="77777777" w:rsidR="00EB16FD" w:rsidRPr="00AF6261" w:rsidRDefault="00EB16FD" w:rsidP="00EB16FD">
            <w:pPr>
              <w:ind w:left="113" w:right="113"/>
              <w:jc w:val="center"/>
              <w:rPr>
                <w:rFonts w:ascii="Calibri" w:hAnsi="Calibri" w:cstheme="minorHAnsi"/>
                <w:sz w:val="18"/>
                <w:szCs w:val="18"/>
                <w:lang w:val="en-US"/>
              </w:rPr>
            </w:pPr>
          </w:p>
        </w:tc>
        <w:tc>
          <w:tcPr>
            <w:tcW w:w="1668" w:type="dxa"/>
            <w:tcBorders>
              <w:top w:val="single" w:sz="4" w:space="0" w:color="auto"/>
              <w:bottom w:val="single" w:sz="4" w:space="0" w:color="auto"/>
            </w:tcBorders>
            <w:shd w:val="clear" w:color="auto" w:fill="auto"/>
            <w:vAlign w:val="center"/>
          </w:tcPr>
          <w:p w14:paraId="14B59357" w14:textId="77777777" w:rsidR="00EB16FD" w:rsidRPr="00912134" w:rsidRDefault="00EB16FD" w:rsidP="007F1961">
            <w:pPr>
              <w:jc w:val="center"/>
              <w:rPr>
                <w:rFonts w:ascii="Calibri" w:hAnsi="Calibri" w:cstheme="minorHAnsi"/>
                <w:color w:val="000000"/>
                <w:sz w:val="18"/>
                <w:szCs w:val="18"/>
              </w:rPr>
            </w:pPr>
            <w:r w:rsidRPr="00D951EC">
              <w:rPr>
                <w:rFonts w:ascii="Calibri" w:hAnsi="Calibri" w:cstheme="minorHAnsi"/>
                <w:color w:val="000000"/>
                <w:sz w:val="18"/>
                <w:szCs w:val="18"/>
              </w:rPr>
              <w:t>DNA damage</w:t>
            </w:r>
          </w:p>
        </w:tc>
        <w:tc>
          <w:tcPr>
            <w:tcW w:w="1703" w:type="dxa"/>
            <w:tcBorders>
              <w:top w:val="single" w:sz="4" w:space="0" w:color="auto"/>
              <w:bottom w:val="single" w:sz="4" w:space="0" w:color="auto"/>
            </w:tcBorders>
            <w:shd w:val="clear" w:color="auto" w:fill="auto"/>
            <w:vAlign w:val="center"/>
          </w:tcPr>
          <w:p w14:paraId="14E2232F"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DNA fragmentation</w:t>
            </w:r>
            <w:r>
              <w:rPr>
                <w:rFonts w:ascii="Calibri" w:hAnsi="Calibri" w:cstheme="minorHAnsi"/>
                <w:color w:val="000000"/>
                <w:sz w:val="18"/>
                <w:szCs w:val="18"/>
              </w:rPr>
              <w:t xml:space="preserve"> in testicular tissue</w:t>
            </w:r>
          </w:p>
        </w:tc>
        <w:tc>
          <w:tcPr>
            <w:tcW w:w="2010" w:type="dxa"/>
            <w:tcBorders>
              <w:top w:val="single" w:sz="4" w:space="0" w:color="auto"/>
              <w:bottom w:val="single" w:sz="4" w:space="0" w:color="auto"/>
            </w:tcBorders>
            <w:shd w:val="clear" w:color="auto" w:fill="auto"/>
            <w:vAlign w:val="center"/>
          </w:tcPr>
          <w:p w14:paraId="426C8CDA"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Increase in testicular DNA fragmentation</w:t>
            </w:r>
          </w:p>
        </w:tc>
        <w:tc>
          <w:tcPr>
            <w:tcW w:w="2273" w:type="dxa"/>
            <w:tcBorders>
              <w:top w:val="single" w:sz="4" w:space="0" w:color="auto"/>
              <w:bottom w:val="single" w:sz="4" w:space="0" w:color="auto"/>
            </w:tcBorders>
            <w:vAlign w:val="center"/>
          </w:tcPr>
          <w:p w14:paraId="59646BAC"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Increased DNA damage (ID1194)</w:t>
            </w:r>
          </w:p>
        </w:tc>
        <w:tc>
          <w:tcPr>
            <w:tcW w:w="2386" w:type="dxa"/>
            <w:tcBorders>
              <w:top w:val="single" w:sz="4" w:space="0" w:color="auto"/>
              <w:bottom w:val="single" w:sz="4" w:space="0" w:color="auto"/>
            </w:tcBorders>
            <w:shd w:val="clear" w:color="auto" w:fill="auto"/>
            <w:vAlign w:val="center"/>
          </w:tcPr>
          <w:p w14:paraId="7C839593"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DNA Damage (ID1194)</w:t>
            </w:r>
          </w:p>
        </w:tc>
        <w:tc>
          <w:tcPr>
            <w:tcW w:w="851" w:type="dxa"/>
            <w:vMerge/>
            <w:tcBorders>
              <w:right w:val="single" w:sz="4" w:space="0" w:color="auto"/>
            </w:tcBorders>
            <w:shd w:val="clear" w:color="auto" w:fill="auto"/>
          </w:tcPr>
          <w:p w14:paraId="5F0E1E6A"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DC5D76" w14:paraId="46273A0E" w14:textId="77777777" w:rsidTr="007F1961">
        <w:trPr>
          <w:cantSplit/>
          <w:trHeight w:val="1932"/>
        </w:trPr>
        <w:tc>
          <w:tcPr>
            <w:tcW w:w="1408" w:type="dxa"/>
            <w:vMerge/>
            <w:tcBorders>
              <w:left w:val="single" w:sz="4" w:space="0" w:color="auto"/>
              <w:bottom w:val="single" w:sz="4" w:space="0" w:color="auto"/>
            </w:tcBorders>
            <w:shd w:val="clear" w:color="auto" w:fill="auto"/>
            <w:textDirection w:val="btLr"/>
            <w:vAlign w:val="center"/>
          </w:tcPr>
          <w:p w14:paraId="292C7C51" w14:textId="77777777" w:rsidR="00EB16FD" w:rsidRPr="00912134" w:rsidRDefault="00EB16FD" w:rsidP="00EB16FD">
            <w:pPr>
              <w:ind w:left="113" w:right="113"/>
              <w:jc w:val="center"/>
              <w:rPr>
                <w:rFonts w:ascii="Calibri" w:hAnsi="Calibri" w:cstheme="minorHAnsi"/>
                <w:color w:val="000000"/>
                <w:sz w:val="18"/>
                <w:szCs w:val="18"/>
              </w:rPr>
            </w:pPr>
          </w:p>
        </w:tc>
        <w:tc>
          <w:tcPr>
            <w:tcW w:w="1276" w:type="dxa"/>
            <w:vMerge/>
            <w:tcBorders>
              <w:bottom w:val="single" w:sz="4" w:space="0" w:color="auto"/>
            </w:tcBorders>
            <w:shd w:val="clear" w:color="auto" w:fill="auto"/>
            <w:textDirection w:val="btLr"/>
            <w:vAlign w:val="center"/>
          </w:tcPr>
          <w:p w14:paraId="2AA9ECF2" w14:textId="77777777" w:rsidR="00EB16FD" w:rsidRPr="00912134" w:rsidRDefault="00EB16FD" w:rsidP="00EB16FD">
            <w:pPr>
              <w:ind w:left="113" w:right="113"/>
              <w:jc w:val="center"/>
              <w:rPr>
                <w:rFonts w:ascii="Calibri" w:hAnsi="Calibri" w:cstheme="minorHAnsi"/>
                <w:color w:val="000000"/>
                <w:sz w:val="18"/>
                <w:szCs w:val="18"/>
              </w:rPr>
            </w:pPr>
          </w:p>
        </w:tc>
        <w:tc>
          <w:tcPr>
            <w:tcW w:w="1275" w:type="dxa"/>
            <w:vMerge/>
            <w:tcBorders>
              <w:bottom w:val="single" w:sz="4" w:space="0" w:color="auto"/>
            </w:tcBorders>
            <w:shd w:val="clear" w:color="auto" w:fill="auto"/>
            <w:textDirection w:val="btLr"/>
            <w:vAlign w:val="center"/>
          </w:tcPr>
          <w:p w14:paraId="53F3B842" w14:textId="77777777" w:rsidR="00EB16FD" w:rsidRPr="00912134" w:rsidRDefault="00EB16FD" w:rsidP="00EB16FD">
            <w:pPr>
              <w:ind w:left="113" w:right="113"/>
              <w:jc w:val="center"/>
              <w:rPr>
                <w:rFonts w:ascii="Calibri" w:hAnsi="Calibri" w:cstheme="minorHAnsi"/>
                <w:sz w:val="18"/>
                <w:szCs w:val="18"/>
              </w:rPr>
            </w:pPr>
          </w:p>
        </w:tc>
        <w:tc>
          <w:tcPr>
            <w:tcW w:w="1668" w:type="dxa"/>
            <w:tcBorders>
              <w:top w:val="single" w:sz="4" w:space="0" w:color="auto"/>
              <w:bottom w:val="single" w:sz="4" w:space="0" w:color="auto"/>
            </w:tcBorders>
            <w:shd w:val="clear" w:color="auto" w:fill="auto"/>
            <w:vAlign w:val="center"/>
          </w:tcPr>
          <w:p w14:paraId="47F0AC98" w14:textId="4AEDC2C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Histopathological Examination</w:t>
            </w:r>
          </w:p>
        </w:tc>
        <w:tc>
          <w:tcPr>
            <w:tcW w:w="1703" w:type="dxa"/>
            <w:tcBorders>
              <w:top w:val="single" w:sz="4" w:space="0" w:color="auto"/>
              <w:bottom w:val="single" w:sz="4" w:space="0" w:color="auto"/>
            </w:tcBorders>
            <w:shd w:val="clear" w:color="auto" w:fill="auto"/>
            <w:vAlign w:val="center"/>
          </w:tcPr>
          <w:p w14:paraId="771A1D48"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Testis morphology, seminiferous tubule area, circumference,</w:t>
            </w:r>
            <w:r w:rsidRPr="00AF6261">
              <w:rPr>
                <w:rFonts w:ascii="Calibri" w:hAnsi="Calibri" w:cstheme="minorHAnsi"/>
                <w:color w:val="000000"/>
                <w:sz w:val="18"/>
                <w:szCs w:val="18"/>
                <w:lang w:val="en-US"/>
              </w:rPr>
              <w:br/>
              <w:t>and diameter</w:t>
            </w:r>
          </w:p>
        </w:tc>
        <w:tc>
          <w:tcPr>
            <w:tcW w:w="2010" w:type="dxa"/>
            <w:tcBorders>
              <w:top w:val="single" w:sz="4" w:space="0" w:color="auto"/>
              <w:bottom w:val="single" w:sz="4" w:space="0" w:color="auto"/>
            </w:tcBorders>
            <w:shd w:val="clear" w:color="auto" w:fill="auto"/>
            <w:vAlign w:val="center"/>
          </w:tcPr>
          <w:p w14:paraId="3FE239BC"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Disturbance in</w:t>
            </w:r>
            <w:r w:rsidRPr="00AF6261">
              <w:rPr>
                <w:rFonts w:ascii="Calibri" w:hAnsi="Calibri" w:cstheme="minorHAnsi"/>
                <w:color w:val="000000"/>
                <w:sz w:val="18"/>
                <w:szCs w:val="18"/>
                <w:lang w:val="en-US"/>
              </w:rPr>
              <w:br/>
              <w:t>the spermatogenic cells arrangements, atrophied seminiferous tubules</w:t>
            </w:r>
            <w:r w:rsidRPr="00AF6261">
              <w:rPr>
                <w:rFonts w:ascii="Calibri" w:hAnsi="Calibri" w:cstheme="minorHAnsi"/>
                <w:color w:val="000000"/>
                <w:sz w:val="18"/>
                <w:szCs w:val="18"/>
                <w:lang w:val="en-US"/>
              </w:rPr>
              <w:br/>
              <w:t>with degenerative Sertoli cell, marked decrease in the number of sperms, depletion in Leydig cells</w:t>
            </w:r>
          </w:p>
        </w:tc>
        <w:tc>
          <w:tcPr>
            <w:tcW w:w="2273" w:type="dxa"/>
            <w:tcBorders>
              <w:top w:val="single" w:sz="4" w:space="0" w:color="auto"/>
              <w:bottom w:val="single" w:sz="4" w:space="0" w:color="auto"/>
            </w:tcBorders>
            <w:vAlign w:val="center"/>
          </w:tcPr>
          <w:p w14:paraId="64CDAE65"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Testicular atrophy</w:t>
            </w:r>
          </w:p>
          <w:p w14:paraId="41A8555F"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bottom w:val="single" w:sz="4" w:space="0" w:color="auto"/>
            </w:tcBorders>
            <w:shd w:val="clear" w:color="auto" w:fill="auto"/>
            <w:vAlign w:val="center"/>
          </w:tcPr>
          <w:p w14:paraId="71E000F0"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3990F8D0"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tcBorders>
              <w:bottom w:val="single" w:sz="4" w:space="0" w:color="auto"/>
              <w:right w:val="single" w:sz="4" w:space="0" w:color="auto"/>
            </w:tcBorders>
            <w:shd w:val="clear" w:color="auto" w:fill="auto"/>
          </w:tcPr>
          <w:p w14:paraId="09A626B2"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55D53A05" w14:textId="77777777" w:rsidTr="007F1961">
        <w:trPr>
          <w:cantSplit/>
          <w:trHeight w:val="4058"/>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69EAF82F"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Size:30 nm  Shape:polygonal,round, and triangular</w:t>
            </w:r>
          </w:p>
        </w:tc>
        <w:tc>
          <w:tcPr>
            <w:tcW w:w="1276" w:type="dxa"/>
            <w:tcBorders>
              <w:top w:val="single" w:sz="4" w:space="0" w:color="auto"/>
              <w:bottom w:val="single" w:sz="4" w:space="0" w:color="auto"/>
            </w:tcBorders>
            <w:shd w:val="clear" w:color="auto" w:fill="auto"/>
            <w:textDirection w:val="btLr"/>
            <w:vAlign w:val="center"/>
          </w:tcPr>
          <w:p w14:paraId="76401FC0" w14:textId="77777777" w:rsidR="00EB16FD" w:rsidRPr="00F84F21" w:rsidRDefault="00EB16FD" w:rsidP="00EB16FD">
            <w:pPr>
              <w:ind w:left="113" w:right="113"/>
              <w:jc w:val="center"/>
              <w:rPr>
                <w:rFonts w:ascii="Calibri" w:hAnsi="Calibri" w:cstheme="minorHAnsi"/>
                <w:color w:val="000000"/>
                <w:sz w:val="18"/>
                <w:szCs w:val="18"/>
              </w:rPr>
            </w:pPr>
            <w:r w:rsidRPr="00F84F21">
              <w:rPr>
                <w:rFonts w:ascii="Calibri" w:hAnsi="Calibri" w:cstheme="minorHAnsi"/>
                <w:color w:val="000000"/>
                <w:sz w:val="18"/>
                <w:szCs w:val="18"/>
              </w:rPr>
              <w:t>Female Wistar rats</w:t>
            </w:r>
            <w:r>
              <w:rPr>
                <w:rFonts w:ascii="Calibri" w:hAnsi="Calibri" w:cstheme="minorHAnsi"/>
                <w:color w:val="000000"/>
                <w:sz w:val="18"/>
                <w:szCs w:val="18"/>
              </w:rPr>
              <w:t xml:space="preserve">, </w:t>
            </w:r>
            <w:r w:rsidRPr="00F84F21">
              <w:rPr>
                <w:rFonts w:ascii="Calibri" w:hAnsi="Calibri" w:cstheme="minorHAnsi"/>
                <w:color w:val="000000"/>
                <w:sz w:val="18"/>
                <w:szCs w:val="18"/>
              </w:rPr>
              <w:t>intraperitoneally</w:t>
            </w:r>
          </w:p>
        </w:tc>
        <w:tc>
          <w:tcPr>
            <w:tcW w:w="1275" w:type="dxa"/>
            <w:tcBorders>
              <w:top w:val="single" w:sz="4" w:space="0" w:color="auto"/>
              <w:bottom w:val="single" w:sz="4" w:space="0" w:color="auto"/>
            </w:tcBorders>
            <w:shd w:val="clear" w:color="auto" w:fill="auto"/>
            <w:textDirection w:val="btLr"/>
            <w:vAlign w:val="center"/>
          </w:tcPr>
          <w:p w14:paraId="150F128C" w14:textId="77777777" w:rsidR="00EB16FD" w:rsidRPr="00AF6261" w:rsidRDefault="00EB16FD" w:rsidP="00EB16FD">
            <w:pPr>
              <w:ind w:left="113" w:right="113"/>
              <w:jc w:val="center"/>
              <w:rPr>
                <w:rFonts w:ascii="Calibri" w:hAnsi="Calibri" w:cs="PqlhbjAdvTT3713a231"/>
                <w:color w:val="231F20"/>
                <w:sz w:val="18"/>
                <w:szCs w:val="18"/>
                <w:lang w:val="en-US"/>
              </w:rPr>
            </w:pPr>
            <w:r w:rsidRPr="00AF6261">
              <w:rPr>
                <w:rFonts w:ascii="Calibri" w:hAnsi="Calibri" w:cs="PqlhbjAdvTT3713a231"/>
                <w:color w:val="231F20"/>
                <w:sz w:val="18"/>
                <w:szCs w:val="18"/>
                <w:lang w:val="en-US"/>
              </w:rPr>
              <w:t>0.156 mg/mL 0.625 mg/mL</w:t>
            </w:r>
          </w:p>
          <w:p w14:paraId="7E4739D5" w14:textId="77777777" w:rsidR="00EB16FD" w:rsidRPr="00AF6261" w:rsidRDefault="00EB16FD" w:rsidP="00EB16FD">
            <w:pPr>
              <w:ind w:left="113" w:right="113"/>
              <w:jc w:val="center"/>
              <w:rPr>
                <w:rFonts w:ascii="Calibri" w:hAnsi="Calibri" w:cstheme="minorHAnsi"/>
                <w:sz w:val="18"/>
                <w:szCs w:val="18"/>
                <w:lang w:val="en-US"/>
              </w:rPr>
            </w:pPr>
            <w:r w:rsidRPr="00AF6261">
              <w:rPr>
                <w:rFonts w:ascii="Calibri" w:hAnsi="Calibri" w:cstheme="minorHAnsi"/>
                <w:sz w:val="18"/>
                <w:szCs w:val="18"/>
                <w:lang w:val="en-US"/>
              </w:rPr>
              <w:t>The administration for all the groups was performed once a day on two  continuous days in early and late gestations (E5, E6, E13, and E14)</w:t>
            </w:r>
          </w:p>
        </w:tc>
        <w:tc>
          <w:tcPr>
            <w:tcW w:w="1668" w:type="dxa"/>
            <w:tcBorders>
              <w:top w:val="single" w:sz="4" w:space="0" w:color="auto"/>
              <w:bottom w:val="single" w:sz="4" w:space="0" w:color="auto"/>
            </w:tcBorders>
            <w:shd w:val="clear" w:color="auto" w:fill="auto"/>
            <w:vAlign w:val="center"/>
          </w:tcPr>
          <w:p w14:paraId="0D828A55"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Histopathological Examination</w:t>
            </w:r>
          </w:p>
        </w:tc>
        <w:tc>
          <w:tcPr>
            <w:tcW w:w="1703" w:type="dxa"/>
            <w:tcBorders>
              <w:top w:val="single" w:sz="4" w:space="0" w:color="auto"/>
              <w:bottom w:val="single" w:sz="4" w:space="0" w:color="auto"/>
            </w:tcBorders>
            <w:shd w:val="clear" w:color="auto" w:fill="auto"/>
            <w:vAlign w:val="center"/>
          </w:tcPr>
          <w:p w14:paraId="64018C5C"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Testis morphology, seminiferous tubule area, circumference,</w:t>
            </w:r>
            <w:r w:rsidRPr="00AF6261">
              <w:rPr>
                <w:rFonts w:ascii="Calibri" w:hAnsi="Calibri" w:cstheme="minorHAnsi"/>
                <w:color w:val="000000"/>
                <w:sz w:val="18"/>
                <w:szCs w:val="18"/>
                <w:lang w:val="en-US"/>
              </w:rPr>
              <w:br/>
              <w:t>and diameter</w:t>
            </w:r>
          </w:p>
        </w:tc>
        <w:tc>
          <w:tcPr>
            <w:tcW w:w="2010" w:type="dxa"/>
            <w:tcBorders>
              <w:top w:val="single" w:sz="4" w:space="0" w:color="auto"/>
              <w:bottom w:val="single" w:sz="4" w:space="0" w:color="auto"/>
            </w:tcBorders>
            <w:shd w:val="clear" w:color="auto" w:fill="auto"/>
            <w:vAlign w:val="center"/>
          </w:tcPr>
          <w:p w14:paraId="2A728914"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Significant difference seminiferous tubules in the Leydig cells, mild inflammation and hyperemia in the testis</w:t>
            </w:r>
          </w:p>
        </w:tc>
        <w:tc>
          <w:tcPr>
            <w:tcW w:w="2273" w:type="dxa"/>
            <w:tcBorders>
              <w:top w:val="single" w:sz="4" w:space="0" w:color="auto"/>
              <w:bottom w:val="single" w:sz="4" w:space="0" w:color="auto"/>
            </w:tcBorders>
            <w:vAlign w:val="center"/>
          </w:tcPr>
          <w:p w14:paraId="07018E13"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Testicular atrophy</w:t>
            </w:r>
          </w:p>
          <w:p w14:paraId="61B41F28"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bottom w:val="single" w:sz="4" w:space="0" w:color="auto"/>
            </w:tcBorders>
            <w:shd w:val="clear" w:color="auto" w:fill="auto"/>
            <w:vAlign w:val="center"/>
          </w:tcPr>
          <w:p w14:paraId="561C1A78"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0F305EBD" w14:textId="4B28AF34"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tcBorders>
              <w:top w:val="single" w:sz="4" w:space="0" w:color="auto"/>
              <w:left w:val="nil"/>
              <w:bottom w:val="single" w:sz="4" w:space="0" w:color="auto"/>
              <w:right w:val="single" w:sz="4" w:space="0" w:color="auto"/>
            </w:tcBorders>
            <w:shd w:val="clear" w:color="auto" w:fill="auto"/>
            <w:vAlign w:val="center"/>
          </w:tcPr>
          <w:p w14:paraId="4DAF36C6" w14:textId="0D683E49"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{"citationItems":[{"id":"ITEM-1","itemData":{"DOI":"10.1007/s00210-019-01796-y","ISBN":"0021001901","ISSN":"14321912","PMID":"31900518","abstract":"This research for the first time presents the possibility of crossing the biologically produced SNPs through the placenta to different organs of rat offspring. SNPs were produced using Fusarium oxysporum. After adding 1 mmol final concentration of silver nitrate solution to the culture supernatant and 5 min heating, SNPs were produced, and their production was proved using visible spectrum, transmission electron microscope (TEM), and X-ray diffraction (XRD) analyses. SNPs were washed, and their concentration determined using inductively coupled plasma (ICP) instrument. SNPs were used for 3-(4,5-dimethylthiazol-2-yl)-2,5-diphenyltetrazolium bromide (MTT) assay, and after determination of their half maximal inhibitory concentration (IC50) dose, their toxic and nontoxic doses were determined and used for in vivo studies. A total of 24 female rats, after detection of their vaginal plugs, were divided into 3 groups each having 8 members. A control group was treated with normal saline. The other two groups were treated by toxic and nontoxic doses of SNPs, respectively. After delivery and breastfeeding, the pups were scarified, and their organs were collected and analyzed using histological examinations. Results showed that SNPs had a maximum absorbance peak around 450 nm, with polygonal and round shapes. XRD results confirmed the presence of SNPs. The concentration of the SNPs after washing was 19 ppm/mL based on the ICP results. MTT assay results showed that SNPs had a dose-dependent toxic effect. Histopathological examination results showed that SNPs could pass through the placenta; both their nontoxic and toxic doses induced somehow mild alternations in the liver, kidney, testis, and ovary and had no effects on the brains of the rat offspring. In conclusions, the use of the biologically produced SNPs should be limited during pregnancy and breastfeeding.","author":[{"dropping-particle":"","family":"Pourali","given":"Parastoo","non-dropping-part</w:instrText>
            </w:r>
            <w:r w:rsidR="007F3FC3" w:rsidRPr="00AF6261">
              <w:rPr>
                <w:rFonts w:ascii="Calibri" w:eastAsia="Times New Roman" w:hAnsi="Calibri" w:cstheme="minorHAnsi"/>
                <w:color w:val="000000"/>
                <w:sz w:val="18"/>
                <w:szCs w:val="18"/>
                <w:lang w:val="en-US" w:eastAsia="fr-FR"/>
              </w:rPr>
              <w:instrText>icle":"","parse-names":false,"suffix":""},{"dropping-particle":"","family":"Nouri","given":"Mahnaz","non-dropping-particle":"","parse-names":false,"suffix":""},{"dropping-particle":"","family":"Ameri","given":"Faezeh","non-dropping-particle":"","parse-names":false,"suffix":""},{"dropping-particle":"","family":"Heidari","given":"Tana","non-dropping-particle":"","parse-names":false,"suffix":""},{"dropping-particle":"","family":"Kheirkhahan","given":"Niloufar","non-dropping-particle":"","parse-names":false,"suffix":""},{"dropping-particle":"","family":"Arabzadeh","given":"Sepideh","non-dropping-particle":"","parse-names":false,"suffix":""},{"dropping-particle":"","family":"Yahyaei","given":"Behrooz","non-dropping-particle":"","parse-names":false,"suffix":""}],"container-title":"Naunyn-Schmiedeberg's Archives of Pharmacology","id":"ITEM-1","issue":"5","issued":{"date-parts":[["2020"]]},"page":"867-878","publisher":"Naunyn-Schmiedeberg's Archives of Pharmacology","title":"Histopathological study of the maternal exposure to the biologically produced silver nanoparticles on different organs of the offspring","type":"article-journal","volume":"393"},"uris":["http://www.mendeley.com/documents/?uuid=85d29d72-a580-4fe5-8101-449a216af5ad"]}],"mendeley":{"formattedCitation":"(12)","plainTextFormattedCitation":"(12)","previouslyFormattedCitation":"(Pourali et al. 2020)"},"properties":{"noteIndex":0},"schema":"https://github.com/citation-style-language/schema/raw/master/csl-citation.json"}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(12)</w:t>
            </w:r>
            <w:r w:rsidRPr="00912134">
              <w:rPr>
                <w:rFonts w:ascii="Calibri" w:eastAsia="Times New Roman" w:hAnsi="Calibri" w:cstheme="minorHAnsi"/>
                <w:color w:val="000000"/>
                <w:sz w:val="18"/>
                <w:szCs w:val="18"/>
                <w:lang w:eastAsia="fr-FR"/>
              </w:rPr>
              <w:fldChar w:fldCharType="end"/>
            </w:r>
          </w:p>
        </w:tc>
      </w:tr>
      <w:tr w:rsidR="00EB16FD" w:rsidRPr="00DC5D76" w14:paraId="00E9B0C2" w14:textId="77777777" w:rsidTr="007F1961">
        <w:trPr>
          <w:cantSplit/>
          <w:trHeight w:val="656"/>
        </w:trPr>
        <w:tc>
          <w:tcPr>
            <w:tcW w:w="1408" w:type="dxa"/>
            <w:vMerge w:val="restart"/>
            <w:tcBorders>
              <w:top w:val="single" w:sz="4" w:space="0" w:color="auto"/>
              <w:left w:val="single" w:sz="4" w:space="0" w:color="auto"/>
            </w:tcBorders>
            <w:shd w:val="clear" w:color="auto" w:fill="auto"/>
            <w:textDirection w:val="btLr"/>
            <w:vAlign w:val="center"/>
          </w:tcPr>
          <w:p w14:paraId="3D8F721B" w14:textId="5851669E" w:rsidR="00EB16FD" w:rsidRPr="00AF6261" w:rsidRDefault="00EB16FD" w:rsidP="00EB16FD">
            <w:pPr>
              <w:autoSpaceDE w:val="0"/>
              <w:autoSpaceDN w:val="0"/>
              <w:adjustRightInd w:val="0"/>
              <w:spacing w:after="0" w:line="240" w:lineRule="auto"/>
              <w:ind w:left="113" w:right="113"/>
              <w:jc w:val="center"/>
              <w:rPr>
                <w:rFonts w:cstheme="minorHAnsi"/>
                <w:color w:val="131413"/>
                <w:sz w:val="18"/>
                <w:szCs w:val="18"/>
                <w:lang w:val="en-US"/>
              </w:rPr>
            </w:pPr>
            <w:r w:rsidRPr="00AF6261">
              <w:rPr>
                <w:rFonts w:cstheme="minorHAnsi"/>
                <w:color w:val="131413"/>
                <w:sz w:val="18"/>
                <w:szCs w:val="18"/>
                <w:lang w:val="en-US"/>
              </w:rPr>
              <w:lastRenderedPageBreak/>
              <w:t>AgNPs were prepared using the bakers yeast</w:t>
            </w:r>
          </w:p>
          <w:p w14:paraId="43194F20" w14:textId="77777777" w:rsidR="00EB16FD" w:rsidRPr="00AF6261" w:rsidRDefault="00EB16FD" w:rsidP="00EB16FD">
            <w:pPr>
              <w:autoSpaceDE w:val="0"/>
              <w:autoSpaceDN w:val="0"/>
              <w:adjustRightInd w:val="0"/>
              <w:spacing w:after="0" w:line="240" w:lineRule="auto"/>
              <w:ind w:left="113" w:right="113"/>
              <w:jc w:val="center"/>
              <w:rPr>
                <w:rFonts w:cstheme="minorHAnsi"/>
                <w:color w:val="131413"/>
                <w:sz w:val="18"/>
                <w:szCs w:val="18"/>
                <w:lang w:val="en-US"/>
              </w:rPr>
            </w:pPr>
            <w:r w:rsidRPr="00AF6261">
              <w:rPr>
                <w:rFonts w:cstheme="minorHAnsi"/>
                <w:color w:val="131413"/>
                <w:sz w:val="18"/>
                <w:szCs w:val="18"/>
                <w:lang w:val="en-US"/>
              </w:rPr>
              <w:t>(</w:t>
            </w:r>
            <w:r w:rsidRPr="00AF6261">
              <w:rPr>
                <w:rFonts w:cstheme="minorHAnsi"/>
                <w:i/>
                <w:color w:val="131413"/>
                <w:sz w:val="18"/>
                <w:szCs w:val="18"/>
                <w:lang w:val="en-US"/>
              </w:rPr>
              <w:t>S. cerevisiae</w:t>
            </w:r>
            <w:r w:rsidRPr="00AF6261">
              <w:rPr>
                <w:rFonts w:cstheme="minorHAnsi"/>
                <w:color w:val="131413"/>
                <w:sz w:val="18"/>
                <w:szCs w:val="18"/>
                <w:lang w:val="en-US"/>
              </w:rPr>
              <w:t>)</w:t>
            </w:r>
          </w:p>
          <w:p w14:paraId="3CFD45E2" w14:textId="77777777" w:rsidR="00EB16FD" w:rsidRPr="00AF6261" w:rsidRDefault="00EB16FD" w:rsidP="00EB16FD">
            <w:pPr>
              <w:autoSpaceDE w:val="0"/>
              <w:autoSpaceDN w:val="0"/>
              <w:adjustRightInd w:val="0"/>
              <w:spacing w:after="0" w:line="240" w:lineRule="auto"/>
              <w:ind w:left="113" w:right="113"/>
              <w:jc w:val="center"/>
              <w:rPr>
                <w:rFonts w:cstheme="minorHAnsi"/>
                <w:color w:val="131413"/>
                <w:sz w:val="18"/>
                <w:szCs w:val="18"/>
                <w:lang w:val="en-US"/>
              </w:rPr>
            </w:pPr>
            <w:r w:rsidRPr="00AF6261">
              <w:rPr>
                <w:rFonts w:cstheme="minorHAnsi"/>
                <w:color w:val="131413"/>
                <w:sz w:val="18"/>
                <w:szCs w:val="18"/>
                <w:lang w:val="en-US"/>
              </w:rPr>
              <w:t>Size : 20.0 ±1.3 nm</w:t>
            </w:r>
          </w:p>
          <w:p w14:paraId="696474B5" w14:textId="2942C758" w:rsidR="00EB16FD" w:rsidRPr="00AF6261" w:rsidRDefault="00EB16FD" w:rsidP="00EB16FD">
            <w:pPr>
              <w:ind w:left="113" w:right="113"/>
              <w:jc w:val="center"/>
              <w:rPr>
                <w:rFonts w:ascii="Calibri" w:hAnsi="Calibri" w:cstheme="minorHAnsi"/>
                <w:color w:val="000000"/>
                <w:sz w:val="18"/>
                <w:szCs w:val="18"/>
                <w:lang w:val="en-US"/>
              </w:rPr>
            </w:pPr>
            <w:r w:rsidRPr="00AF6261">
              <w:rPr>
                <w:rFonts w:cstheme="minorHAnsi"/>
                <w:color w:val="131413"/>
                <w:sz w:val="18"/>
                <w:szCs w:val="18"/>
                <w:lang w:val="en-US"/>
              </w:rPr>
              <w:t>Shape : Spherical</w:t>
            </w:r>
          </w:p>
        </w:tc>
        <w:tc>
          <w:tcPr>
            <w:tcW w:w="1276" w:type="dxa"/>
            <w:vMerge w:val="restart"/>
            <w:tcBorders>
              <w:top w:val="single" w:sz="4" w:space="0" w:color="auto"/>
            </w:tcBorders>
            <w:shd w:val="clear" w:color="auto" w:fill="auto"/>
            <w:textDirection w:val="btLr"/>
            <w:vAlign w:val="center"/>
          </w:tcPr>
          <w:p w14:paraId="4DDE24A3" w14:textId="7341FACF" w:rsidR="00EB16FD" w:rsidRPr="00AF6261" w:rsidRDefault="00EB16FD" w:rsidP="00EB16FD">
            <w:pPr>
              <w:autoSpaceDE w:val="0"/>
              <w:autoSpaceDN w:val="0"/>
              <w:adjustRightInd w:val="0"/>
              <w:spacing w:after="0" w:line="240" w:lineRule="auto"/>
              <w:ind w:left="113" w:right="113"/>
              <w:jc w:val="center"/>
              <w:rPr>
                <w:rFonts w:ascii="Calibri" w:hAnsi="Calibri" w:cstheme="minorHAnsi"/>
                <w:color w:val="000000"/>
                <w:sz w:val="18"/>
                <w:szCs w:val="18"/>
                <w:lang w:val="en-US"/>
              </w:rPr>
            </w:pPr>
            <w:r w:rsidRPr="00AF6261">
              <w:rPr>
                <w:rFonts w:cstheme="minorHAnsi"/>
                <w:color w:val="131413"/>
                <w:sz w:val="18"/>
                <w:szCs w:val="18"/>
                <w:lang w:val="en-US"/>
              </w:rPr>
              <w:t>SDrats, oral route</w:t>
            </w:r>
          </w:p>
        </w:tc>
        <w:tc>
          <w:tcPr>
            <w:tcW w:w="1275" w:type="dxa"/>
            <w:vMerge w:val="restart"/>
            <w:tcBorders>
              <w:top w:val="single" w:sz="4" w:space="0" w:color="auto"/>
            </w:tcBorders>
            <w:shd w:val="clear" w:color="auto" w:fill="auto"/>
            <w:textDirection w:val="btLr"/>
            <w:vAlign w:val="center"/>
          </w:tcPr>
          <w:p w14:paraId="5E3055BC" w14:textId="07CC0508" w:rsidR="00EB16FD" w:rsidRPr="00AF6261" w:rsidRDefault="00EB16FD" w:rsidP="00EB16FD">
            <w:pPr>
              <w:ind w:left="113" w:right="113"/>
              <w:jc w:val="center"/>
              <w:rPr>
                <w:rFonts w:ascii="Calibri" w:hAnsi="Calibri" w:cs="PqlhbjAdvTT3713a231"/>
                <w:color w:val="231F20"/>
                <w:sz w:val="18"/>
                <w:szCs w:val="18"/>
                <w:lang w:val="en-US"/>
              </w:rPr>
            </w:pPr>
            <w:r w:rsidRPr="00AF6261">
              <w:rPr>
                <w:rFonts w:cstheme="minorHAnsi"/>
                <w:color w:val="131413"/>
                <w:sz w:val="18"/>
                <w:szCs w:val="18"/>
                <w:lang w:val="en-US"/>
              </w:rPr>
              <w:t>50 mg/kg/day daily for 8 weeks</w:t>
            </w:r>
          </w:p>
        </w:tc>
        <w:tc>
          <w:tcPr>
            <w:tcW w:w="1668" w:type="dxa"/>
            <w:tcBorders>
              <w:top w:val="single" w:sz="4" w:space="0" w:color="auto"/>
              <w:bottom w:val="single" w:sz="4" w:space="0" w:color="auto"/>
            </w:tcBorders>
            <w:shd w:val="clear" w:color="auto" w:fill="auto"/>
            <w:vAlign w:val="center"/>
          </w:tcPr>
          <w:p w14:paraId="7F55E2F0" w14:textId="49BE97F1" w:rsidR="00EB16FD" w:rsidRPr="00AF6261" w:rsidRDefault="00EB16FD" w:rsidP="007F1961">
            <w:pPr>
              <w:jc w:val="center"/>
              <w:rPr>
                <w:rFonts w:ascii="Calibri" w:hAnsi="Calibri" w:cstheme="minorHAnsi"/>
                <w:color w:val="000000"/>
                <w:sz w:val="18"/>
                <w:szCs w:val="18"/>
                <w:lang w:val="en-US"/>
              </w:rPr>
            </w:pPr>
            <w:r w:rsidRPr="00AF6261">
              <w:rPr>
                <w:rFonts w:eastAsia="Times New Roman" w:cstheme="minorHAnsi"/>
                <w:color w:val="000000"/>
                <w:sz w:val="18"/>
                <w:szCs w:val="18"/>
                <w:lang w:val="en-US" w:eastAsia="fr-FR"/>
              </w:rPr>
              <w:t>Sperm Evaluation</w:t>
            </w:r>
          </w:p>
        </w:tc>
        <w:tc>
          <w:tcPr>
            <w:tcW w:w="1703" w:type="dxa"/>
            <w:tcBorders>
              <w:top w:val="single" w:sz="4" w:space="0" w:color="auto"/>
              <w:bottom w:val="single" w:sz="4" w:space="0" w:color="auto"/>
            </w:tcBorders>
            <w:shd w:val="clear" w:color="auto" w:fill="auto"/>
            <w:vAlign w:val="center"/>
          </w:tcPr>
          <w:p w14:paraId="1CF002A2" w14:textId="2FD7DBFB" w:rsidR="00EB16FD" w:rsidRPr="00AF6261" w:rsidRDefault="00EB16FD" w:rsidP="007F1961">
            <w:pPr>
              <w:jc w:val="center"/>
              <w:rPr>
                <w:rFonts w:ascii="Calibri" w:hAnsi="Calibri" w:cstheme="minorHAnsi"/>
                <w:color w:val="000000"/>
                <w:sz w:val="18"/>
                <w:szCs w:val="18"/>
                <w:lang w:val="en-US"/>
              </w:rPr>
            </w:pPr>
            <w:r w:rsidRPr="00AF6261">
              <w:rPr>
                <w:rFonts w:cstheme="minorHAnsi"/>
                <w:color w:val="131413"/>
                <w:sz w:val="18"/>
                <w:szCs w:val="18"/>
                <w:lang w:val="en-US"/>
              </w:rPr>
              <w:t>Motility, viability, concentration, sperm abnormalities</w:t>
            </w:r>
          </w:p>
        </w:tc>
        <w:tc>
          <w:tcPr>
            <w:tcW w:w="2010" w:type="dxa"/>
            <w:tcBorders>
              <w:top w:val="single" w:sz="4" w:space="0" w:color="auto"/>
              <w:bottom w:val="single" w:sz="4" w:space="0" w:color="auto"/>
            </w:tcBorders>
            <w:shd w:val="clear" w:color="auto" w:fill="auto"/>
            <w:vAlign w:val="center"/>
          </w:tcPr>
          <w:p w14:paraId="3EA1B4A1" w14:textId="071F0773" w:rsidR="00EB16FD" w:rsidRPr="00AF6261" w:rsidRDefault="00EB16FD" w:rsidP="007F1961">
            <w:pPr>
              <w:jc w:val="center"/>
              <w:rPr>
                <w:rFonts w:ascii="Calibri" w:hAnsi="Calibri" w:cstheme="minorHAnsi"/>
                <w:color w:val="000000"/>
                <w:sz w:val="18"/>
                <w:szCs w:val="18"/>
                <w:lang w:val="en-US"/>
              </w:rPr>
            </w:pPr>
            <w:r w:rsidRPr="00AF6261">
              <w:rPr>
                <w:rFonts w:cstheme="minorHAnsi"/>
                <w:color w:val="131413"/>
                <w:sz w:val="18"/>
                <w:szCs w:val="18"/>
                <w:lang w:val="en-US"/>
              </w:rPr>
              <w:t>Reduction in sperm motility, epididymal sperm count live/dead ratio, and elevation in sperm abnormalities</w:t>
            </w:r>
          </w:p>
        </w:tc>
        <w:tc>
          <w:tcPr>
            <w:tcW w:w="2273" w:type="dxa"/>
            <w:tcBorders>
              <w:top w:val="single" w:sz="4" w:space="0" w:color="auto"/>
              <w:bottom w:val="single" w:sz="4" w:space="0" w:color="auto"/>
            </w:tcBorders>
            <w:vAlign w:val="center"/>
          </w:tcPr>
          <w:p w14:paraId="5C9B4BAB" w14:textId="4C6D8365" w:rsidR="00EB16FD" w:rsidRPr="00AF6261" w:rsidRDefault="00EB16FD" w:rsidP="007F1961">
            <w:pPr>
              <w:spacing w:after="0" w:line="240" w:lineRule="auto"/>
              <w:jc w:val="center"/>
              <w:rPr>
                <w:rFonts w:eastAsia="Times New Roman" w:cstheme="minorHAnsi"/>
                <w:sz w:val="18"/>
                <w:szCs w:val="18"/>
                <w:lang w:val="en-US" w:eastAsia="fr-FR"/>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20569182"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4CB2CE64" w14:textId="3418FD92" w:rsidR="00EB16FD" w:rsidRPr="000270BA"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val="restart"/>
            <w:tcBorders>
              <w:top w:val="single" w:sz="4" w:space="0" w:color="auto"/>
              <w:left w:val="nil"/>
              <w:right w:val="single" w:sz="4" w:space="0" w:color="auto"/>
            </w:tcBorders>
            <w:shd w:val="clear" w:color="auto" w:fill="auto"/>
            <w:vAlign w:val="center"/>
          </w:tcPr>
          <w:p w14:paraId="02A4A20E" w14:textId="58705E4C"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{"citationItems":[{"id":"ITEM-1","itemData":{"DOI":"10.1007/s11356-019-06066-1","ISSN":"16147499","PMID":"31376127","abstract":"Silver nanoparticles (AgNPs) have been widely produced for different industrial purposes. Recently, biogenic synthesis of AgNPs has emerged although the extent of effects from exposure, oral exposure in particular, to nanomaterials synthesized in such a manner remains elusive. The main objective of this study was to evaluate the effects of oral administration of a dose of 50 mg/Kg body weight AgNPs biosynthesized in baker’s yeast (Saccharomyces cerevisiae) over a period of eight weeks on the reproductive performance and the possibility of a protective effect through co-administration of morin. Forty-eight male Sprague-Dawley rats were used in four experimental groups (control, morin-treated group, AgNP-treated, and AgNP + morin co-treatment). AgNPs produced no significant alteration in daily food intake or body weight. Both the absolute and relative testicular weights were significantly</w:instrText>
            </w:r>
            <w:r w:rsidR="007F3FC3">
              <w:rPr>
                <w:rFonts w:ascii="Calibri" w:eastAsia="Times New Roman" w:hAnsi="Calibri" w:cstheme="minorHAnsi"/>
                <w:color w:val="000000"/>
                <w:sz w:val="18"/>
                <w:szCs w:val="18"/>
                <w:lang w:eastAsia="fr-FR"/>
              </w:rPr>
              <w:instrText xml:space="preserve"> reduced but not the epididymal weight. Also, serum levels of urea, creatinine, uric acid, and liver enzymes were significantly elevated. Furthermore, AgNPs significantly downregulated the hypothalamic–pituitary–gonadal axis. This corresponds to lower motility and viability percent, reduced sperm concentration, and a higher abnormality ratio as well as a prominent alteration in the blood–testis barrier (BTB) and testicular histology and induction of testicular apoptosis and oxidative stress. The supplementation of morin evidently restored most of the reproductive characters to its physiological range. We can conclude that exposure to the biologi</w:instrText>
            </w:r>
            <w:r w:rsidR="007F3FC3" w:rsidRPr="00AF6261">
              <w:rPr>
                <w:rFonts w:ascii="Calibri" w:eastAsia="Times New Roman" w:hAnsi="Calibri" w:cstheme="minorHAnsi"/>
                <w:color w:val="000000"/>
                <w:sz w:val="18"/>
                <w:szCs w:val="18"/>
                <w:lang w:val="en-US" w:eastAsia="fr-FR"/>
              </w:rPr>
              <w:instrText>cally synthesized AgNPs for an extended period of time has proven to be a health risk that can be ameliorated via oral administration of some bioactive agents including morin.","author":[{"dropping-particle":"","family":"Arisha","given":"Ahmed Hamed","non-dropping-particle":"","parse-names":false,"suffix":""},{"dropping-particle":"","family":"Ahmed","given":"Mona M.","non-dropping-particle":"","parse-names":false,"suffix":""},{"dropping-particle":"","family":"Kamel","given":"Mohamed A.","non-dropping-particle":"","parse-names":false,"suffix":""},{"dropping-particle":"","family":"Attia","given":"Yasser A.","non-dropping-particle":"","parse-names":false,"suffix":""},{"dropping-particle":"","family":"Hussein","given":"Mohamed M.A.","non-dropping-particle":"","parse-names":false,"suffix":""}],"container-title":"Environmental Science and Pollution Research","id":"ITEM-1","issue":"28","issued":{"date-parts":[["2019"]]},"page":"28749-28762","title":"Morin ameliorates the testicular apoptosis, oxidative stress, and impact on blood–testis barrier induced by photo-extracellularly synthesized silver nanoparticles","type":"article-journal","volume":"26"},"uris":["http://www.mendeley.com/documents/?uuid=db53e4b1-6138-41c0-b54e-2ab296dc36f2"]}],"mendeley":{"formattedCitation":"(13)","plainTextFormattedCitation":"(13)","previouslyFormattedCitation":"(Arisha et al. 2019)"},"properties":{"noteIndex":0},"schema":"https://github.com/citation-style-language/schema/raw/master/csl-citation.json"}</w:instrText>
            </w:r>
            <w:r>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(13)</w:t>
            </w:r>
            <w:r>
              <w:rPr>
                <w:rFonts w:ascii="Calibri" w:eastAsia="Times New Roman" w:hAnsi="Calibri" w:cstheme="minorHAnsi"/>
                <w:color w:val="000000"/>
                <w:sz w:val="18"/>
                <w:szCs w:val="18"/>
                <w:lang w:eastAsia="fr-FR"/>
              </w:rPr>
              <w:fldChar w:fldCharType="end"/>
            </w:r>
          </w:p>
        </w:tc>
      </w:tr>
      <w:tr w:rsidR="00EB16FD" w:rsidRPr="00DC5D76" w14:paraId="3E5A1A55" w14:textId="77777777" w:rsidTr="007F1961">
        <w:trPr>
          <w:cantSplit/>
          <w:trHeight w:val="423"/>
        </w:trPr>
        <w:tc>
          <w:tcPr>
            <w:tcW w:w="1408" w:type="dxa"/>
            <w:vMerge/>
            <w:tcBorders>
              <w:left w:val="single" w:sz="4" w:space="0" w:color="auto"/>
            </w:tcBorders>
            <w:shd w:val="clear" w:color="auto" w:fill="auto"/>
            <w:textDirection w:val="btLr"/>
            <w:vAlign w:val="center"/>
          </w:tcPr>
          <w:p w14:paraId="5EB8DA2F" w14:textId="26E86C4C"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749716E9" w14:textId="69E393C5" w:rsidR="00EB16FD" w:rsidRPr="00AF6261" w:rsidRDefault="00EB16FD" w:rsidP="00EB16FD">
            <w:pPr>
              <w:autoSpaceDE w:val="0"/>
              <w:autoSpaceDN w:val="0"/>
              <w:adjustRightInd w:val="0"/>
              <w:spacing w:after="0" w:line="240" w:lineRule="auto"/>
              <w:ind w:left="113" w:right="113"/>
              <w:jc w:val="center"/>
              <w:rPr>
                <w:rFonts w:ascii="Calibri" w:hAnsi="Calibri" w:cstheme="minorHAnsi"/>
                <w:color w:val="000000"/>
                <w:sz w:val="18"/>
                <w:szCs w:val="18"/>
                <w:lang w:val="en-US"/>
              </w:rPr>
            </w:pPr>
          </w:p>
        </w:tc>
        <w:tc>
          <w:tcPr>
            <w:tcW w:w="1275" w:type="dxa"/>
            <w:vMerge/>
            <w:shd w:val="clear" w:color="auto" w:fill="auto"/>
            <w:textDirection w:val="btLr"/>
            <w:vAlign w:val="center"/>
          </w:tcPr>
          <w:p w14:paraId="6356E0AE" w14:textId="087E6B37" w:rsidR="00EB16FD" w:rsidRPr="00AF6261" w:rsidRDefault="00EB16FD" w:rsidP="00EB16FD">
            <w:pPr>
              <w:ind w:left="113" w:right="113"/>
              <w:jc w:val="center"/>
              <w:rPr>
                <w:rFonts w:ascii="Calibri" w:hAnsi="Calibri" w:cs="PqlhbjAdvTT3713a231"/>
                <w:color w:val="231F20"/>
                <w:sz w:val="18"/>
                <w:szCs w:val="18"/>
                <w:lang w:val="en-US"/>
              </w:rPr>
            </w:pPr>
          </w:p>
        </w:tc>
        <w:tc>
          <w:tcPr>
            <w:tcW w:w="1668" w:type="dxa"/>
            <w:tcBorders>
              <w:top w:val="single" w:sz="4" w:space="0" w:color="auto"/>
              <w:bottom w:val="single" w:sz="4" w:space="0" w:color="auto"/>
            </w:tcBorders>
            <w:shd w:val="clear" w:color="auto" w:fill="auto"/>
            <w:vAlign w:val="center"/>
          </w:tcPr>
          <w:p w14:paraId="16F64CC1" w14:textId="0FB3436B" w:rsidR="00EB16FD" w:rsidRPr="00AF6261" w:rsidRDefault="00EB16FD" w:rsidP="007F1961">
            <w:pPr>
              <w:jc w:val="center"/>
              <w:rPr>
                <w:rFonts w:ascii="Calibri" w:hAnsi="Calibri" w:cstheme="minorHAnsi"/>
                <w:color w:val="000000"/>
                <w:sz w:val="18"/>
                <w:szCs w:val="18"/>
                <w:lang w:val="en-US"/>
              </w:rPr>
            </w:pPr>
            <w:r w:rsidRPr="00AF6261">
              <w:rPr>
                <w:rFonts w:eastAsia="Times New Roman" w:cstheme="minorHAnsi"/>
                <w:color w:val="000000"/>
                <w:sz w:val="18"/>
                <w:szCs w:val="18"/>
                <w:lang w:val="en-US" w:eastAsia="fr-FR"/>
              </w:rPr>
              <w:t>Oxidative Status</w:t>
            </w:r>
          </w:p>
        </w:tc>
        <w:tc>
          <w:tcPr>
            <w:tcW w:w="1703" w:type="dxa"/>
            <w:tcBorders>
              <w:top w:val="single" w:sz="4" w:space="0" w:color="auto"/>
              <w:bottom w:val="single" w:sz="4" w:space="0" w:color="auto"/>
            </w:tcBorders>
            <w:shd w:val="clear" w:color="auto" w:fill="auto"/>
            <w:vAlign w:val="center"/>
          </w:tcPr>
          <w:p w14:paraId="6B2E2361" w14:textId="1E5628C2" w:rsidR="00EB16FD" w:rsidRPr="00AF6261" w:rsidRDefault="00EB16FD" w:rsidP="007F1961">
            <w:pPr>
              <w:spacing w:after="0" w:line="240" w:lineRule="auto"/>
              <w:jc w:val="center"/>
              <w:rPr>
                <w:rFonts w:eastAsia="Times New Roman" w:cstheme="minorHAnsi"/>
                <w:color w:val="000000"/>
                <w:sz w:val="18"/>
                <w:szCs w:val="18"/>
                <w:lang w:val="en-US" w:eastAsia="fr-FR"/>
              </w:rPr>
            </w:pPr>
            <w:r w:rsidRPr="00AF6261">
              <w:rPr>
                <w:rFonts w:eastAsia="Times New Roman" w:cstheme="minorHAnsi"/>
                <w:color w:val="000000"/>
                <w:sz w:val="18"/>
                <w:szCs w:val="18"/>
                <w:lang w:val="en-US" w:eastAsia="fr-FR"/>
              </w:rPr>
              <w:t>MDA,</w:t>
            </w:r>
          </w:p>
          <w:p w14:paraId="01EB3DEA" w14:textId="7912155B" w:rsidR="00EB16FD" w:rsidRPr="00AF6261" w:rsidRDefault="00EB16FD" w:rsidP="007F1961">
            <w:pPr>
              <w:jc w:val="center"/>
              <w:rPr>
                <w:rFonts w:ascii="Calibri" w:hAnsi="Calibri" w:cstheme="minorHAnsi"/>
                <w:color w:val="000000"/>
                <w:sz w:val="18"/>
                <w:szCs w:val="18"/>
                <w:lang w:val="en-US"/>
              </w:rPr>
            </w:pPr>
            <w:r w:rsidRPr="00AF6261">
              <w:rPr>
                <w:rFonts w:cstheme="minorHAnsi"/>
                <w:color w:val="131413"/>
                <w:sz w:val="18"/>
                <w:szCs w:val="18"/>
                <w:lang w:val="en-US"/>
              </w:rPr>
              <w:t>GPx, SOD, and CAT by commerical kits</w:t>
            </w:r>
          </w:p>
        </w:tc>
        <w:tc>
          <w:tcPr>
            <w:tcW w:w="2010" w:type="dxa"/>
            <w:tcBorders>
              <w:top w:val="single" w:sz="4" w:space="0" w:color="auto"/>
              <w:bottom w:val="single" w:sz="4" w:space="0" w:color="auto"/>
            </w:tcBorders>
            <w:shd w:val="clear" w:color="auto" w:fill="auto"/>
            <w:vAlign w:val="center"/>
          </w:tcPr>
          <w:p w14:paraId="38B2FD85" w14:textId="18788BF6" w:rsidR="00EB16FD" w:rsidRPr="00AF6261" w:rsidRDefault="00EB16FD" w:rsidP="007F1961">
            <w:pPr>
              <w:jc w:val="center"/>
              <w:rPr>
                <w:rFonts w:ascii="Calibri" w:hAnsi="Calibri" w:cstheme="minorHAnsi"/>
                <w:color w:val="000000"/>
                <w:sz w:val="18"/>
                <w:szCs w:val="18"/>
                <w:lang w:val="en-US"/>
              </w:rPr>
            </w:pPr>
            <w:r w:rsidRPr="00AF6261">
              <w:rPr>
                <w:rFonts w:cstheme="minorHAnsi"/>
                <w:sz w:val="18"/>
                <w:szCs w:val="18"/>
                <w:lang w:val="en-US"/>
              </w:rPr>
              <w:t xml:space="preserve">increased MDA level , decreased </w:t>
            </w:r>
            <w:r w:rsidRPr="00AF6261">
              <w:rPr>
                <w:rFonts w:cstheme="minorHAnsi"/>
                <w:color w:val="131413"/>
                <w:sz w:val="18"/>
                <w:szCs w:val="18"/>
                <w:lang w:val="en-US"/>
              </w:rPr>
              <w:t>GPx, SOD, and CAT activity</w:t>
            </w:r>
          </w:p>
        </w:tc>
        <w:tc>
          <w:tcPr>
            <w:tcW w:w="2273" w:type="dxa"/>
            <w:tcBorders>
              <w:top w:val="single" w:sz="4" w:space="0" w:color="auto"/>
              <w:bottom w:val="single" w:sz="4" w:space="0" w:color="auto"/>
            </w:tcBorders>
            <w:vAlign w:val="center"/>
          </w:tcPr>
          <w:p w14:paraId="4D572FBB"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45B4A40C" w14:textId="24CEF253" w:rsidR="00EB16FD" w:rsidRPr="00AF6261" w:rsidRDefault="00EB16FD" w:rsidP="007F1961">
            <w:pPr>
              <w:spacing w:after="0" w:line="240" w:lineRule="auto"/>
              <w:jc w:val="center"/>
              <w:rPr>
                <w:rFonts w:eastAsia="Times New Roman" w:cstheme="minorHAnsi"/>
                <w:sz w:val="18"/>
                <w:szCs w:val="18"/>
                <w:lang w:val="en-US" w:eastAsia="fr-FR"/>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32332861" w14:textId="6A66537F"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Oxidative Damage</w:t>
            </w:r>
          </w:p>
          <w:p w14:paraId="3E062AD7" w14:textId="6FA0DCFD" w:rsidR="00EB16FD" w:rsidRPr="000270BA"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(ID356)</w:t>
            </w:r>
          </w:p>
        </w:tc>
        <w:tc>
          <w:tcPr>
            <w:tcW w:w="851" w:type="dxa"/>
            <w:vMerge/>
            <w:tcBorders>
              <w:left w:val="nil"/>
              <w:right w:val="single" w:sz="4" w:space="0" w:color="auto"/>
            </w:tcBorders>
            <w:shd w:val="clear" w:color="auto" w:fill="auto"/>
            <w:vAlign w:val="center"/>
          </w:tcPr>
          <w:p w14:paraId="0DA642B7"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7996BB53" w14:textId="77777777" w:rsidTr="007F1961">
        <w:trPr>
          <w:cantSplit/>
          <w:trHeight w:val="415"/>
        </w:trPr>
        <w:tc>
          <w:tcPr>
            <w:tcW w:w="1408" w:type="dxa"/>
            <w:vMerge/>
            <w:tcBorders>
              <w:left w:val="single" w:sz="4" w:space="0" w:color="auto"/>
            </w:tcBorders>
            <w:shd w:val="clear" w:color="auto" w:fill="auto"/>
            <w:textDirection w:val="btLr"/>
            <w:vAlign w:val="center"/>
          </w:tcPr>
          <w:p w14:paraId="46B43C5B" w14:textId="795EFDAB"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0B7C4980" w14:textId="10190CE9" w:rsidR="00EB16FD" w:rsidRPr="00AF6261" w:rsidRDefault="00EB16FD" w:rsidP="00EB16FD">
            <w:pPr>
              <w:autoSpaceDE w:val="0"/>
              <w:autoSpaceDN w:val="0"/>
              <w:adjustRightInd w:val="0"/>
              <w:spacing w:after="0" w:line="240" w:lineRule="auto"/>
              <w:ind w:left="113" w:right="113"/>
              <w:jc w:val="center"/>
              <w:rPr>
                <w:rFonts w:cstheme="minorHAnsi"/>
                <w:sz w:val="18"/>
                <w:szCs w:val="18"/>
                <w:lang w:val="en-US"/>
              </w:rPr>
            </w:pPr>
          </w:p>
        </w:tc>
        <w:tc>
          <w:tcPr>
            <w:tcW w:w="1275" w:type="dxa"/>
            <w:vMerge/>
            <w:shd w:val="clear" w:color="auto" w:fill="auto"/>
            <w:textDirection w:val="btLr"/>
            <w:vAlign w:val="center"/>
          </w:tcPr>
          <w:p w14:paraId="3A1C7031" w14:textId="3D673F26" w:rsidR="00EB16FD" w:rsidRPr="00AF6261" w:rsidRDefault="00EB16FD" w:rsidP="00EB16FD">
            <w:pPr>
              <w:ind w:left="113" w:right="113"/>
              <w:jc w:val="center"/>
              <w:rPr>
                <w:rFonts w:cstheme="minorHAnsi"/>
                <w:color w:val="131413"/>
                <w:sz w:val="18"/>
                <w:szCs w:val="18"/>
                <w:lang w:val="en-US"/>
              </w:rPr>
            </w:pPr>
          </w:p>
        </w:tc>
        <w:tc>
          <w:tcPr>
            <w:tcW w:w="1668" w:type="dxa"/>
            <w:tcBorders>
              <w:top w:val="single" w:sz="4" w:space="0" w:color="auto"/>
              <w:bottom w:val="single" w:sz="4" w:space="0" w:color="auto"/>
            </w:tcBorders>
            <w:shd w:val="clear" w:color="auto" w:fill="auto"/>
            <w:vAlign w:val="center"/>
          </w:tcPr>
          <w:p w14:paraId="5A4837A4" w14:textId="77777777" w:rsidR="00EB16FD" w:rsidRPr="00AF6261" w:rsidRDefault="00EB16FD" w:rsidP="007F1961">
            <w:pPr>
              <w:spacing w:after="0" w:line="240" w:lineRule="auto"/>
              <w:jc w:val="center"/>
              <w:rPr>
                <w:rFonts w:eastAsia="Times New Roman" w:cstheme="minorHAnsi"/>
                <w:color w:val="000000"/>
                <w:sz w:val="18"/>
                <w:szCs w:val="18"/>
                <w:lang w:val="en-US" w:eastAsia="fr-FR"/>
              </w:rPr>
            </w:pPr>
            <w:r w:rsidRPr="00AF6261">
              <w:rPr>
                <w:rFonts w:eastAsia="Times New Roman" w:cstheme="minorHAnsi"/>
                <w:color w:val="000000"/>
                <w:sz w:val="18"/>
                <w:szCs w:val="18"/>
                <w:lang w:val="en-US" w:eastAsia="fr-FR"/>
              </w:rPr>
              <w:t>Hormonal Assessment</w:t>
            </w:r>
          </w:p>
          <w:p w14:paraId="7008E695" w14:textId="1F8B7D8D" w:rsidR="00EB16FD" w:rsidRPr="00AF6261" w:rsidRDefault="00EB16FD" w:rsidP="007F1961">
            <w:pPr>
              <w:jc w:val="center"/>
              <w:rPr>
                <w:rFonts w:ascii="Calibri" w:hAnsi="Calibri" w:cstheme="minorHAnsi"/>
                <w:color w:val="000000"/>
                <w:sz w:val="18"/>
                <w:szCs w:val="18"/>
                <w:lang w:val="en-US"/>
              </w:rPr>
            </w:pPr>
            <w:r w:rsidRPr="00AF6261">
              <w:rPr>
                <w:rFonts w:cstheme="minorHAnsi"/>
                <w:color w:val="131413"/>
                <w:sz w:val="18"/>
                <w:szCs w:val="18"/>
                <w:lang w:val="en-US"/>
              </w:rPr>
              <w:t>hypothalamic–pituitary–gonadal axis</w:t>
            </w:r>
          </w:p>
        </w:tc>
        <w:tc>
          <w:tcPr>
            <w:tcW w:w="1703" w:type="dxa"/>
            <w:tcBorders>
              <w:top w:val="single" w:sz="4" w:space="0" w:color="auto"/>
              <w:bottom w:val="single" w:sz="4" w:space="0" w:color="auto"/>
            </w:tcBorders>
            <w:shd w:val="clear" w:color="auto" w:fill="auto"/>
            <w:vAlign w:val="center"/>
          </w:tcPr>
          <w:p w14:paraId="7EC62D0D" w14:textId="102F8B5E" w:rsidR="00EB16FD" w:rsidRPr="00AF6261" w:rsidRDefault="00EB16FD" w:rsidP="007F1961">
            <w:pPr>
              <w:spacing w:after="0" w:line="240" w:lineRule="auto"/>
              <w:jc w:val="center"/>
              <w:rPr>
                <w:rFonts w:cstheme="minorHAnsi"/>
                <w:color w:val="131413"/>
                <w:sz w:val="18"/>
                <w:szCs w:val="18"/>
                <w:lang w:val="en-US"/>
              </w:rPr>
            </w:pPr>
            <w:r w:rsidRPr="00AF6261">
              <w:rPr>
                <w:rFonts w:cstheme="minorHAnsi"/>
                <w:color w:val="131413"/>
                <w:sz w:val="18"/>
                <w:szCs w:val="18"/>
                <w:lang w:val="en-US"/>
              </w:rPr>
              <w:t>Serum levels of FSH, LH and testosterone by ELISA methods and expression of hypothalamic GnRH1, testicular AR by RT-PCR</w:t>
            </w:r>
          </w:p>
          <w:p w14:paraId="2082D9B7" w14:textId="7B2405A3" w:rsidR="00EB16FD" w:rsidRPr="00AF6261" w:rsidRDefault="00EB16FD" w:rsidP="007F1961">
            <w:pPr>
              <w:jc w:val="center"/>
              <w:rPr>
                <w:rFonts w:ascii="Calibri" w:hAnsi="Calibri" w:cstheme="minorHAnsi"/>
                <w:color w:val="000000"/>
                <w:sz w:val="18"/>
                <w:szCs w:val="18"/>
                <w:lang w:val="en-US"/>
              </w:rPr>
            </w:pPr>
          </w:p>
        </w:tc>
        <w:tc>
          <w:tcPr>
            <w:tcW w:w="2010" w:type="dxa"/>
            <w:tcBorders>
              <w:top w:val="single" w:sz="4" w:space="0" w:color="auto"/>
              <w:bottom w:val="single" w:sz="4" w:space="0" w:color="auto"/>
            </w:tcBorders>
            <w:shd w:val="clear" w:color="auto" w:fill="auto"/>
            <w:vAlign w:val="center"/>
          </w:tcPr>
          <w:p w14:paraId="56E7176C" w14:textId="1034D943" w:rsidR="00EB16FD" w:rsidRPr="00AF6261" w:rsidRDefault="00EB16FD" w:rsidP="007F1961">
            <w:pPr>
              <w:jc w:val="center"/>
              <w:rPr>
                <w:rFonts w:ascii="Calibri" w:hAnsi="Calibri" w:cstheme="minorHAnsi"/>
                <w:color w:val="000000"/>
                <w:sz w:val="18"/>
                <w:szCs w:val="18"/>
                <w:lang w:val="en-US"/>
              </w:rPr>
            </w:pPr>
            <w:r w:rsidRPr="00AF6261">
              <w:rPr>
                <w:rFonts w:cstheme="minorHAnsi"/>
                <w:color w:val="131413"/>
                <w:sz w:val="18"/>
                <w:szCs w:val="18"/>
                <w:lang w:val="en-US"/>
              </w:rPr>
              <w:t>Reduced expression of GnRH1, AR, and serum levels of FSH, LH and testosterone and increased  hypothalamic AR suggesting downregulation of the HPG axis.</w:t>
            </w:r>
          </w:p>
        </w:tc>
        <w:tc>
          <w:tcPr>
            <w:tcW w:w="2273" w:type="dxa"/>
            <w:tcBorders>
              <w:top w:val="single" w:sz="4" w:space="0" w:color="auto"/>
              <w:bottom w:val="single" w:sz="4" w:space="0" w:color="auto"/>
            </w:tcBorders>
            <w:vAlign w:val="center"/>
          </w:tcPr>
          <w:p w14:paraId="144A5ED6" w14:textId="77777777" w:rsidR="00EB16FD" w:rsidRPr="000270BA" w:rsidRDefault="00EB16FD" w:rsidP="007F1961">
            <w:pPr>
              <w:jc w:val="center"/>
              <w:rPr>
                <w:sz w:val="18"/>
                <w:szCs w:val="18"/>
                <w:lang w:val="en-US"/>
              </w:rPr>
            </w:pPr>
            <w:r w:rsidRPr="000270BA">
              <w:rPr>
                <w:sz w:val="18"/>
                <w:szCs w:val="18"/>
                <w:lang w:val="en-US"/>
              </w:rPr>
              <w:t>Reduction, testosterone level (ID1613, ID1689, ID1612)</w:t>
            </w:r>
          </w:p>
          <w:p w14:paraId="7A7A712F" w14:textId="0424E41B" w:rsidR="00EB16FD" w:rsidRPr="00AF6261" w:rsidRDefault="00EB16FD" w:rsidP="007F1961">
            <w:pPr>
              <w:spacing w:after="0" w:line="240" w:lineRule="auto"/>
              <w:jc w:val="center"/>
              <w:rPr>
                <w:rFonts w:eastAsia="Times New Roman" w:cstheme="minorHAnsi"/>
                <w:sz w:val="18"/>
                <w:szCs w:val="18"/>
                <w:lang w:val="en-US" w:eastAsia="fr-FR"/>
              </w:rPr>
            </w:pPr>
            <w:r w:rsidRPr="000270BA">
              <w:rPr>
                <w:bCs/>
                <w:sz w:val="18"/>
                <w:szCs w:val="18"/>
                <w:lang w:val="en-US"/>
              </w:rPr>
              <w:t>Reduced, Gonadotropins (ID1986)</w:t>
            </w:r>
          </w:p>
        </w:tc>
        <w:tc>
          <w:tcPr>
            <w:tcW w:w="2386" w:type="dxa"/>
            <w:tcBorders>
              <w:top w:val="single" w:sz="4" w:space="0" w:color="auto"/>
              <w:bottom w:val="single" w:sz="4" w:space="0" w:color="auto"/>
            </w:tcBorders>
            <w:shd w:val="clear" w:color="auto" w:fill="auto"/>
            <w:vAlign w:val="center"/>
          </w:tcPr>
          <w:p w14:paraId="465507F1" w14:textId="729E11BD" w:rsidR="00EB16FD" w:rsidRPr="000270BA" w:rsidRDefault="00EB16FD" w:rsidP="007F1961">
            <w:pPr>
              <w:spacing w:after="0" w:line="240" w:lineRule="auto"/>
              <w:jc w:val="center"/>
              <w:rPr>
                <w:rFonts w:eastAsia="Times New Roman" w:cstheme="minorHAnsi"/>
                <w:sz w:val="18"/>
                <w:szCs w:val="18"/>
                <w:lang w:val="en-US" w:eastAsia="fr-FR"/>
              </w:rPr>
            </w:pPr>
            <w:r w:rsidRPr="000270BA">
              <w:rPr>
                <w:bCs/>
                <w:sz w:val="18"/>
                <w:szCs w:val="18"/>
                <w:lang w:val="en-US"/>
              </w:rPr>
              <w:t>Decreased sperm quantity or quality in the adult, Decreased fertility (ID505, ID520)</w:t>
            </w:r>
          </w:p>
        </w:tc>
        <w:tc>
          <w:tcPr>
            <w:tcW w:w="851" w:type="dxa"/>
            <w:vMerge/>
            <w:tcBorders>
              <w:left w:val="nil"/>
              <w:right w:val="single" w:sz="4" w:space="0" w:color="auto"/>
            </w:tcBorders>
            <w:shd w:val="clear" w:color="auto" w:fill="auto"/>
            <w:vAlign w:val="center"/>
          </w:tcPr>
          <w:p w14:paraId="471E89BC"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16C6F7BD" w14:textId="77777777" w:rsidTr="007F1961">
        <w:trPr>
          <w:cantSplit/>
          <w:trHeight w:val="408"/>
        </w:trPr>
        <w:tc>
          <w:tcPr>
            <w:tcW w:w="1408" w:type="dxa"/>
            <w:vMerge/>
            <w:tcBorders>
              <w:left w:val="single" w:sz="4" w:space="0" w:color="auto"/>
            </w:tcBorders>
            <w:shd w:val="clear" w:color="auto" w:fill="auto"/>
            <w:textDirection w:val="btLr"/>
            <w:vAlign w:val="center"/>
          </w:tcPr>
          <w:p w14:paraId="30E0790B"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2E906A1F"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shd w:val="clear" w:color="auto" w:fill="auto"/>
            <w:textDirection w:val="btLr"/>
            <w:vAlign w:val="center"/>
          </w:tcPr>
          <w:p w14:paraId="7543F9E8" w14:textId="77777777" w:rsidR="00EB16FD" w:rsidRPr="00AF6261" w:rsidRDefault="00EB16FD" w:rsidP="00EB16FD">
            <w:pPr>
              <w:ind w:left="113" w:right="113"/>
              <w:jc w:val="center"/>
              <w:rPr>
                <w:rFonts w:ascii="Calibri" w:hAnsi="Calibri" w:cs="PqlhbjAdvTT3713a231"/>
                <w:color w:val="231F20"/>
                <w:sz w:val="18"/>
                <w:szCs w:val="18"/>
                <w:lang w:val="en-US"/>
              </w:rPr>
            </w:pPr>
          </w:p>
        </w:tc>
        <w:tc>
          <w:tcPr>
            <w:tcW w:w="1668" w:type="dxa"/>
            <w:tcBorders>
              <w:top w:val="single" w:sz="4" w:space="0" w:color="auto"/>
              <w:bottom w:val="single" w:sz="4" w:space="0" w:color="auto"/>
            </w:tcBorders>
            <w:shd w:val="clear" w:color="auto" w:fill="auto"/>
            <w:vAlign w:val="center"/>
          </w:tcPr>
          <w:p w14:paraId="4BD72088" w14:textId="1DD87ED9" w:rsidR="00EB16FD" w:rsidRPr="00AF6261" w:rsidRDefault="00EB16FD" w:rsidP="007F1961">
            <w:pPr>
              <w:jc w:val="center"/>
              <w:rPr>
                <w:rFonts w:ascii="Calibri" w:hAnsi="Calibri" w:cstheme="minorHAnsi"/>
                <w:color w:val="000000"/>
                <w:sz w:val="18"/>
                <w:szCs w:val="18"/>
                <w:lang w:val="en-US"/>
              </w:rPr>
            </w:pPr>
            <w:r w:rsidRPr="00AF6261">
              <w:rPr>
                <w:rFonts w:cstheme="minorHAnsi"/>
                <w:color w:val="000000"/>
                <w:sz w:val="18"/>
                <w:szCs w:val="18"/>
                <w:lang w:val="en-US"/>
              </w:rPr>
              <w:t xml:space="preserve">Determination of tissue Ag and </w:t>
            </w:r>
            <w:r w:rsidRPr="00AF6261">
              <w:rPr>
                <w:rFonts w:cstheme="minorHAnsi"/>
                <w:color w:val="131413"/>
                <w:sz w:val="18"/>
                <w:szCs w:val="18"/>
                <w:lang w:val="en-US"/>
              </w:rPr>
              <w:t>Blood</w:t>
            </w:r>
            <w:r w:rsidRPr="00AF6261">
              <w:rPr>
                <w:rFonts w:eastAsia="RfgtfmLxjkhmAdvTT3713a231+20" w:cstheme="minorHAnsi"/>
                <w:color w:val="131413"/>
                <w:sz w:val="18"/>
                <w:szCs w:val="18"/>
                <w:lang w:val="en-US"/>
              </w:rPr>
              <w:t>–</w:t>
            </w:r>
            <w:r w:rsidRPr="00AF6261">
              <w:rPr>
                <w:rFonts w:cstheme="minorHAnsi"/>
                <w:color w:val="131413"/>
                <w:sz w:val="18"/>
                <w:szCs w:val="18"/>
                <w:lang w:val="en-US"/>
              </w:rPr>
              <w:t>testis barrier (BTB) permeability</w:t>
            </w:r>
          </w:p>
        </w:tc>
        <w:tc>
          <w:tcPr>
            <w:tcW w:w="1703" w:type="dxa"/>
            <w:tcBorders>
              <w:top w:val="single" w:sz="4" w:space="0" w:color="auto"/>
              <w:bottom w:val="single" w:sz="4" w:space="0" w:color="auto"/>
            </w:tcBorders>
            <w:shd w:val="clear" w:color="auto" w:fill="auto"/>
            <w:vAlign w:val="center"/>
          </w:tcPr>
          <w:p w14:paraId="1707E6F0" w14:textId="7CF43151" w:rsidR="00EB16FD" w:rsidRPr="00AF6261" w:rsidRDefault="00EB16FD" w:rsidP="007F1961">
            <w:pPr>
              <w:jc w:val="center"/>
              <w:rPr>
                <w:rFonts w:ascii="Calibri" w:hAnsi="Calibri" w:cstheme="minorHAnsi"/>
                <w:color w:val="000000"/>
                <w:sz w:val="18"/>
                <w:szCs w:val="18"/>
                <w:lang w:val="en-US"/>
              </w:rPr>
            </w:pPr>
            <w:r w:rsidRPr="00AF6261">
              <w:rPr>
                <w:rFonts w:cstheme="minorHAnsi"/>
                <w:color w:val="000000"/>
                <w:sz w:val="18"/>
                <w:szCs w:val="18"/>
                <w:lang w:val="en-US"/>
              </w:rPr>
              <w:t xml:space="preserve">Ag presence in testes AAS, Tight junctions </w:t>
            </w:r>
            <w:r w:rsidRPr="00AF6261">
              <w:rPr>
                <w:rFonts w:cstheme="minorHAnsi"/>
                <w:color w:val="131413"/>
                <w:sz w:val="18"/>
                <w:szCs w:val="18"/>
                <w:lang w:val="en-US"/>
              </w:rPr>
              <w:t>proteins (occludin, claudin-11, and tight junction protein 1 (Tjp1)) and transforming growth factor (TGF)-</w:t>
            </w:r>
            <w:r w:rsidRPr="00420B8C">
              <w:rPr>
                <w:rFonts w:cstheme="minorHAnsi"/>
                <w:color w:val="131413"/>
                <w:sz w:val="18"/>
                <w:szCs w:val="18"/>
              </w:rPr>
              <w:t>β</w:t>
            </w:r>
          </w:p>
        </w:tc>
        <w:tc>
          <w:tcPr>
            <w:tcW w:w="2010" w:type="dxa"/>
            <w:tcBorders>
              <w:top w:val="single" w:sz="4" w:space="0" w:color="auto"/>
              <w:bottom w:val="single" w:sz="4" w:space="0" w:color="auto"/>
            </w:tcBorders>
            <w:shd w:val="clear" w:color="auto" w:fill="auto"/>
            <w:vAlign w:val="center"/>
          </w:tcPr>
          <w:p w14:paraId="25333D63" w14:textId="365CCDA9" w:rsidR="00EB16FD" w:rsidRPr="00AF6261" w:rsidRDefault="00EB16FD" w:rsidP="007F1961">
            <w:pPr>
              <w:jc w:val="center"/>
              <w:rPr>
                <w:rFonts w:ascii="Calibri" w:hAnsi="Calibri" w:cstheme="minorHAnsi"/>
                <w:color w:val="000000"/>
                <w:sz w:val="18"/>
                <w:szCs w:val="18"/>
                <w:lang w:val="en-US"/>
              </w:rPr>
            </w:pPr>
            <w:r w:rsidRPr="00AF6261">
              <w:rPr>
                <w:rFonts w:cstheme="minorHAnsi"/>
                <w:color w:val="000000"/>
                <w:sz w:val="18"/>
                <w:szCs w:val="18"/>
                <w:lang w:val="en-US"/>
              </w:rPr>
              <w:t xml:space="preserve">NP accumulation in testes, Reduced expression level of tight junction proteins and </w:t>
            </w:r>
            <w:r w:rsidRPr="00AF6261">
              <w:rPr>
                <w:rFonts w:cstheme="minorHAnsi"/>
                <w:color w:val="131413"/>
                <w:sz w:val="18"/>
                <w:szCs w:val="18"/>
                <w:lang w:val="en-US"/>
              </w:rPr>
              <w:t>TGF-</w:t>
            </w:r>
            <w:r w:rsidRPr="00420B8C">
              <w:rPr>
                <w:rFonts w:cstheme="minorHAnsi"/>
                <w:color w:val="131413"/>
                <w:sz w:val="18"/>
                <w:szCs w:val="18"/>
              </w:rPr>
              <w:t>β</w:t>
            </w:r>
          </w:p>
        </w:tc>
        <w:tc>
          <w:tcPr>
            <w:tcW w:w="2273" w:type="dxa"/>
            <w:tcBorders>
              <w:top w:val="single" w:sz="4" w:space="0" w:color="auto"/>
              <w:bottom w:val="single" w:sz="4" w:space="0" w:color="auto"/>
            </w:tcBorders>
            <w:vAlign w:val="center"/>
          </w:tcPr>
          <w:p w14:paraId="39C6BB48" w14:textId="1C9DCFB2"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ascii="Calibri" w:hAnsi="Calibri"/>
                <w:sz w:val="18"/>
                <w:szCs w:val="18"/>
                <w:lang w:val="en-US"/>
              </w:rPr>
              <w:t>Increased blood–testis barrier (BTB) permeability</w:t>
            </w:r>
          </w:p>
        </w:tc>
        <w:tc>
          <w:tcPr>
            <w:tcW w:w="2386" w:type="dxa"/>
            <w:tcBorders>
              <w:top w:val="single" w:sz="4" w:space="0" w:color="auto"/>
              <w:bottom w:val="single" w:sz="4" w:space="0" w:color="auto"/>
            </w:tcBorders>
            <w:shd w:val="clear" w:color="auto" w:fill="auto"/>
            <w:vAlign w:val="center"/>
          </w:tcPr>
          <w:p w14:paraId="6D35A87E"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180B9B77" w14:textId="3E8DD8E4" w:rsidR="00EB16FD" w:rsidRPr="000F0BE4"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(ID1506)</w:t>
            </w:r>
          </w:p>
        </w:tc>
        <w:tc>
          <w:tcPr>
            <w:tcW w:w="851" w:type="dxa"/>
            <w:vMerge/>
            <w:tcBorders>
              <w:left w:val="nil"/>
              <w:right w:val="single" w:sz="4" w:space="0" w:color="auto"/>
            </w:tcBorders>
            <w:shd w:val="clear" w:color="auto" w:fill="auto"/>
            <w:vAlign w:val="center"/>
          </w:tcPr>
          <w:p w14:paraId="1057E3B3"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912134" w14:paraId="3CB77B1C" w14:textId="77777777" w:rsidTr="007F1961">
        <w:trPr>
          <w:cantSplit/>
          <w:trHeight w:val="408"/>
        </w:trPr>
        <w:tc>
          <w:tcPr>
            <w:tcW w:w="1408" w:type="dxa"/>
            <w:vMerge/>
            <w:tcBorders>
              <w:left w:val="single" w:sz="4" w:space="0" w:color="auto"/>
              <w:bottom w:val="single" w:sz="4" w:space="0" w:color="auto"/>
            </w:tcBorders>
            <w:shd w:val="clear" w:color="auto" w:fill="auto"/>
            <w:textDirection w:val="btLr"/>
            <w:vAlign w:val="center"/>
          </w:tcPr>
          <w:p w14:paraId="5B310D16"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03CFFCF5"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cBorders>
              <w:bottom w:val="single" w:sz="4" w:space="0" w:color="auto"/>
            </w:tcBorders>
            <w:shd w:val="clear" w:color="auto" w:fill="auto"/>
            <w:textDirection w:val="btLr"/>
            <w:vAlign w:val="center"/>
          </w:tcPr>
          <w:p w14:paraId="5D27EF0F" w14:textId="77777777" w:rsidR="00EB16FD" w:rsidRPr="00AF6261" w:rsidRDefault="00EB16FD" w:rsidP="00EB16FD">
            <w:pPr>
              <w:ind w:left="113" w:right="113"/>
              <w:jc w:val="center"/>
              <w:rPr>
                <w:rFonts w:ascii="Calibri" w:hAnsi="Calibri" w:cs="PqlhbjAdvTT3713a231"/>
                <w:color w:val="231F20"/>
                <w:sz w:val="18"/>
                <w:szCs w:val="18"/>
                <w:lang w:val="en-US"/>
              </w:rPr>
            </w:pPr>
          </w:p>
        </w:tc>
        <w:tc>
          <w:tcPr>
            <w:tcW w:w="1668" w:type="dxa"/>
            <w:tcBorders>
              <w:top w:val="single" w:sz="4" w:space="0" w:color="auto"/>
              <w:bottom w:val="single" w:sz="4" w:space="0" w:color="auto"/>
            </w:tcBorders>
            <w:shd w:val="clear" w:color="auto" w:fill="auto"/>
            <w:vAlign w:val="center"/>
          </w:tcPr>
          <w:p w14:paraId="600B0B28" w14:textId="7DB92549"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Histological parametres</w:t>
            </w:r>
          </w:p>
        </w:tc>
        <w:tc>
          <w:tcPr>
            <w:tcW w:w="1703" w:type="dxa"/>
            <w:tcBorders>
              <w:top w:val="single" w:sz="4" w:space="0" w:color="auto"/>
              <w:bottom w:val="single" w:sz="4" w:space="0" w:color="auto"/>
            </w:tcBorders>
            <w:shd w:val="clear" w:color="auto" w:fill="auto"/>
            <w:vAlign w:val="center"/>
          </w:tcPr>
          <w:p w14:paraId="22B7EF46" w14:textId="42D8688A"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Epididymal and testicular</w:t>
            </w:r>
          </w:p>
        </w:tc>
        <w:tc>
          <w:tcPr>
            <w:tcW w:w="2010" w:type="dxa"/>
            <w:tcBorders>
              <w:top w:val="single" w:sz="4" w:space="0" w:color="auto"/>
              <w:bottom w:val="single" w:sz="4" w:space="0" w:color="auto"/>
            </w:tcBorders>
            <w:shd w:val="clear" w:color="auto" w:fill="auto"/>
            <w:vAlign w:val="center"/>
          </w:tcPr>
          <w:p w14:paraId="05631FEF" w14:textId="032F5C44" w:rsidR="00EB16FD" w:rsidRPr="00AF6261" w:rsidRDefault="00EB16FD" w:rsidP="007F1961">
            <w:pPr>
              <w:jc w:val="center"/>
              <w:rPr>
                <w:rFonts w:cstheme="minorHAnsi"/>
                <w:color w:val="000000"/>
                <w:sz w:val="18"/>
                <w:szCs w:val="18"/>
                <w:lang w:val="en-US"/>
              </w:rPr>
            </w:pPr>
            <w:r w:rsidRPr="00AF6261">
              <w:rPr>
                <w:rFonts w:cstheme="minorHAnsi"/>
                <w:color w:val="131413"/>
                <w:sz w:val="18"/>
                <w:szCs w:val="18"/>
                <w:lang w:val="en-US"/>
              </w:rPr>
              <w:t>Atrophy of seminiferous tubules, thinning of the tubule wall, and disorganization and vacuolization of germinal epithelium, and loss of spermatogenic cells in testi</w:t>
            </w:r>
          </w:p>
        </w:tc>
        <w:tc>
          <w:tcPr>
            <w:tcW w:w="2273" w:type="dxa"/>
            <w:tcBorders>
              <w:top w:val="single" w:sz="4" w:space="0" w:color="auto"/>
              <w:bottom w:val="single" w:sz="4" w:space="0" w:color="auto"/>
            </w:tcBorders>
            <w:vAlign w:val="center"/>
          </w:tcPr>
          <w:p w14:paraId="4AF33FEB"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46CCBC96" w14:textId="70E80272" w:rsidR="00EB16FD" w:rsidRPr="00AF6261" w:rsidRDefault="00EB16FD" w:rsidP="007F1961">
            <w:pPr>
              <w:spacing w:after="0" w:line="240" w:lineRule="auto"/>
              <w:jc w:val="center"/>
              <w:rPr>
                <w:rFonts w:ascii="Calibri" w:hAnsi="Calibri"/>
                <w:b/>
                <w:color w:val="00B050"/>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0FB2CBB9" w14:textId="351B815D"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Oxidative Damage</w:t>
            </w:r>
          </w:p>
          <w:p w14:paraId="376B9924" w14:textId="593E38DE" w:rsidR="00EB16FD" w:rsidRPr="003B553F" w:rsidRDefault="00EB16FD" w:rsidP="007F1961">
            <w:pPr>
              <w:spacing w:after="0" w:line="240" w:lineRule="auto"/>
              <w:jc w:val="center"/>
              <w:rPr>
                <w:rFonts w:eastAsia="Times New Roman" w:cstheme="minorHAnsi"/>
                <w:b/>
                <w:color w:val="00B050"/>
                <w:sz w:val="18"/>
                <w:szCs w:val="18"/>
                <w:lang w:eastAsia="fr-FR"/>
              </w:rPr>
            </w:pPr>
            <w:r w:rsidRPr="000270BA">
              <w:rPr>
                <w:rFonts w:eastAsia="Times New Roman" w:cstheme="minorHAnsi"/>
                <w:sz w:val="18"/>
                <w:szCs w:val="18"/>
                <w:lang w:eastAsia="fr-FR"/>
              </w:rPr>
              <w:t>(ID356)</w:t>
            </w:r>
          </w:p>
        </w:tc>
        <w:tc>
          <w:tcPr>
            <w:tcW w:w="851" w:type="dxa"/>
            <w:vMerge/>
            <w:tcBorders>
              <w:left w:val="nil"/>
              <w:bottom w:val="single" w:sz="4" w:space="0" w:color="auto"/>
              <w:right w:val="single" w:sz="4" w:space="0" w:color="auto"/>
            </w:tcBorders>
            <w:shd w:val="clear" w:color="auto" w:fill="auto"/>
            <w:vAlign w:val="center"/>
          </w:tcPr>
          <w:p w14:paraId="35DEBAF8"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DC5D76" w14:paraId="061E42E8" w14:textId="77777777" w:rsidTr="007F1961">
        <w:trPr>
          <w:trHeight w:val="1346"/>
        </w:trPr>
        <w:tc>
          <w:tcPr>
            <w:tcW w:w="1408" w:type="dxa"/>
            <w:vMerge w:val="restart"/>
            <w:tcBorders>
              <w:top w:val="single" w:sz="4" w:space="0" w:color="auto"/>
              <w:left w:val="single" w:sz="4" w:space="0" w:color="auto"/>
            </w:tcBorders>
            <w:shd w:val="clear" w:color="auto" w:fill="auto"/>
            <w:textDirection w:val="btLr"/>
            <w:vAlign w:val="center"/>
          </w:tcPr>
          <w:p w14:paraId="701FC7D3"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Size:60-80 nm Shape: Spherical Hydrodynamic size : 250nm</w:t>
            </w:r>
          </w:p>
        </w:tc>
        <w:tc>
          <w:tcPr>
            <w:tcW w:w="1276" w:type="dxa"/>
            <w:vMerge w:val="restart"/>
            <w:tcBorders>
              <w:top w:val="single" w:sz="4" w:space="0" w:color="auto"/>
            </w:tcBorders>
            <w:shd w:val="clear" w:color="auto" w:fill="auto"/>
            <w:textDirection w:val="btLr"/>
            <w:vAlign w:val="center"/>
          </w:tcPr>
          <w:p w14:paraId="0E41ED14" w14:textId="77777777" w:rsidR="00EB16FD" w:rsidRPr="00912134" w:rsidRDefault="00EB16FD" w:rsidP="00EB16FD">
            <w:pPr>
              <w:ind w:left="113" w:right="113"/>
              <w:jc w:val="center"/>
              <w:rPr>
                <w:rFonts w:ascii="Calibri" w:hAnsi="Calibri" w:cstheme="minorHAnsi"/>
                <w:color w:val="000000"/>
                <w:sz w:val="18"/>
                <w:szCs w:val="18"/>
              </w:rPr>
            </w:pPr>
            <w:r w:rsidRPr="00912134">
              <w:rPr>
                <w:rFonts w:ascii="Calibri" w:hAnsi="Calibri" w:cstheme="minorHAnsi"/>
                <w:color w:val="000000"/>
                <w:sz w:val="18"/>
                <w:szCs w:val="18"/>
              </w:rPr>
              <w:t>Wistar rats</w:t>
            </w:r>
            <w:r>
              <w:rPr>
                <w:rFonts w:ascii="Calibri" w:hAnsi="Calibri" w:cstheme="minorHAnsi"/>
                <w:color w:val="000000"/>
                <w:sz w:val="18"/>
                <w:szCs w:val="18"/>
              </w:rPr>
              <w:t>,</w:t>
            </w:r>
            <w:r w:rsidRPr="00912134">
              <w:rPr>
                <w:rFonts w:ascii="Calibri" w:hAnsi="Calibri" w:cstheme="minorHAnsi"/>
                <w:color w:val="000000"/>
                <w:sz w:val="18"/>
                <w:szCs w:val="18"/>
              </w:rPr>
              <w:t xml:space="preserve"> intraperitoneal</w:t>
            </w:r>
          </w:p>
        </w:tc>
        <w:tc>
          <w:tcPr>
            <w:tcW w:w="1275" w:type="dxa"/>
            <w:vMerge w:val="restart"/>
            <w:tcBorders>
              <w:top w:val="single" w:sz="4" w:space="0" w:color="auto"/>
            </w:tcBorders>
            <w:textDirection w:val="btLr"/>
            <w:vAlign w:val="center"/>
          </w:tcPr>
          <w:p w14:paraId="1230E2D3"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30, 125 and 300 mg/kg bw</w:t>
            </w:r>
          </w:p>
          <w:p w14:paraId="787A61DC"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4 weeks</w:t>
            </w:r>
          </w:p>
        </w:tc>
        <w:tc>
          <w:tcPr>
            <w:tcW w:w="1668" w:type="dxa"/>
            <w:tcBorders>
              <w:top w:val="single" w:sz="4" w:space="0" w:color="auto"/>
            </w:tcBorders>
            <w:shd w:val="clear" w:color="auto" w:fill="auto"/>
            <w:vAlign w:val="center"/>
          </w:tcPr>
          <w:p w14:paraId="0A093162"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Sperm Evaluation</w:t>
            </w:r>
          </w:p>
        </w:tc>
        <w:tc>
          <w:tcPr>
            <w:tcW w:w="1703" w:type="dxa"/>
            <w:tcBorders>
              <w:top w:val="single" w:sz="4" w:space="0" w:color="auto"/>
            </w:tcBorders>
            <w:shd w:val="clear" w:color="auto" w:fill="auto"/>
            <w:vAlign w:val="center"/>
          </w:tcPr>
          <w:p w14:paraId="1DB824D7"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Sperm Morphology, count,  Motility, viability</w:t>
            </w:r>
          </w:p>
        </w:tc>
        <w:tc>
          <w:tcPr>
            <w:tcW w:w="2010" w:type="dxa"/>
            <w:tcBorders>
              <w:top w:val="single" w:sz="4" w:space="0" w:color="auto"/>
            </w:tcBorders>
            <w:shd w:val="clear" w:color="auto" w:fill="auto"/>
            <w:vAlign w:val="center"/>
          </w:tcPr>
          <w:p w14:paraId="3C6A1456"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 xml:space="preserve">Decreased sperm vitality </w:t>
            </w:r>
            <w:r w:rsidRPr="00AF6261">
              <w:rPr>
                <w:rFonts w:ascii="Calibri" w:hAnsi="Calibri" w:cstheme="minorHAnsi"/>
                <w:color w:val="000000"/>
                <w:sz w:val="18"/>
                <w:szCs w:val="18"/>
                <w:lang w:val="en-US"/>
              </w:rPr>
              <w:br/>
              <w:t xml:space="preserve"> and sperm count, normal sperm morphology </w:t>
            </w:r>
            <w:r w:rsidRPr="00AF6261">
              <w:rPr>
                <w:sz w:val="18"/>
                <w:szCs w:val="18"/>
                <w:lang w:val="en-US"/>
              </w:rPr>
              <w:t xml:space="preserve">(at </w:t>
            </w:r>
            <w:r w:rsidRPr="00AF6261">
              <w:rPr>
                <w:rFonts w:cs="Myriad Pro Light Cond"/>
                <w:color w:val="000000"/>
                <w:sz w:val="18"/>
                <w:szCs w:val="18"/>
                <w:lang w:val="en-US"/>
              </w:rPr>
              <w:t>300 mg/kg)</w:t>
            </w:r>
          </w:p>
        </w:tc>
        <w:tc>
          <w:tcPr>
            <w:tcW w:w="2273" w:type="dxa"/>
            <w:tcBorders>
              <w:top w:val="single" w:sz="4" w:space="0" w:color="auto"/>
            </w:tcBorders>
            <w:vAlign w:val="center"/>
          </w:tcPr>
          <w:p w14:paraId="4C9B04FA"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w:t>
            </w:r>
          </w:p>
        </w:tc>
        <w:tc>
          <w:tcPr>
            <w:tcW w:w="2386" w:type="dxa"/>
            <w:tcBorders>
              <w:top w:val="single" w:sz="4" w:space="0" w:color="auto"/>
            </w:tcBorders>
            <w:shd w:val="clear" w:color="auto" w:fill="auto"/>
            <w:vAlign w:val="center"/>
          </w:tcPr>
          <w:p w14:paraId="721ACD93"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Impaired fertility</w:t>
            </w:r>
          </w:p>
          <w:p w14:paraId="094D69AE" w14:textId="77777777" w:rsidR="00EB16FD" w:rsidRPr="000270BA" w:rsidRDefault="00EB16FD" w:rsidP="007F1961">
            <w:pPr>
              <w:spacing w:after="0" w:line="240" w:lineRule="auto"/>
              <w:jc w:val="center"/>
              <w:rPr>
                <w:rFonts w:eastAsia="Times New Roman" w:cstheme="minorHAnsi"/>
                <w:sz w:val="18"/>
                <w:szCs w:val="18"/>
                <w:lang w:eastAsia="fr-FR"/>
              </w:rPr>
            </w:pPr>
          </w:p>
        </w:tc>
        <w:tc>
          <w:tcPr>
            <w:tcW w:w="851" w:type="dxa"/>
            <w:vMerge w:val="restart"/>
            <w:tcBorders>
              <w:top w:val="single" w:sz="4" w:space="0" w:color="auto"/>
              <w:right w:val="single" w:sz="4" w:space="0" w:color="auto"/>
            </w:tcBorders>
            <w:vAlign w:val="center"/>
          </w:tcPr>
          <w:p w14:paraId="79DBF3A0" w14:textId="1ACCDC4B"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{"citationItems":[{"id":"ITEM-1","itemData":{"DOI":"10.17219/acem/81607","ISBN":"9205011568","ISSN":"24512680","PMID":"30170485","abstract":"Background. Silver nanoparticles (AgNPs) are more often used in various products, and consequently the potential deleterious effects associated with exposure to them are of concern. Several lines of evidence have demonstrated that the toxicity of AgNPs affects different organs and leads to some side effects, including weight loss, inflammation and cell death. Objectives. The aim of this study was to evaluate the effect of different concentrations of AgNPs on sperm parameters and testicular histology. Material and methods. In the present study, 28 male adult Wistar rats were categorized into a control group and 3 experimental groups (AgNP-1, AgNP-2 and AgNP-3), intraperitoneally (i.p.) receiving 30, 125 and 300 mg/kg of AgNPs, respectively. Twenty-eight days after injection the epididymes and the testes of each rat were dissected in order to evaluate sperm parameters, sperm chromatin integrity and histomorphometric changes in the testicular tissue. Results. The results showed a significant decrease in sperm count (p &lt; 0.0001), vitality (p &lt; 0.05) and morphology changes (p &lt; 0.001) in the group receiving 300 mg/kg of AgNPs compared to the control group. A significant decrease was also observed in the number of spermatogonia, Sertoli and Leydig cells in the AgNP-2 and AgNP-3 groups (p &lt; 0.05). The evaluation of sperm chromatin did not show any significant differences among the experimental groups (p &gt; 0.05). Conclusions. The data showed some dose-dependent adverse effects of AgNPs on sperm and seminiferous tubules. More experimental investigations are necessary to draw better conclusions regarding the safety of nanoparticles (NPs) on the male reproduction system.","author":[{"dropping-particle":"","family":"Fathi","given":"Nasibeh","non-dropping-particle":"","parse-names":false,"suffix":""},{"dropping-particle":"","family":"Hoseinipanah","</w:instrText>
            </w:r>
            <w:r w:rsidR="007F3FC3" w:rsidRPr="00AF6261">
              <w:rPr>
                <w:rFonts w:ascii="Calibri" w:eastAsia="Times New Roman" w:hAnsi="Calibri" w:cstheme="minorHAnsi"/>
                <w:color w:val="000000"/>
                <w:sz w:val="18"/>
                <w:szCs w:val="18"/>
                <w:lang w:val="en-US" w:eastAsia="fr-FR"/>
              </w:rPr>
              <w:instrText>given":"Seyed Mohammad","non-dropping-particle":"","parse-names":false,"suffix":""},{"dropping-particle":"","family":"Alizadeh","given":"Zohreh","non-dropping-particle":"","parse-names":false,"suffix":""},{"dropping-particle":"","family":"Assari","given":"Mohammad Javad","non-dropping-particle":"","parse-names":false,"suffix":""},{"dropping-particle":"","family":"Moghimbeigi","given":"Abbas","non-dropping-particle":"","parse-names":false,"suffix":""},{"dropping-particle":"","family":"Mortazavi","given":"Motahare","non-dropping-particle":"","parse-names":false,"suffix":""},{"dropping-particle":"","family":"Hosseini","given":"Morteza Haji","non-dropping-particle":"","parse-names":false,"suffix":""},{"dropping-particle":"","family":"Bahmanzadeh","given":"Maryam","non-dropping-particle":"","parse-names":false,"suffix":""}],"container-title":"Advances in Clinical and Experimental Medicine","id":"ITEM-1","issue":"3","issued":{"date-parts":[["2019"]]},"page":"299-305","title":"The effect of silver nanoparticles on the reproductive system of adult male rats: A morphological, histological and DNA integrity study","type":"article-journal","volume":"28"},"uris":["http://www.mendeley.com/documents/?uuid=c99ca232-6faa-4f41-b4a4-9f8420a0da31"]}],"mendeley":{"formattedCitation":"(14)","plainTextFormattedCitation":"(14)","previouslyFormattedCitation":"(Fathi et al. 2019)"},"properties":{"noteIndex":0},"schema":"https://github.com/citation-style-language/schema/raw/master/csl-citation.json"}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(14)</w:t>
            </w:r>
            <w:r w:rsidRPr="00912134">
              <w:rPr>
                <w:rFonts w:ascii="Calibri" w:eastAsia="Times New Roman" w:hAnsi="Calibri" w:cstheme="minorHAnsi"/>
                <w:color w:val="000000"/>
                <w:sz w:val="18"/>
                <w:szCs w:val="18"/>
                <w:lang w:eastAsia="fr-FR"/>
              </w:rPr>
              <w:fldChar w:fldCharType="end"/>
            </w:r>
          </w:p>
        </w:tc>
      </w:tr>
      <w:tr w:rsidR="00EB16FD" w:rsidRPr="00DC5D76" w14:paraId="543E1C32" w14:textId="77777777" w:rsidTr="007F1961">
        <w:trPr>
          <w:trHeight w:val="1486"/>
        </w:trPr>
        <w:tc>
          <w:tcPr>
            <w:tcW w:w="1408" w:type="dxa"/>
            <w:vMerge/>
            <w:tcBorders>
              <w:left w:val="single" w:sz="4" w:space="0" w:color="auto"/>
            </w:tcBorders>
            <w:shd w:val="clear" w:color="auto" w:fill="auto"/>
            <w:textDirection w:val="btLr"/>
            <w:vAlign w:val="center"/>
          </w:tcPr>
          <w:p w14:paraId="51F96279"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67438B87"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extDirection w:val="btLr"/>
            <w:vAlign w:val="center"/>
          </w:tcPr>
          <w:p w14:paraId="254CB680"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668" w:type="dxa"/>
            <w:tcBorders>
              <w:top w:val="single" w:sz="4" w:space="0" w:color="auto"/>
            </w:tcBorders>
            <w:shd w:val="clear" w:color="auto" w:fill="auto"/>
            <w:vAlign w:val="center"/>
          </w:tcPr>
          <w:p w14:paraId="0B021B07"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Histological parametres</w:t>
            </w:r>
          </w:p>
        </w:tc>
        <w:tc>
          <w:tcPr>
            <w:tcW w:w="1703" w:type="dxa"/>
            <w:tcBorders>
              <w:top w:val="single" w:sz="4" w:space="0" w:color="auto"/>
            </w:tcBorders>
            <w:shd w:val="clear" w:color="auto" w:fill="auto"/>
            <w:vAlign w:val="center"/>
          </w:tcPr>
          <w:p w14:paraId="6AD39CCE"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Testis morphology, seminiferous tubule area, circumference,</w:t>
            </w:r>
            <w:r w:rsidRPr="00AF6261">
              <w:rPr>
                <w:rFonts w:ascii="Calibri" w:hAnsi="Calibri" w:cstheme="minorHAnsi"/>
                <w:color w:val="000000"/>
                <w:sz w:val="18"/>
                <w:szCs w:val="18"/>
                <w:lang w:val="en-US"/>
              </w:rPr>
              <w:br/>
              <w:t>and diameter</w:t>
            </w:r>
          </w:p>
        </w:tc>
        <w:tc>
          <w:tcPr>
            <w:tcW w:w="2010" w:type="dxa"/>
            <w:tcBorders>
              <w:top w:val="single" w:sz="4" w:space="0" w:color="auto"/>
            </w:tcBorders>
            <w:shd w:val="clear" w:color="auto" w:fill="auto"/>
            <w:vAlign w:val="center"/>
          </w:tcPr>
          <w:p w14:paraId="53336CB1"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Reduction in the number</w:t>
            </w:r>
            <w:r w:rsidRPr="00AF6261">
              <w:rPr>
                <w:rFonts w:ascii="Calibri" w:hAnsi="Calibri" w:cstheme="minorHAnsi"/>
                <w:color w:val="000000"/>
                <w:sz w:val="18"/>
                <w:szCs w:val="18"/>
                <w:lang w:val="en-US"/>
              </w:rPr>
              <w:br/>
              <w:t>of spermatogonia, Sertoli and Leydig cells (125 and 300 mg/kg)</w:t>
            </w:r>
          </w:p>
          <w:p w14:paraId="76DDA4D4"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Reduction in the diameter, circumference and mean area of seminiferous tubules (125 mg/kg)</w:t>
            </w:r>
          </w:p>
        </w:tc>
        <w:tc>
          <w:tcPr>
            <w:tcW w:w="2273" w:type="dxa"/>
            <w:tcBorders>
              <w:top w:val="single" w:sz="4" w:space="0" w:color="auto"/>
            </w:tcBorders>
            <w:vAlign w:val="center"/>
          </w:tcPr>
          <w:p w14:paraId="300953C0"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70DEB49B"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(ID1506)</w:t>
            </w:r>
          </w:p>
        </w:tc>
        <w:tc>
          <w:tcPr>
            <w:tcW w:w="2386" w:type="dxa"/>
            <w:tcBorders>
              <w:top w:val="single" w:sz="4" w:space="0" w:color="auto"/>
            </w:tcBorders>
            <w:shd w:val="clear" w:color="auto" w:fill="auto"/>
            <w:vAlign w:val="center"/>
          </w:tcPr>
          <w:p w14:paraId="2AC37F91"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2901AED3"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right w:val="single" w:sz="4" w:space="0" w:color="auto"/>
            </w:tcBorders>
          </w:tcPr>
          <w:p w14:paraId="409CA3A1"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912134" w14:paraId="7B0B1305" w14:textId="77777777" w:rsidTr="007F1961">
        <w:trPr>
          <w:trHeight w:val="1583"/>
        </w:trPr>
        <w:tc>
          <w:tcPr>
            <w:tcW w:w="1408" w:type="dxa"/>
            <w:vMerge w:val="restart"/>
            <w:tcBorders>
              <w:top w:val="single" w:sz="4" w:space="0" w:color="auto"/>
              <w:left w:val="single" w:sz="4" w:space="0" w:color="auto"/>
            </w:tcBorders>
            <w:shd w:val="clear" w:color="auto" w:fill="auto"/>
            <w:textDirection w:val="btLr"/>
            <w:vAlign w:val="center"/>
          </w:tcPr>
          <w:p w14:paraId="6DCC99A8"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Size: 8.93-33.4 nm Shape: Spherical Hydrodynamic size : 197.4 ± 2.7 and 422.4 ± 6.3 Zeta potential −33.6 and −37.5 mV</w:t>
            </w:r>
          </w:p>
        </w:tc>
        <w:tc>
          <w:tcPr>
            <w:tcW w:w="1276" w:type="dxa"/>
            <w:vMerge w:val="restart"/>
            <w:tcBorders>
              <w:top w:val="single" w:sz="4" w:space="0" w:color="auto"/>
            </w:tcBorders>
            <w:shd w:val="clear" w:color="auto" w:fill="auto"/>
            <w:textDirection w:val="btLr"/>
            <w:vAlign w:val="center"/>
          </w:tcPr>
          <w:p w14:paraId="5D2FA6A9"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SD rats, Oral gavage</w:t>
            </w:r>
          </w:p>
        </w:tc>
        <w:tc>
          <w:tcPr>
            <w:tcW w:w="1275" w:type="dxa"/>
            <w:vMerge w:val="restart"/>
            <w:tcBorders>
              <w:top w:val="single" w:sz="4" w:space="0" w:color="auto"/>
            </w:tcBorders>
            <w:textDirection w:val="btLr"/>
            <w:vAlign w:val="center"/>
          </w:tcPr>
          <w:p w14:paraId="08197924"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5.36 mg/kg,  13.4 mg/kg twice weekly for six months</w:t>
            </w:r>
          </w:p>
        </w:tc>
        <w:tc>
          <w:tcPr>
            <w:tcW w:w="1668" w:type="dxa"/>
            <w:tcBorders>
              <w:top w:val="single" w:sz="4" w:space="0" w:color="auto"/>
            </w:tcBorders>
            <w:shd w:val="clear" w:color="auto" w:fill="auto"/>
            <w:vAlign w:val="center"/>
          </w:tcPr>
          <w:p w14:paraId="54490217"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Sperm Evaluation</w:t>
            </w:r>
          </w:p>
        </w:tc>
        <w:tc>
          <w:tcPr>
            <w:tcW w:w="1703" w:type="dxa"/>
            <w:tcBorders>
              <w:top w:val="single" w:sz="4" w:space="0" w:color="auto"/>
            </w:tcBorders>
            <w:shd w:val="clear" w:color="auto" w:fill="auto"/>
            <w:vAlign w:val="center"/>
          </w:tcPr>
          <w:p w14:paraId="0FE2060C" w14:textId="77777777" w:rsidR="00EB16FD" w:rsidRPr="00AF6261" w:rsidRDefault="00EB16FD" w:rsidP="007F1961">
            <w:pPr>
              <w:jc w:val="center"/>
              <w:rPr>
                <w:rFonts w:ascii="Calibri" w:hAnsi="Calibri" w:cstheme="minorHAnsi"/>
                <w:b/>
                <w:bCs/>
                <w:color w:val="000000"/>
                <w:sz w:val="18"/>
                <w:szCs w:val="18"/>
                <w:lang w:val="en-US"/>
              </w:rPr>
            </w:pPr>
            <w:r w:rsidRPr="00AF6261">
              <w:rPr>
                <w:rFonts w:ascii="Calibri" w:hAnsi="Calibri" w:cstheme="minorHAnsi"/>
                <w:color w:val="000000"/>
                <w:sz w:val="18"/>
                <w:szCs w:val="18"/>
                <w:lang w:val="en-US"/>
              </w:rPr>
              <w:t>Sperm Morphology, count,  Motility, viability, Sperm DNA Damage by Sperm chromatin integrity Acridine orange (AO)</w:t>
            </w:r>
          </w:p>
        </w:tc>
        <w:tc>
          <w:tcPr>
            <w:tcW w:w="2010" w:type="dxa"/>
            <w:tcBorders>
              <w:top w:val="single" w:sz="4" w:space="0" w:color="auto"/>
            </w:tcBorders>
            <w:shd w:val="clear" w:color="auto" w:fill="auto"/>
            <w:vAlign w:val="center"/>
          </w:tcPr>
          <w:p w14:paraId="6D0EBE18"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 xml:space="preserve">Decreased sperm vitality </w:t>
            </w:r>
            <w:r w:rsidRPr="00AF6261">
              <w:rPr>
                <w:rFonts w:ascii="Calibri" w:hAnsi="Calibri" w:cstheme="minorHAnsi"/>
                <w:color w:val="000000"/>
                <w:sz w:val="18"/>
                <w:szCs w:val="18"/>
                <w:lang w:val="en-US"/>
              </w:rPr>
              <w:br/>
              <w:t xml:space="preserve"> and sperm count, normal sperm morphology,  Decrease in DNA chromatin integrity</w:t>
            </w:r>
          </w:p>
        </w:tc>
        <w:tc>
          <w:tcPr>
            <w:tcW w:w="2273" w:type="dxa"/>
            <w:tcBorders>
              <w:top w:val="single" w:sz="4" w:space="0" w:color="auto"/>
            </w:tcBorders>
            <w:vAlign w:val="center"/>
          </w:tcPr>
          <w:p w14:paraId="699F8059"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r w:rsidRPr="00AF6261">
              <w:rPr>
                <w:rFonts w:eastAsia="Times New Roman" w:cstheme="minorHAnsi"/>
                <w:sz w:val="18"/>
                <w:szCs w:val="18"/>
                <w:lang w:val="en-US" w:eastAsia="fr-FR"/>
              </w:rPr>
              <w:t xml:space="preserve"> Increased DNA damage (ID1194)</w:t>
            </w:r>
          </w:p>
        </w:tc>
        <w:tc>
          <w:tcPr>
            <w:tcW w:w="2386" w:type="dxa"/>
            <w:tcBorders>
              <w:top w:val="single" w:sz="4" w:space="0" w:color="auto"/>
            </w:tcBorders>
            <w:shd w:val="clear" w:color="auto" w:fill="auto"/>
            <w:vAlign w:val="center"/>
          </w:tcPr>
          <w:p w14:paraId="270BCA3F"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DNA Damage (ID1194), Impaired fertility</w:t>
            </w:r>
          </w:p>
          <w:p w14:paraId="0A5AACA8"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val="restart"/>
            <w:tcBorders>
              <w:top w:val="single" w:sz="4" w:space="0" w:color="auto"/>
              <w:left w:val="nil"/>
              <w:right w:val="single" w:sz="4" w:space="0" w:color="auto"/>
            </w:tcBorders>
            <w:vAlign w:val="center"/>
          </w:tcPr>
          <w:p w14:paraId="539E4D5F" w14:textId="02E5B419"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{"citationItems":[{"id":"ITEM-1","itemData":{"DOI":"10.1016/j.etap.2019.103194","ISSN":"18727077","PMID":"31255771","abstract":"To evaluate the potential testicular toxicity induced by silver nanoparticles (AgNPs) in Sprague Dawley rate. The protocol study was designed as follows: G1: 30 adult male rats were kept as control. G2: 30 adult male rats were administered 5.36 mg/kg of AgNPs orally, twice weekly for six months. G3: 30 adult male rats were administered 13.4 mg/kg of A</w:instrText>
            </w:r>
            <w:r w:rsidR="007F3FC3">
              <w:rPr>
                <w:rFonts w:ascii="Calibri" w:eastAsia="Times New Roman" w:hAnsi="Calibri" w:cstheme="minorHAnsi"/>
                <w:color w:val="000000"/>
                <w:sz w:val="18"/>
                <w:szCs w:val="18"/>
                <w:lang w:eastAsia="fr-FR"/>
              </w:rPr>
              <w:instrText>gNPs orally, twice weekly for six months. The results of hormonal assay revealed that a significant decrease in testosterone level while a significant increase in LH level was obtained. The testicular homogenate showed a significant decrease in SOD activity accompanied by a significant increase in MDA level in both G2 and G3 in comparison with the control in a dose-response relationship. Sperm viability indicates a significant decrease in rats in G2 and G3 groups. A significant decrease in DNA chromatin integrity % was obtained in rats of G3 in comparison with G2 and control. The semithin and TEM sections of the testis of G2 and G3 groups showed Sertoli cells have vacuolations with a disturbance in the arrangement and the staining affinity of spermatogenic cells. The spermatogonia appeared with a moderate electron density of the nucleus and cytoplasm. The acrosome and its cap become oval and light electron dens of spermatid cells.","author":[{"dropping-particle":"","family":"Elsharkawy","given":"Eman E.","non-dropping-particle":"","parse-names":false,"suffix":""},{"dropping-particle":"","family":"Abd El-Nasser","given":"Mahmoud","non-dropping-particle":"","parse-names":false,"suffix":""},{"dropping-particle":"","family":"Kamaly","given":"Heba F.","non-dropping-particle":"","parse-names":false,"suffix":""}],"container-title":"Environmental Toxicology and Pharmacology","id":"ITEM-1","issued":{"date-parts":[["2019","8","1"]]},"publisher":"Elsevier B.V.","title":"Silver nanoparticles testicular toxicity in rat","type":"article-journal","volume":"70"},"uris":["http://www.mendeley.com/documents/?uuid=36159435-d7eb-335e-9d55-9d09d346bf70"]}],"mendeley":{"formattedCitation":"(15)","plainTextFormattedCitation":"(15)","previouslyFormattedCitation":"(Elsharkawy, Abd El-Nasser, and Kamaly 2019)"},"properties":{"noteIndex":0},"schema":"https://github.com/citation-style-language/schema/raw/master/csl-citation.json"}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(15)</w:t>
            </w:r>
            <w:r w:rsidRPr="00912134">
              <w:rPr>
                <w:rFonts w:ascii="Calibri" w:eastAsia="Times New Roman" w:hAnsi="Calibri" w:cstheme="minorHAnsi"/>
                <w:color w:val="000000"/>
                <w:sz w:val="18"/>
                <w:szCs w:val="18"/>
                <w:lang w:eastAsia="fr-FR"/>
              </w:rPr>
              <w:fldChar w:fldCharType="end"/>
            </w:r>
          </w:p>
        </w:tc>
      </w:tr>
      <w:tr w:rsidR="00EB16FD" w:rsidRPr="00912134" w14:paraId="0C728180" w14:textId="77777777" w:rsidTr="007F1961">
        <w:trPr>
          <w:trHeight w:val="195"/>
        </w:trPr>
        <w:tc>
          <w:tcPr>
            <w:tcW w:w="1408" w:type="dxa"/>
            <w:vMerge/>
            <w:tcBorders>
              <w:left w:val="single" w:sz="4" w:space="0" w:color="auto"/>
            </w:tcBorders>
            <w:shd w:val="clear" w:color="auto" w:fill="auto"/>
            <w:textDirection w:val="btLr"/>
            <w:vAlign w:val="center"/>
          </w:tcPr>
          <w:p w14:paraId="72E59B07" w14:textId="77777777" w:rsidR="00EB16FD" w:rsidRPr="00912134" w:rsidRDefault="00EB16FD" w:rsidP="00EB16FD">
            <w:pPr>
              <w:ind w:left="113" w:right="113"/>
              <w:jc w:val="center"/>
              <w:rPr>
                <w:rFonts w:ascii="Calibri" w:hAnsi="Calibri" w:cstheme="minorHAnsi"/>
                <w:color w:val="000000"/>
                <w:sz w:val="18"/>
                <w:szCs w:val="18"/>
              </w:rPr>
            </w:pPr>
          </w:p>
        </w:tc>
        <w:tc>
          <w:tcPr>
            <w:tcW w:w="1276" w:type="dxa"/>
            <w:vMerge/>
            <w:shd w:val="clear" w:color="auto" w:fill="auto"/>
            <w:textDirection w:val="btLr"/>
            <w:vAlign w:val="center"/>
          </w:tcPr>
          <w:p w14:paraId="6D795141" w14:textId="77777777" w:rsidR="00EB16FD" w:rsidRPr="00912134" w:rsidRDefault="00EB16FD" w:rsidP="00EB16FD">
            <w:pPr>
              <w:ind w:left="113" w:right="113"/>
              <w:jc w:val="center"/>
              <w:rPr>
                <w:rFonts w:ascii="Calibri" w:hAnsi="Calibri" w:cstheme="minorHAnsi"/>
                <w:color w:val="000000"/>
                <w:sz w:val="18"/>
                <w:szCs w:val="18"/>
              </w:rPr>
            </w:pPr>
          </w:p>
        </w:tc>
        <w:tc>
          <w:tcPr>
            <w:tcW w:w="1275" w:type="dxa"/>
            <w:vMerge/>
            <w:textDirection w:val="btLr"/>
            <w:vAlign w:val="center"/>
          </w:tcPr>
          <w:p w14:paraId="622F123D" w14:textId="77777777" w:rsidR="00EB16FD" w:rsidRPr="00912134" w:rsidRDefault="00EB16FD" w:rsidP="00EB16FD">
            <w:pPr>
              <w:ind w:left="113" w:right="113"/>
              <w:jc w:val="center"/>
              <w:rPr>
                <w:rFonts w:ascii="Calibri" w:hAnsi="Calibri" w:cstheme="minorHAnsi"/>
                <w:color w:val="000000"/>
                <w:sz w:val="18"/>
                <w:szCs w:val="18"/>
              </w:rPr>
            </w:pPr>
          </w:p>
        </w:tc>
        <w:tc>
          <w:tcPr>
            <w:tcW w:w="1668" w:type="dxa"/>
            <w:tcBorders>
              <w:top w:val="single" w:sz="4" w:space="0" w:color="auto"/>
              <w:bottom w:val="single" w:sz="4" w:space="0" w:color="auto"/>
            </w:tcBorders>
            <w:shd w:val="clear" w:color="auto" w:fill="auto"/>
            <w:vAlign w:val="center"/>
          </w:tcPr>
          <w:p w14:paraId="42DB9017" w14:textId="7B3E9071" w:rsidR="00EB16FD" w:rsidRPr="00912134" w:rsidRDefault="00EB16FD" w:rsidP="007F1961">
            <w:pPr>
              <w:jc w:val="center"/>
              <w:rPr>
                <w:rFonts w:ascii="Calibri" w:hAnsi="Calibri" w:cstheme="minorHAnsi"/>
                <w:color w:val="000000"/>
                <w:sz w:val="18"/>
                <w:szCs w:val="18"/>
              </w:rPr>
            </w:pPr>
            <w:r>
              <w:rPr>
                <w:rFonts w:ascii="Calibri" w:hAnsi="Calibri" w:cstheme="minorHAnsi"/>
                <w:color w:val="000000"/>
                <w:sz w:val="18"/>
                <w:szCs w:val="18"/>
              </w:rPr>
              <w:t>Oxidative Status</w:t>
            </w:r>
          </w:p>
        </w:tc>
        <w:tc>
          <w:tcPr>
            <w:tcW w:w="1703" w:type="dxa"/>
            <w:tcBorders>
              <w:top w:val="single" w:sz="4" w:space="0" w:color="auto"/>
              <w:bottom w:val="single" w:sz="4" w:space="0" w:color="auto"/>
            </w:tcBorders>
            <w:shd w:val="clear" w:color="auto" w:fill="auto"/>
            <w:vAlign w:val="center"/>
          </w:tcPr>
          <w:p w14:paraId="7C33ABB4"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SOD and MDA in testicular tissue by commercial kits</w:t>
            </w:r>
          </w:p>
        </w:tc>
        <w:tc>
          <w:tcPr>
            <w:tcW w:w="2010" w:type="dxa"/>
            <w:tcBorders>
              <w:top w:val="single" w:sz="4" w:space="0" w:color="auto"/>
              <w:bottom w:val="single" w:sz="4" w:space="0" w:color="auto"/>
            </w:tcBorders>
            <w:shd w:val="clear" w:color="auto" w:fill="auto"/>
            <w:vAlign w:val="center"/>
          </w:tcPr>
          <w:p w14:paraId="654F0110"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Decreased SOD,  increased MDA</w:t>
            </w:r>
          </w:p>
        </w:tc>
        <w:tc>
          <w:tcPr>
            <w:tcW w:w="2273" w:type="dxa"/>
            <w:tcBorders>
              <w:top w:val="single" w:sz="4" w:space="0" w:color="auto"/>
              <w:bottom w:val="single" w:sz="4" w:space="0" w:color="auto"/>
            </w:tcBorders>
            <w:vAlign w:val="center"/>
          </w:tcPr>
          <w:p w14:paraId="22E8B993"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5524126B"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63E380CA" w14:textId="2A384014"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Oxidative Damage</w:t>
            </w:r>
          </w:p>
          <w:p w14:paraId="29D0B122"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(ID356)</w:t>
            </w:r>
          </w:p>
        </w:tc>
        <w:tc>
          <w:tcPr>
            <w:tcW w:w="851" w:type="dxa"/>
            <w:vMerge/>
            <w:tcBorders>
              <w:left w:val="nil"/>
              <w:right w:val="single" w:sz="4" w:space="0" w:color="auto"/>
            </w:tcBorders>
          </w:tcPr>
          <w:p w14:paraId="46282078"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DC5D76" w14:paraId="5DD96CD5" w14:textId="77777777" w:rsidTr="007F1961">
        <w:trPr>
          <w:trHeight w:val="195"/>
        </w:trPr>
        <w:tc>
          <w:tcPr>
            <w:tcW w:w="1408" w:type="dxa"/>
            <w:vMerge/>
            <w:tcBorders>
              <w:left w:val="single" w:sz="4" w:space="0" w:color="auto"/>
            </w:tcBorders>
            <w:shd w:val="clear" w:color="auto" w:fill="auto"/>
            <w:textDirection w:val="btLr"/>
            <w:vAlign w:val="center"/>
          </w:tcPr>
          <w:p w14:paraId="1FDEC02D" w14:textId="77777777" w:rsidR="00EB16FD" w:rsidRPr="00912134" w:rsidRDefault="00EB16FD" w:rsidP="00EB16FD">
            <w:pPr>
              <w:ind w:left="113" w:right="113"/>
              <w:jc w:val="center"/>
              <w:rPr>
                <w:rFonts w:ascii="Calibri" w:hAnsi="Calibri" w:cstheme="minorHAnsi"/>
                <w:color w:val="000000"/>
                <w:sz w:val="18"/>
                <w:szCs w:val="18"/>
              </w:rPr>
            </w:pPr>
          </w:p>
        </w:tc>
        <w:tc>
          <w:tcPr>
            <w:tcW w:w="1276" w:type="dxa"/>
            <w:vMerge/>
            <w:shd w:val="clear" w:color="auto" w:fill="auto"/>
            <w:textDirection w:val="btLr"/>
            <w:vAlign w:val="center"/>
          </w:tcPr>
          <w:p w14:paraId="3F7F4C6C" w14:textId="77777777" w:rsidR="00EB16FD" w:rsidRPr="00912134" w:rsidRDefault="00EB16FD" w:rsidP="00EB16FD">
            <w:pPr>
              <w:ind w:left="113" w:right="113"/>
              <w:jc w:val="center"/>
              <w:rPr>
                <w:rFonts w:ascii="Calibri" w:hAnsi="Calibri" w:cstheme="minorHAnsi"/>
                <w:color w:val="000000"/>
                <w:sz w:val="18"/>
                <w:szCs w:val="18"/>
              </w:rPr>
            </w:pPr>
          </w:p>
        </w:tc>
        <w:tc>
          <w:tcPr>
            <w:tcW w:w="1275" w:type="dxa"/>
            <w:vMerge/>
            <w:textDirection w:val="btLr"/>
            <w:vAlign w:val="center"/>
          </w:tcPr>
          <w:p w14:paraId="11A3AF6B" w14:textId="77777777" w:rsidR="00EB16FD" w:rsidRPr="00912134" w:rsidRDefault="00EB16FD" w:rsidP="00EB16FD">
            <w:pPr>
              <w:ind w:left="113" w:right="113"/>
              <w:jc w:val="center"/>
              <w:rPr>
                <w:rFonts w:ascii="Calibri" w:hAnsi="Calibri" w:cstheme="minorHAnsi"/>
                <w:color w:val="000000"/>
                <w:sz w:val="18"/>
                <w:szCs w:val="18"/>
              </w:rPr>
            </w:pPr>
          </w:p>
        </w:tc>
        <w:tc>
          <w:tcPr>
            <w:tcW w:w="1668" w:type="dxa"/>
            <w:tcBorders>
              <w:top w:val="single" w:sz="4" w:space="0" w:color="auto"/>
              <w:bottom w:val="single" w:sz="4" w:space="0" w:color="auto"/>
            </w:tcBorders>
            <w:shd w:val="clear" w:color="auto" w:fill="auto"/>
            <w:vAlign w:val="center"/>
          </w:tcPr>
          <w:p w14:paraId="4F8D49BA" w14:textId="4AFF1103"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Hormonal Assessment</w:t>
            </w:r>
          </w:p>
        </w:tc>
        <w:tc>
          <w:tcPr>
            <w:tcW w:w="1703" w:type="dxa"/>
            <w:tcBorders>
              <w:top w:val="single" w:sz="4" w:space="0" w:color="auto"/>
              <w:bottom w:val="single" w:sz="4" w:space="0" w:color="auto"/>
            </w:tcBorders>
            <w:shd w:val="clear" w:color="auto" w:fill="auto"/>
            <w:vAlign w:val="center"/>
          </w:tcPr>
          <w:p w14:paraId="7A5244B3"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Serum testosterone, LH and FSH by ELISA kits</w:t>
            </w:r>
          </w:p>
        </w:tc>
        <w:tc>
          <w:tcPr>
            <w:tcW w:w="2010" w:type="dxa"/>
            <w:tcBorders>
              <w:top w:val="single" w:sz="4" w:space="0" w:color="auto"/>
              <w:bottom w:val="single" w:sz="4" w:space="0" w:color="auto"/>
            </w:tcBorders>
            <w:shd w:val="clear" w:color="auto" w:fill="auto"/>
            <w:vAlign w:val="center"/>
          </w:tcPr>
          <w:p w14:paraId="412288F4"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Decreased testosterone hormone,  increased the level of LH at the 4</w:t>
            </w:r>
            <w:r w:rsidRPr="00AF6261">
              <w:rPr>
                <w:rFonts w:ascii="Calibri" w:hAnsi="Calibri" w:cstheme="minorHAnsi"/>
                <w:color w:val="000000"/>
                <w:sz w:val="18"/>
                <w:szCs w:val="18"/>
                <w:vertAlign w:val="superscript"/>
                <w:lang w:val="en-US"/>
              </w:rPr>
              <w:t>th</w:t>
            </w:r>
            <w:r w:rsidRPr="00AF6261">
              <w:rPr>
                <w:rFonts w:ascii="Calibri" w:hAnsi="Calibri" w:cstheme="minorHAnsi"/>
                <w:color w:val="000000"/>
                <w:sz w:val="18"/>
                <w:szCs w:val="18"/>
                <w:lang w:val="en-US"/>
              </w:rPr>
              <w:t>, 5</w:t>
            </w:r>
            <w:r w:rsidRPr="00AF6261">
              <w:rPr>
                <w:rFonts w:ascii="Calibri" w:hAnsi="Calibri" w:cstheme="minorHAnsi"/>
                <w:color w:val="000000"/>
                <w:sz w:val="18"/>
                <w:szCs w:val="18"/>
                <w:vertAlign w:val="superscript"/>
                <w:lang w:val="en-US"/>
              </w:rPr>
              <w:t>th</w:t>
            </w:r>
            <w:r w:rsidRPr="00AF6261">
              <w:rPr>
                <w:rFonts w:ascii="Calibri" w:hAnsi="Calibri" w:cstheme="minorHAnsi"/>
                <w:color w:val="000000"/>
                <w:sz w:val="18"/>
                <w:szCs w:val="18"/>
                <w:lang w:val="en-US"/>
              </w:rPr>
              <w:t xml:space="preserve"> and 6</w:t>
            </w:r>
            <w:r w:rsidRPr="00AF6261">
              <w:rPr>
                <w:rFonts w:ascii="Calibri" w:hAnsi="Calibri" w:cstheme="minorHAnsi"/>
                <w:color w:val="000000"/>
                <w:sz w:val="18"/>
                <w:szCs w:val="18"/>
                <w:vertAlign w:val="superscript"/>
                <w:lang w:val="en-US"/>
              </w:rPr>
              <w:t>th</w:t>
            </w:r>
            <w:r w:rsidRPr="00AF6261">
              <w:rPr>
                <w:rFonts w:ascii="Calibri" w:hAnsi="Calibri" w:cstheme="minorHAnsi"/>
                <w:color w:val="000000"/>
                <w:sz w:val="18"/>
                <w:szCs w:val="18"/>
                <w:lang w:val="en-US"/>
              </w:rPr>
              <w:t xml:space="preserve"> month, no FSH level change</w:t>
            </w:r>
          </w:p>
        </w:tc>
        <w:tc>
          <w:tcPr>
            <w:tcW w:w="2273" w:type="dxa"/>
            <w:tcBorders>
              <w:top w:val="single" w:sz="4" w:space="0" w:color="auto"/>
              <w:bottom w:val="single" w:sz="4" w:space="0" w:color="auto"/>
            </w:tcBorders>
            <w:vAlign w:val="center"/>
          </w:tcPr>
          <w:p w14:paraId="64ECD147" w14:textId="77777777" w:rsidR="00EB16FD" w:rsidRPr="003304AB" w:rsidRDefault="00EB16FD" w:rsidP="007F1961">
            <w:pPr>
              <w:jc w:val="center"/>
              <w:rPr>
                <w:sz w:val="18"/>
                <w:szCs w:val="18"/>
                <w:lang w:val="en-US"/>
              </w:rPr>
            </w:pPr>
            <w:r w:rsidRPr="000270BA">
              <w:rPr>
                <w:sz w:val="18"/>
                <w:szCs w:val="18"/>
                <w:lang w:val="en-US"/>
              </w:rPr>
              <w:t>Reduction, testosterone level (ID1613, ID1689, ID1612)</w:t>
            </w:r>
          </w:p>
        </w:tc>
        <w:tc>
          <w:tcPr>
            <w:tcW w:w="2386" w:type="dxa"/>
            <w:tcBorders>
              <w:top w:val="single" w:sz="4" w:space="0" w:color="auto"/>
              <w:bottom w:val="single" w:sz="4" w:space="0" w:color="auto"/>
            </w:tcBorders>
            <w:shd w:val="clear" w:color="auto" w:fill="auto"/>
            <w:vAlign w:val="center"/>
          </w:tcPr>
          <w:p w14:paraId="6C258C6C" w14:textId="4A1885E2"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Decreased sperm quantity or quality in the adult, Decreased fertility</w:t>
            </w:r>
          </w:p>
        </w:tc>
        <w:tc>
          <w:tcPr>
            <w:tcW w:w="851" w:type="dxa"/>
            <w:vMerge/>
            <w:tcBorders>
              <w:left w:val="nil"/>
              <w:right w:val="single" w:sz="4" w:space="0" w:color="auto"/>
            </w:tcBorders>
          </w:tcPr>
          <w:p w14:paraId="77890032"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4CFB4DE4"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79310C27"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69AC4022"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cBorders>
              <w:bottom w:val="single" w:sz="4" w:space="0" w:color="auto"/>
            </w:tcBorders>
            <w:textDirection w:val="btLr"/>
            <w:vAlign w:val="center"/>
          </w:tcPr>
          <w:p w14:paraId="10253DE2"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7FC3BF4B"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Histopathology</w:t>
            </w:r>
          </w:p>
        </w:tc>
        <w:tc>
          <w:tcPr>
            <w:tcW w:w="1703" w:type="dxa"/>
            <w:tcBorders>
              <w:top w:val="single" w:sz="4" w:space="0" w:color="auto"/>
              <w:bottom w:val="single" w:sz="4" w:space="0" w:color="auto"/>
            </w:tcBorders>
            <w:shd w:val="clear" w:color="auto" w:fill="auto"/>
            <w:vAlign w:val="center"/>
          </w:tcPr>
          <w:p w14:paraId="138EA94B"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Histopathology of testes by TEM</w:t>
            </w:r>
          </w:p>
        </w:tc>
        <w:tc>
          <w:tcPr>
            <w:tcW w:w="2010" w:type="dxa"/>
            <w:tcBorders>
              <w:top w:val="single" w:sz="4" w:space="0" w:color="auto"/>
              <w:bottom w:val="single" w:sz="4" w:space="0" w:color="auto"/>
            </w:tcBorders>
            <w:shd w:val="clear" w:color="auto" w:fill="auto"/>
            <w:vAlign w:val="center"/>
          </w:tcPr>
          <w:p w14:paraId="63015E43" w14:textId="29D4FB3B"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The spermatozoa decreases and have missed head shape</w:t>
            </w:r>
          </w:p>
          <w:p w14:paraId="468A1D23" w14:textId="6AB6CEE3"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The interstitial cells mostly appeared inactive, have a large vesicular nucleus and few cell organelles in the cytoplasm.</w:t>
            </w:r>
          </w:p>
        </w:tc>
        <w:tc>
          <w:tcPr>
            <w:tcW w:w="2273" w:type="dxa"/>
            <w:tcBorders>
              <w:top w:val="single" w:sz="4" w:space="0" w:color="auto"/>
              <w:bottom w:val="single" w:sz="4" w:space="0" w:color="auto"/>
            </w:tcBorders>
            <w:vAlign w:val="center"/>
          </w:tcPr>
          <w:p w14:paraId="3B8C97AA"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Testicular atrophy</w:t>
            </w:r>
          </w:p>
          <w:p w14:paraId="1BA32755"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bottom w:val="single" w:sz="4" w:space="0" w:color="auto"/>
            </w:tcBorders>
            <w:shd w:val="clear" w:color="auto" w:fill="auto"/>
            <w:vAlign w:val="center"/>
          </w:tcPr>
          <w:p w14:paraId="5D28A1CC"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7AD3F89B"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left w:val="nil"/>
              <w:bottom w:val="single" w:sz="4" w:space="0" w:color="auto"/>
              <w:right w:val="single" w:sz="4" w:space="0" w:color="auto"/>
            </w:tcBorders>
          </w:tcPr>
          <w:p w14:paraId="30F548EC"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7BE27CB9" w14:textId="77777777" w:rsidTr="007F1961">
        <w:trPr>
          <w:trHeight w:val="195"/>
        </w:trPr>
        <w:tc>
          <w:tcPr>
            <w:tcW w:w="1408" w:type="dxa"/>
            <w:vMerge w:val="restart"/>
            <w:tcBorders>
              <w:top w:val="single" w:sz="4" w:space="0" w:color="auto"/>
              <w:left w:val="single" w:sz="4" w:space="0" w:color="auto"/>
            </w:tcBorders>
            <w:shd w:val="clear" w:color="auto" w:fill="auto"/>
            <w:textDirection w:val="btLr"/>
            <w:vAlign w:val="center"/>
          </w:tcPr>
          <w:p w14:paraId="5FE7FA98" w14:textId="77777777" w:rsidR="00EB16FD" w:rsidRPr="00912134" w:rsidRDefault="00EB16FD" w:rsidP="00EB16FD">
            <w:pPr>
              <w:ind w:left="113" w:right="113"/>
              <w:jc w:val="center"/>
              <w:rPr>
                <w:rFonts w:ascii="Calibri" w:hAnsi="Calibri" w:cstheme="minorHAnsi"/>
                <w:color w:val="000000"/>
                <w:sz w:val="18"/>
                <w:szCs w:val="18"/>
              </w:rPr>
            </w:pPr>
            <w:r w:rsidRPr="00912134">
              <w:rPr>
                <w:rFonts w:ascii="Calibri" w:hAnsi="Calibri" w:cstheme="minorHAnsi"/>
                <w:color w:val="000000"/>
                <w:sz w:val="18"/>
                <w:szCs w:val="18"/>
              </w:rPr>
              <w:t>Size:60 nm,  Sigma-Aldrich</w:t>
            </w:r>
            <w:r>
              <w:rPr>
                <w:rFonts w:ascii="Calibri" w:hAnsi="Calibri" w:cstheme="minorHAnsi"/>
                <w:color w:val="000000"/>
                <w:sz w:val="18"/>
                <w:szCs w:val="18"/>
              </w:rPr>
              <w:t xml:space="preserve"> </w:t>
            </w:r>
            <w:r w:rsidRPr="00912134">
              <w:rPr>
                <w:rFonts w:ascii="Calibri" w:hAnsi="Calibri" w:cstheme="minorHAnsi"/>
                <w:color w:val="000000"/>
                <w:sz w:val="18"/>
                <w:szCs w:val="18"/>
              </w:rPr>
              <w:t>7</w:t>
            </w:r>
            <w:r>
              <w:rPr>
                <w:rFonts w:ascii="Calibri" w:hAnsi="Calibri" w:cstheme="minorHAnsi"/>
                <w:color w:val="000000"/>
                <w:sz w:val="18"/>
                <w:szCs w:val="18"/>
              </w:rPr>
              <w:t>30815</w:t>
            </w:r>
            <w:r w:rsidRPr="00912134">
              <w:rPr>
                <w:rFonts w:ascii="Calibri" w:hAnsi="Calibri" w:cstheme="minorHAnsi"/>
                <w:color w:val="000000"/>
                <w:sz w:val="18"/>
                <w:szCs w:val="18"/>
              </w:rPr>
              <w:t xml:space="preserve"> </w:t>
            </w:r>
          </w:p>
        </w:tc>
        <w:tc>
          <w:tcPr>
            <w:tcW w:w="1276" w:type="dxa"/>
            <w:vMerge w:val="restart"/>
            <w:tcBorders>
              <w:top w:val="single" w:sz="4" w:space="0" w:color="auto"/>
            </w:tcBorders>
            <w:shd w:val="clear" w:color="auto" w:fill="auto"/>
            <w:textDirection w:val="btLr"/>
            <w:vAlign w:val="center"/>
          </w:tcPr>
          <w:p w14:paraId="61858018"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Newly weaned male Wistar rats, Oral gavage</w:t>
            </w:r>
          </w:p>
        </w:tc>
        <w:tc>
          <w:tcPr>
            <w:tcW w:w="1275" w:type="dxa"/>
            <w:vMerge w:val="restart"/>
            <w:tcBorders>
              <w:top w:val="single" w:sz="4" w:space="0" w:color="auto"/>
            </w:tcBorders>
            <w:textDirection w:val="btLr"/>
            <w:vAlign w:val="center"/>
          </w:tcPr>
          <w:p w14:paraId="5990019E"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 xml:space="preserve">1.875, 3.750, 7.500, or 15 </w:t>
            </w:r>
            <w:r>
              <w:rPr>
                <w:rFonts w:ascii="Calibri" w:hAnsi="Calibri" w:cstheme="minorHAnsi"/>
                <w:color w:val="000000"/>
                <w:sz w:val="18"/>
                <w:szCs w:val="18"/>
              </w:rPr>
              <w:t>μ</w:t>
            </w:r>
            <w:r w:rsidRPr="00AF6261">
              <w:rPr>
                <w:rFonts w:ascii="Calibri" w:hAnsi="Calibri" w:cstheme="minorHAnsi"/>
                <w:color w:val="000000"/>
                <w:sz w:val="18"/>
                <w:szCs w:val="18"/>
                <w:lang w:val="en-US"/>
              </w:rPr>
              <w:t>g of</w:t>
            </w:r>
            <w:r w:rsidRPr="00AF6261">
              <w:rPr>
                <w:rFonts w:ascii="Calibri" w:hAnsi="Calibri" w:cstheme="minorHAnsi"/>
                <w:color w:val="000000"/>
                <w:sz w:val="18"/>
                <w:szCs w:val="18"/>
                <w:lang w:val="en-US"/>
              </w:rPr>
              <w:br/>
              <w:t>AgNP/kg bw PND23 to PND60</w:t>
            </w:r>
          </w:p>
        </w:tc>
        <w:tc>
          <w:tcPr>
            <w:tcW w:w="1668" w:type="dxa"/>
            <w:vMerge w:val="restart"/>
            <w:tcBorders>
              <w:top w:val="single" w:sz="4" w:space="0" w:color="auto"/>
            </w:tcBorders>
            <w:shd w:val="clear" w:color="auto" w:fill="auto"/>
            <w:vAlign w:val="center"/>
          </w:tcPr>
          <w:p w14:paraId="049AEFA1" w14:textId="77777777" w:rsidR="00EB16FD" w:rsidRPr="00F2011F" w:rsidRDefault="00EB16FD" w:rsidP="007F1961">
            <w:pPr>
              <w:jc w:val="center"/>
              <w:rPr>
                <w:rFonts w:ascii="Calibri" w:hAnsi="Calibri" w:cstheme="minorHAnsi"/>
                <w:color w:val="000000"/>
                <w:sz w:val="18"/>
                <w:szCs w:val="18"/>
              </w:rPr>
            </w:pPr>
            <w:r>
              <w:rPr>
                <w:rFonts w:ascii="Calibri" w:hAnsi="Calibri" w:cstheme="minorHAnsi"/>
                <w:color w:val="000000"/>
                <w:sz w:val="18"/>
                <w:szCs w:val="18"/>
              </w:rPr>
              <w:t>Oxidative Status</w:t>
            </w:r>
            <w:r w:rsidRPr="00F2011F">
              <w:rPr>
                <w:rFonts w:ascii="Calibri" w:hAnsi="Calibri" w:cstheme="minorHAnsi"/>
                <w:color w:val="000000"/>
                <w:sz w:val="18"/>
                <w:szCs w:val="18"/>
              </w:rPr>
              <w:t xml:space="preserve"> (testicular tissue)</w:t>
            </w:r>
          </w:p>
        </w:tc>
        <w:tc>
          <w:tcPr>
            <w:tcW w:w="1703" w:type="dxa"/>
            <w:tcBorders>
              <w:top w:val="single" w:sz="4" w:space="0" w:color="auto"/>
              <w:bottom w:val="single" w:sz="4" w:space="0" w:color="auto"/>
            </w:tcBorders>
            <w:shd w:val="clear" w:color="auto" w:fill="auto"/>
            <w:vAlign w:val="center"/>
          </w:tcPr>
          <w:p w14:paraId="46E7B62D"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GPX, GSR, and CAT activity by commercial kits</w:t>
            </w:r>
          </w:p>
        </w:tc>
        <w:tc>
          <w:tcPr>
            <w:tcW w:w="2010" w:type="dxa"/>
            <w:tcBorders>
              <w:top w:val="single" w:sz="4" w:space="0" w:color="auto"/>
              <w:bottom w:val="single" w:sz="4" w:space="0" w:color="auto"/>
            </w:tcBorders>
            <w:shd w:val="clear" w:color="auto" w:fill="auto"/>
            <w:vAlign w:val="center"/>
          </w:tcPr>
          <w:p w14:paraId="4244A926"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Increased GPX CAT activity, Decreased GSR activity</w:t>
            </w:r>
          </w:p>
        </w:tc>
        <w:tc>
          <w:tcPr>
            <w:tcW w:w="2273" w:type="dxa"/>
            <w:vMerge w:val="restart"/>
            <w:tcBorders>
              <w:top w:val="single" w:sz="4" w:space="0" w:color="auto"/>
            </w:tcBorders>
            <w:vAlign w:val="center"/>
          </w:tcPr>
          <w:p w14:paraId="5F19F79C" w14:textId="77777777" w:rsidR="00EB16FD" w:rsidRPr="00F2011F" w:rsidRDefault="00EB16FD" w:rsidP="007F1961">
            <w:pPr>
              <w:jc w:val="center"/>
              <w:rPr>
                <w:rFonts w:cstheme="minorHAnsi"/>
                <w:bCs/>
                <w:sz w:val="18"/>
                <w:szCs w:val="18"/>
                <w:lang w:val="en-US"/>
              </w:rPr>
            </w:pPr>
            <w:r w:rsidRPr="00F2011F">
              <w:rPr>
                <w:rFonts w:cstheme="minorHAnsi"/>
                <w:bCs/>
                <w:sz w:val="18"/>
                <w:szCs w:val="18"/>
                <w:lang w:val="en-US"/>
              </w:rPr>
              <w:t>Decreased protection against oxidative stress, Occurance oxidative stress (ID210, ID1112, ID1249, ID1538, ID1869)</w:t>
            </w:r>
          </w:p>
        </w:tc>
        <w:tc>
          <w:tcPr>
            <w:tcW w:w="2386" w:type="dxa"/>
            <w:vMerge w:val="restart"/>
            <w:tcBorders>
              <w:top w:val="single" w:sz="4" w:space="0" w:color="auto"/>
            </w:tcBorders>
            <w:shd w:val="clear" w:color="auto" w:fill="auto"/>
            <w:vAlign w:val="center"/>
          </w:tcPr>
          <w:p w14:paraId="023D0F97" w14:textId="77777777" w:rsidR="00EB16FD" w:rsidRPr="00F2011F" w:rsidRDefault="00EB16FD" w:rsidP="007F1961">
            <w:pPr>
              <w:spacing w:after="0" w:line="240" w:lineRule="auto"/>
              <w:jc w:val="center"/>
              <w:rPr>
                <w:rFonts w:eastAsia="Times New Roman" w:cstheme="minorHAnsi"/>
                <w:sz w:val="18"/>
                <w:szCs w:val="18"/>
                <w:lang w:eastAsia="fr-FR"/>
              </w:rPr>
            </w:pPr>
            <w:r w:rsidRPr="00F2011F">
              <w:rPr>
                <w:rFonts w:eastAsia="Times New Roman" w:cstheme="minorHAnsi"/>
                <w:sz w:val="18"/>
                <w:szCs w:val="18"/>
                <w:lang w:eastAsia="fr-FR"/>
              </w:rPr>
              <w:t>Oxidative Damage</w:t>
            </w:r>
          </w:p>
          <w:p w14:paraId="7B8BC741" w14:textId="77777777" w:rsidR="00EB16FD" w:rsidRPr="00F2011F" w:rsidRDefault="00EB16FD" w:rsidP="007F1961">
            <w:pPr>
              <w:spacing w:after="0" w:line="240" w:lineRule="auto"/>
              <w:jc w:val="center"/>
              <w:rPr>
                <w:rFonts w:eastAsia="Times New Roman" w:cstheme="minorHAnsi"/>
                <w:sz w:val="18"/>
                <w:szCs w:val="18"/>
                <w:lang w:eastAsia="fr-FR"/>
              </w:rPr>
            </w:pPr>
            <w:r w:rsidRPr="00F2011F">
              <w:rPr>
                <w:rFonts w:eastAsia="Times New Roman" w:cstheme="minorHAnsi"/>
                <w:sz w:val="18"/>
                <w:szCs w:val="18"/>
                <w:lang w:eastAsia="fr-FR"/>
              </w:rPr>
              <w:t>(ID356)</w:t>
            </w:r>
          </w:p>
        </w:tc>
        <w:tc>
          <w:tcPr>
            <w:tcW w:w="851" w:type="dxa"/>
            <w:vMerge w:val="restart"/>
            <w:tcBorders>
              <w:top w:val="single" w:sz="4" w:space="0" w:color="auto"/>
              <w:right w:val="single" w:sz="4" w:space="0" w:color="auto"/>
            </w:tcBorders>
            <w:vAlign w:val="center"/>
          </w:tcPr>
          <w:p w14:paraId="3C67F9AF" w14:textId="537C9B52"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{"citationItems":[{"id":"ITEM-1","itemData":{"DOI":"10.1021/acs.chemrestox.8b00281","ISSN":"15205010","PMID":"30931558","abstract":"Humans and environments are constantly exposed to a wide range of commercial products containing silver nanoparticles (AgNPs) in their composition. The hypothalamic-pituitary-testicular (HP-testicular) axis is sensitive to low doses of AgNPs with repercussions in sperm functionality. The oxidative stress may be related to the pathogenesis of sperm alterations because Ag+ ions are released from AgNPs in the corporal fluids. This study aimed to investigate the effects of AgNP exposure in the antioxidant defense system. For this, the transcript expression and the activity of catalase (CAT), superoxide dismutase (SOD), glutathione peroxidase (GPX), and glutathione reductase (GSR) enzymes were evaluated in the testis of rats exposed during the prepubertal period to increasing doses of AgNPs (1.875, 3.75, 7.5, or 15 μg of AgNPs/kg). The higher dose of AgNPs (15 μg/kg) investigated promoted increases in the activity of CAT, GPX, and GSR enzymes and in the expression of Gpx4 var1 transcript. The exposure to 7.5 μg/kg of AgNP increased the Gpx4 var1 mRNA expression. In the group that received 3.75 μg of AgNP/kg, the expression of Sod1, Gpx4 var2, and Gsr transcripts was decreased while the Gpx4 var1 mRNA expression was augmented. The lower dose of AgNPs tested (1.875 μg/kg) increased the expression of Cat and Gpx4 var1 transcripts. Thus, AgNP alters the expression and activity of the antioxidant enzymes in a nonmonotonic dose-response curve and directly or indirectly modulates the events related to spermatogenesis process.","author":[{"dropping-particle":"","family":"Lopes","given":"Ingra Monique Duarte","non-dropping-particle":"","parse-names":false,"suffix":""},{"dropping-particle":"","family":"Oliveira","given":"Isabela Medeiros","non-dropping-particle":"De","parse-names":false,"suffix":""},{"dropping-particle":"","family":"Bargi-Souza","given":"Paula","non-dropping-particle":"","parse-names":false,"suffix":""},{"dropping-particle":"","family":"Cavallin","given":"Mônica Degraf","non-dropping-particle":"","parse-names":false,"suffix":""},{"dropping-particle":"","family":"Kolc","given":"Christiane Schineider Mac Hado","non-dropping-particle":"","parse-names":false,"suffix":""},{"dropping-particle":"","family":"Khalil","given":"Najeh Maissar","non-dropping-particle":"","parse-names":false,"suffix":""},{"dropping-particle":"","family":"Quináia","given":"Sueli Pércio","non-dropping-particle":"","parse-names":false,"suffix":""},{"dropping-particle":"","family":"Romano","given":"Marco Aurelio","non-dropping-particle":"","parse-names":false,"suffix":""},{"dropping-particle":"","family":"Romano","given":"Renata Marino","non-dropping-particle":"","parse-names":false,"suffix":""}],"container-title":"Chemical Research in Toxicology","id":"ITEM-1","issue":"6","issued":{"date-parts":[["2019"]]},"page":"986-994","title":"Effects of Silver Nanoparticle Exposure to the Testicular Antioxidant System during the Prepubertal Rat Stage","type":"article-journal","volume":"32"},"uris":["http://www.mendeley.com/documents/?uuid=e39cd5ad-080f-463e-ac09-22fa6619cd42"]},{"id":"ITEM-2","itemData":{"DOI":"10.1039/c7tx00236j","ISSN":"20454538","abstract":"Silver nanoparticles (AgNPs) are widely used in industrial and medical applications and humans may be exposed through different routes, increasing the risk of toxicity. We investigated the transcript expression of genes involved in the regulation of the hypothalamic-pituitary-testicular (HPT) axis and the parameters associated with sperm functionality after prepubertal exposure. AgNPs modulated the transcript expression of genes involved in the control of the HPT axis and spermatogenesis in the groups treated with lower doses, while the functional parameters related to sperm and puberty were affected in the groups administered higher doses. These results suggest that the HPT axis is disrupted by AgNPs during the prepubertal and pubertal periods, which are highly susceptible windows for the endocrine-disrupting chemical activity.","author":[{"dropping-particle":"","family":"Cavallin","given":"M. D.","non-dropping-particle":"","parse-names":false,"suffix":""},{"dropping-particle":""</w:instrText>
            </w:r>
            <w:r w:rsidR="007F3FC3" w:rsidRPr="00AF6261">
              <w:rPr>
                <w:rFonts w:ascii="Calibri" w:eastAsia="Times New Roman" w:hAnsi="Calibri" w:cstheme="minorHAnsi"/>
                <w:color w:val="000000"/>
                <w:sz w:val="18"/>
                <w:szCs w:val="18"/>
                <w:lang w:val="en-US" w:eastAsia="fr-FR"/>
              </w:rPr>
              <w:instrText>,"family":"Wilk","given":"R.","non-dropping-particle":"","parse-names":false,"suffix":""},{"dropping-particle":"","family":"Oliveira","given":"I. M.","non-dropping-particle":"","parse-names":false,"suffix":""},{"dropping-particle":"","family":"Cardoso","given":"N. C.S.","non-dropping-particle":"","parse-names":false,"suffix":""},{"dropping-particle":"","family":"Khalil","given":"N. M.","non-dropping-particle":"","parse-names":false,"suffix":""},{"dropping-particle":"","family":"Oliveira","given":"C. A.","non-dropping-particle":"","parse-names":false,"suffix":""},{"dropping-particle":"","family":"Romano","given":"M. A.","non-dropping-particle":"","parse-names":false,"suffix":""},{"dropping-particle":"","family":"Romano","given":"R. M.","non-dropping-particle":"","parse-names":false,"suffix":""}],"container-title":"Toxicology Research","id":"ITEM-2","issue":"1","issued":{"date-parts":[["2018"]]},"page":"102-116","publisher":"Royal Society of Chemistry","title":"The hypothalamic-pituitary-testicular axis and the testicular function are modulated after silver nanoparticle exposure","type":"article-journal","volume":"7"},"uris":["http://www.mendeley.com/documents/?uuid=5c7b3c42-f1bc-4ec1-9660-198f3280aff3"]}],"mendeley":{"formattedCitation":"(16,17)","plainTextFormattedCitation":"(16,17)","previouslyFormattedCitation":"(Cavallin et al. 2018; Lopes et al. 2019)"},"properties":{"noteIndex":0},"schema":"https://github.com/citation-style-language/schema/raw/master/csl-citation.json"}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(16,17)</w:t>
            </w:r>
            <w:r w:rsidRPr="00912134">
              <w:rPr>
                <w:rFonts w:ascii="Calibri" w:eastAsia="Times New Roman" w:hAnsi="Calibri" w:cstheme="minorHAnsi"/>
                <w:color w:val="000000"/>
                <w:sz w:val="18"/>
                <w:szCs w:val="18"/>
                <w:lang w:eastAsia="fr-FR"/>
              </w:rPr>
              <w:fldChar w:fldCharType="end"/>
            </w:r>
          </w:p>
        </w:tc>
      </w:tr>
      <w:tr w:rsidR="00EB16FD" w:rsidRPr="00DC5D76" w14:paraId="4D26A9F1" w14:textId="77777777" w:rsidTr="007F1961">
        <w:trPr>
          <w:trHeight w:val="899"/>
        </w:trPr>
        <w:tc>
          <w:tcPr>
            <w:tcW w:w="1408" w:type="dxa"/>
            <w:vMerge/>
            <w:tcBorders>
              <w:left w:val="single" w:sz="4" w:space="0" w:color="auto"/>
            </w:tcBorders>
            <w:shd w:val="clear" w:color="auto" w:fill="auto"/>
            <w:textDirection w:val="btLr"/>
            <w:vAlign w:val="center"/>
          </w:tcPr>
          <w:p w14:paraId="3AD7B05B"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7F95634E"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extDirection w:val="btLr"/>
            <w:vAlign w:val="center"/>
          </w:tcPr>
          <w:p w14:paraId="210F95C8"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668" w:type="dxa"/>
            <w:vMerge/>
            <w:tcBorders>
              <w:bottom w:val="single" w:sz="4" w:space="0" w:color="auto"/>
            </w:tcBorders>
            <w:shd w:val="clear" w:color="auto" w:fill="auto"/>
            <w:vAlign w:val="center"/>
          </w:tcPr>
          <w:p w14:paraId="6DF1E99A" w14:textId="77777777" w:rsidR="00EB16FD" w:rsidRPr="00AF6261" w:rsidRDefault="00EB16FD" w:rsidP="007F1961">
            <w:pPr>
              <w:jc w:val="center"/>
              <w:rPr>
                <w:rFonts w:ascii="Calibri" w:hAnsi="Calibri" w:cstheme="minorHAnsi"/>
                <w:color w:val="000000"/>
                <w:sz w:val="18"/>
                <w:szCs w:val="18"/>
                <w:lang w:val="en-US"/>
              </w:rPr>
            </w:pPr>
          </w:p>
        </w:tc>
        <w:tc>
          <w:tcPr>
            <w:tcW w:w="1703" w:type="dxa"/>
            <w:tcBorders>
              <w:top w:val="single" w:sz="4" w:space="0" w:color="auto"/>
              <w:bottom w:val="single" w:sz="4" w:space="0" w:color="auto"/>
            </w:tcBorders>
            <w:shd w:val="clear" w:color="auto" w:fill="auto"/>
            <w:vAlign w:val="center"/>
          </w:tcPr>
          <w:p w14:paraId="749BB1E0"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Sod1, Cat, Gsr expression by RT-qPCR</w:t>
            </w:r>
          </w:p>
        </w:tc>
        <w:tc>
          <w:tcPr>
            <w:tcW w:w="2010" w:type="dxa"/>
            <w:tcBorders>
              <w:top w:val="single" w:sz="4" w:space="0" w:color="auto"/>
              <w:bottom w:val="single" w:sz="4" w:space="0" w:color="auto"/>
            </w:tcBorders>
            <w:shd w:val="clear" w:color="auto" w:fill="auto"/>
            <w:vAlign w:val="center"/>
          </w:tcPr>
          <w:p w14:paraId="1403E52D" w14:textId="022BCD1C"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 xml:space="preserve">Decreased, Gsr mRNA content, Sod1 transcript </w:t>
            </w:r>
            <w:r w:rsidRPr="00AF6261">
              <w:rPr>
                <w:rFonts w:ascii="Calibri" w:hAnsi="Calibri" w:cstheme="minorHAnsi"/>
                <w:color w:val="000000"/>
                <w:sz w:val="18"/>
                <w:szCs w:val="18"/>
                <w:lang w:val="en-US"/>
              </w:rPr>
              <w:lastRenderedPageBreak/>
              <w:t>was reduced, Increased Cat transcript</w:t>
            </w:r>
          </w:p>
        </w:tc>
        <w:tc>
          <w:tcPr>
            <w:tcW w:w="2273" w:type="dxa"/>
            <w:vMerge/>
            <w:tcBorders>
              <w:bottom w:val="single" w:sz="4" w:space="0" w:color="auto"/>
            </w:tcBorders>
            <w:vAlign w:val="center"/>
          </w:tcPr>
          <w:p w14:paraId="747B9A21" w14:textId="77777777" w:rsidR="00EB16FD" w:rsidRPr="00AF6261" w:rsidRDefault="00EB16FD" w:rsidP="007F1961">
            <w:pPr>
              <w:jc w:val="center"/>
              <w:rPr>
                <w:rFonts w:ascii="Calibri" w:hAnsi="Calibri" w:cstheme="minorHAnsi"/>
                <w:sz w:val="18"/>
                <w:szCs w:val="18"/>
                <w:highlight w:val="yellow"/>
                <w:lang w:val="en-US"/>
              </w:rPr>
            </w:pPr>
          </w:p>
        </w:tc>
        <w:tc>
          <w:tcPr>
            <w:tcW w:w="2386" w:type="dxa"/>
            <w:vMerge/>
            <w:tcBorders>
              <w:bottom w:val="single" w:sz="4" w:space="0" w:color="auto"/>
            </w:tcBorders>
            <w:shd w:val="clear" w:color="auto" w:fill="auto"/>
            <w:vAlign w:val="center"/>
          </w:tcPr>
          <w:p w14:paraId="44D4D953" w14:textId="77777777" w:rsidR="00EB16FD" w:rsidRPr="00AF6261" w:rsidRDefault="00EB16FD" w:rsidP="007F1961">
            <w:pPr>
              <w:jc w:val="center"/>
              <w:rPr>
                <w:rFonts w:ascii="Calibri" w:hAnsi="Calibri" w:cstheme="minorHAnsi"/>
                <w:b/>
                <w:sz w:val="18"/>
                <w:szCs w:val="18"/>
                <w:highlight w:val="yellow"/>
                <w:lang w:val="en-US"/>
              </w:rPr>
            </w:pPr>
          </w:p>
        </w:tc>
        <w:tc>
          <w:tcPr>
            <w:tcW w:w="851" w:type="dxa"/>
            <w:vMerge/>
            <w:tcBorders>
              <w:right w:val="single" w:sz="4" w:space="0" w:color="auto"/>
            </w:tcBorders>
          </w:tcPr>
          <w:p w14:paraId="34A23060"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68A604DF" w14:textId="77777777" w:rsidTr="007F1961">
        <w:trPr>
          <w:trHeight w:val="899"/>
        </w:trPr>
        <w:tc>
          <w:tcPr>
            <w:tcW w:w="1408" w:type="dxa"/>
            <w:vMerge/>
            <w:tcBorders>
              <w:left w:val="single" w:sz="4" w:space="0" w:color="auto"/>
              <w:bottom w:val="single" w:sz="4" w:space="0" w:color="auto"/>
            </w:tcBorders>
            <w:shd w:val="clear" w:color="auto" w:fill="auto"/>
            <w:textDirection w:val="btLr"/>
            <w:vAlign w:val="center"/>
          </w:tcPr>
          <w:p w14:paraId="5F525EF0"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7610F59A"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cBorders>
              <w:bottom w:val="single" w:sz="4" w:space="0" w:color="auto"/>
            </w:tcBorders>
            <w:textDirection w:val="btLr"/>
            <w:vAlign w:val="center"/>
          </w:tcPr>
          <w:p w14:paraId="03AAFBAD"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668" w:type="dxa"/>
            <w:tcBorders>
              <w:bottom w:val="single" w:sz="4" w:space="0" w:color="auto"/>
            </w:tcBorders>
            <w:shd w:val="clear" w:color="auto" w:fill="auto"/>
            <w:vAlign w:val="center"/>
          </w:tcPr>
          <w:p w14:paraId="5185D086"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159D72C2"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function: acrosome integrity, plasma membrane integrity, mitochondrial activity</w:t>
            </w:r>
          </w:p>
        </w:tc>
        <w:tc>
          <w:tcPr>
            <w:tcW w:w="2010" w:type="dxa"/>
            <w:tcBorders>
              <w:top w:val="single" w:sz="4" w:space="0" w:color="auto"/>
              <w:bottom w:val="single" w:sz="4" w:space="0" w:color="auto"/>
            </w:tcBorders>
            <w:shd w:val="clear" w:color="auto" w:fill="auto"/>
            <w:vAlign w:val="center"/>
          </w:tcPr>
          <w:p w14:paraId="54483A4B" w14:textId="77777777" w:rsidR="00EB16FD" w:rsidRPr="00AF6261" w:rsidRDefault="00EB16FD" w:rsidP="007F1961">
            <w:pPr>
              <w:jc w:val="center"/>
              <w:rPr>
                <w:rFonts w:ascii="Calibri" w:hAnsi="Calibri"/>
                <w:sz w:val="18"/>
                <w:szCs w:val="18"/>
                <w:lang w:val="en-US"/>
              </w:rPr>
            </w:pPr>
            <w:r w:rsidRPr="00AF6261">
              <w:rPr>
                <w:rFonts w:ascii="Calibri" w:hAnsi="Calibri"/>
                <w:sz w:val="18"/>
                <w:szCs w:val="18"/>
                <w:lang w:val="en-US"/>
              </w:rPr>
              <w:t xml:space="preserve">Reduced  acrosome integrity (15 </w:t>
            </w:r>
            <w:r w:rsidRPr="00775949">
              <w:rPr>
                <w:rFonts w:ascii="Calibri" w:hAnsi="Calibri"/>
                <w:sz w:val="18"/>
                <w:szCs w:val="18"/>
              </w:rPr>
              <w:t>μ</w:t>
            </w:r>
            <w:r w:rsidRPr="00AF6261">
              <w:rPr>
                <w:rFonts w:ascii="Calibri" w:hAnsi="Calibri"/>
                <w:sz w:val="18"/>
                <w:szCs w:val="18"/>
                <w:lang w:val="en-US"/>
              </w:rPr>
              <w:t>g) unchanged the plasma membrane integrity and the sperm morphology</w:t>
            </w:r>
            <w:r w:rsidRPr="00AF6261">
              <w:rPr>
                <w:rFonts w:ascii="Calibri" w:hAnsi="Calibri"/>
                <w:sz w:val="18"/>
                <w:szCs w:val="18"/>
                <w:lang w:val="en-US"/>
              </w:rPr>
              <w:br/>
              <w:t xml:space="preserve">Decreased the mitochondrial activity ( 7.5 and 15 </w:t>
            </w:r>
            <w:r w:rsidRPr="00775949">
              <w:rPr>
                <w:rFonts w:ascii="Calibri" w:hAnsi="Calibri"/>
                <w:sz w:val="18"/>
                <w:szCs w:val="18"/>
              </w:rPr>
              <w:t>μ</w:t>
            </w:r>
            <w:r w:rsidRPr="00AF6261">
              <w:rPr>
                <w:rFonts w:ascii="Calibri" w:hAnsi="Calibri"/>
                <w:sz w:val="18"/>
                <w:szCs w:val="18"/>
                <w:lang w:val="en-US"/>
              </w:rPr>
              <w:t>g)</w:t>
            </w:r>
          </w:p>
        </w:tc>
        <w:tc>
          <w:tcPr>
            <w:tcW w:w="2273" w:type="dxa"/>
            <w:tcBorders>
              <w:bottom w:val="single" w:sz="4" w:space="0" w:color="auto"/>
            </w:tcBorders>
            <w:vAlign w:val="center"/>
          </w:tcPr>
          <w:p w14:paraId="71F12376"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bottom w:val="single" w:sz="4" w:space="0" w:color="auto"/>
            </w:tcBorders>
            <w:shd w:val="clear" w:color="auto" w:fill="auto"/>
            <w:vAlign w:val="center"/>
          </w:tcPr>
          <w:p w14:paraId="4AEA6C5D"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1E4C076D"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tcBorders>
              <w:bottom w:val="single" w:sz="4" w:space="0" w:color="auto"/>
              <w:right w:val="single" w:sz="4" w:space="0" w:color="auto"/>
            </w:tcBorders>
          </w:tcPr>
          <w:p w14:paraId="65C599B1"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20B5376A" w14:textId="77777777" w:rsidTr="007F1961">
        <w:trPr>
          <w:trHeight w:val="195"/>
        </w:trPr>
        <w:tc>
          <w:tcPr>
            <w:tcW w:w="1408" w:type="dxa"/>
            <w:vMerge w:val="restart"/>
            <w:tcBorders>
              <w:top w:val="single" w:sz="4" w:space="0" w:color="auto"/>
              <w:left w:val="single" w:sz="4" w:space="0" w:color="auto"/>
            </w:tcBorders>
            <w:shd w:val="clear" w:color="auto" w:fill="auto"/>
            <w:textDirection w:val="btLr"/>
            <w:vAlign w:val="center"/>
          </w:tcPr>
          <w:p w14:paraId="4415DC97"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 xml:space="preserve">Size: 21 - 41 nm (PVP coated),  Shape: Spherical Hydrodynamic size : 90 nm in FBS Zeta potential : 135 mV in FBS </w:t>
            </w:r>
          </w:p>
          <w:p w14:paraId="15BC772E"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val="restart"/>
            <w:tcBorders>
              <w:top w:val="single" w:sz="4" w:space="0" w:color="auto"/>
            </w:tcBorders>
            <w:shd w:val="clear" w:color="auto" w:fill="auto"/>
            <w:textDirection w:val="btLr"/>
            <w:vAlign w:val="center"/>
          </w:tcPr>
          <w:p w14:paraId="7A34EFE2"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BALB/c  mice, intraperitoneally</w:t>
            </w:r>
          </w:p>
        </w:tc>
        <w:tc>
          <w:tcPr>
            <w:tcW w:w="1275" w:type="dxa"/>
            <w:vMerge w:val="restart"/>
            <w:tcBorders>
              <w:top w:val="single" w:sz="4" w:space="0" w:color="auto"/>
            </w:tcBorders>
            <w:textDirection w:val="btLr"/>
            <w:vAlign w:val="center"/>
          </w:tcPr>
          <w:p w14:paraId="5BE39893"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0.25, 0.5 and 1 mg Ag NPs/kg bw</w:t>
            </w:r>
          </w:p>
          <w:p w14:paraId="456139C3"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9 day</w:t>
            </w:r>
          </w:p>
        </w:tc>
        <w:tc>
          <w:tcPr>
            <w:tcW w:w="1668" w:type="dxa"/>
            <w:tcBorders>
              <w:top w:val="single" w:sz="4" w:space="0" w:color="auto"/>
              <w:bottom w:val="single" w:sz="4" w:space="0" w:color="auto"/>
            </w:tcBorders>
            <w:shd w:val="clear" w:color="auto" w:fill="auto"/>
            <w:vAlign w:val="center"/>
          </w:tcPr>
          <w:p w14:paraId="3DF1B911"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7D55A919"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Sperm morphology, concentation,  motility by eosin-nigrosin staining</w:t>
            </w:r>
          </w:p>
        </w:tc>
        <w:tc>
          <w:tcPr>
            <w:tcW w:w="2010" w:type="dxa"/>
            <w:tcBorders>
              <w:top w:val="single" w:sz="4" w:space="0" w:color="auto"/>
              <w:bottom w:val="single" w:sz="4" w:space="0" w:color="auto"/>
            </w:tcBorders>
            <w:shd w:val="clear" w:color="auto" w:fill="auto"/>
            <w:vAlign w:val="center"/>
          </w:tcPr>
          <w:p w14:paraId="5A4521CF"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Increased sperm morphological abnormalities dose dependent Decrease sperm viablity and motility</w:t>
            </w:r>
          </w:p>
        </w:tc>
        <w:tc>
          <w:tcPr>
            <w:tcW w:w="2273" w:type="dxa"/>
            <w:tcBorders>
              <w:top w:val="single" w:sz="4" w:space="0" w:color="auto"/>
              <w:bottom w:val="single" w:sz="4" w:space="0" w:color="auto"/>
            </w:tcBorders>
            <w:vAlign w:val="center"/>
          </w:tcPr>
          <w:p w14:paraId="292EFA9C"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0A51088B"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61C1761D"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val="restart"/>
            <w:tcBorders>
              <w:top w:val="single" w:sz="4" w:space="0" w:color="auto"/>
              <w:right w:val="single" w:sz="4" w:space="0" w:color="auto"/>
            </w:tcBorders>
            <w:vAlign w:val="center"/>
          </w:tcPr>
          <w:p w14:paraId="55DD2A86" w14:textId="2C6E198D"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{"citationItems":[{"id":"ITEM-1","itemData":{"DOI":"10.1016/j.lfs.2018.09.001","ISSN":"18790631","PMID":"30189219","abstract":"Aim: The main purpose of the current study was to evaluate the toxicity of silver nanoparticles (Ag NPs) on adult Balb/C mice. Main methods: Twenty five Balb/C mice purchased and divided into four groups of five. Group one serves as control and injected by normal saline; group's two to four were injected by Ag NPs at 0.25, 0.50 and 1 mg/kg, re</w:instrText>
            </w:r>
            <w:r w:rsidR="007F3FC3">
              <w:rPr>
                <w:rFonts w:ascii="Calibri" w:eastAsia="Times New Roman" w:hAnsi="Calibri" w:cstheme="minorHAnsi"/>
                <w:color w:val="000000"/>
                <w:sz w:val="18"/>
                <w:szCs w:val="18"/>
                <w:lang w:eastAsia="fr-FR"/>
              </w:rPr>
              <w:instrText>spectively. Key findings: Overall, current results indicate that all concentration of Ag NPs have potential for induction of toxicity in different tissues. Ag NPs at concentration &gt;0.25 mg/kg result in pathological changes in liver, spleen, brain, heart, lungs, kidneys, and testicles tissues; as well as it lead to significant change in sperm quality and quantity, and blood brain barrier (BBB) permeability. Ag NPs at the lowest concentration (0.25 mg/kg) significantly changed the oxidative stress levels in serum and liver tissue but did not change the level of liver enzymes and renal markers in serum. Significance: The current research results support clearly the toxic effects of Ag NPs at very low concentration and suggest that further in vivo investigation are required to be able to confirm the safety of nanoparticle derived application to use in life.","author":[{"dropping-particle":"","family":"Moradi-Sardareh","given":"Hemen","non-dropping-particle":"","parse-names":false,"suffix":""},{"dropping-particle":"","family":"Basir","given":"Hamid Reza Ghasemi","non-dropping-particle":"","parse-names":false,"suffix":""},{"dropping-particle":"","family":"Hassan","given":"Zuhair Mohammad","non-dropping-particle":"","parse-names":false,"suffix":""},{"dropping-particle":"","family":"Davoudi","given":"Maryam","non-dropping-particle":"","parse-names":false,"suffix":""},{"dropping-particle":"","family":"Amidi","given":"Fardin","non-dropping-par</w:instrText>
            </w:r>
            <w:r w:rsidR="007F3FC3" w:rsidRPr="00AF6261">
              <w:rPr>
                <w:rFonts w:ascii="Calibri" w:eastAsia="Times New Roman" w:hAnsi="Calibri" w:cstheme="minorHAnsi"/>
                <w:color w:val="000000"/>
                <w:sz w:val="18"/>
                <w:szCs w:val="18"/>
                <w:lang w:val="en-US" w:eastAsia="fr-FR"/>
              </w:rPr>
              <w:instrText>ticle":"","parse-names":false,"suffix":""},{"dropping-particle":"","family":"Paknejad","given":"Maliheh","non-dropping-particle":"","parse-names":false,"suffix":""}],"container-title":"Life Sciences","id":"ITEM-1","issued":{"date-parts":[["2018","10","15"]]},"note":"Discussion\n\nThe proposed mechanisms contributing to the toxicity of Ag NPs include oxidative stress; damage to DNA/proteins/fatty acids; and triggering different types of cell death (apoptosis and necrosis)\n\nMore broadly, some research are needed to determine the toxic ef-fects of NPs on inflammation markers, immune system and other sys-tematic control systems such as endocrine and nervous systems. It is\nalso recommended the annual checkup for monitoring the health status\nin more prone tissues of individuals who are at risk of NPs exposure.\n\n\nThis study clearly demonstrated that Ag NPs at high doses easily lead to the increase in BBB permeability facilitating the entrée of nanoparticles into the brain.","page":"81-90","publisher":"Elsevier Inc.","title":"Toxicity of silver nanoparticles on different tissues of Balb/C mice","type":"article-journal","volume":"211"},"uris":["http://www.mendeley.com/documents/?uuid=e1c7cb2f-9ead-328e-8669-0c8d4e3eeb49"]}],"mendeley":{"formattedCitation":"(18)","plainTextFormattedCitation":"(18)","previouslyFormattedCitation":"(Moradi-Sardareh et al. 2018)"},"properties":{"noteIndex":0},"schema":"https://github.com/citation-style-language/schema/raw/master/csl-citation.json"}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(18)</w:t>
            </w:r>
            <w:r w:rsidRPr="00912134">
              <w:rPr>
                <w:rFonts w:ascii="Calibri" w:eastAsia="Times New Roman" w:hAnsi="Calibri" w:cstheme="minorHAnsi"/>
                <w:color w:val="000000"/>
                <w:sz w:val="18"/>
                <w:szCs w:val="18"/>
                <w:lang w:eastAsia="fr-FR"/>
              </w:rPr>
              <w:fldChar w:fldCharType="end"/>
            </w:r>
          </w:p>
        </w:tc>
      </w:tr>
      <w:tr w:rsidR="00EB16FD" w:rsidRPr="00DC5D76" w14:paraId="318D9D70" w14:textId="77777777" w:rsidTr="007F1961">
        <w:trPr>
          <w:trHeight w:val="1516"/>
        </w:trPr>
        <w:tc>
          <w:tcPr>
            <w:tcW w:w="1408" w:type="dxa"/>
            <w:vMerge/>
            <w:tcBorders>
              <w:left w:val="single" w:sz="4" w:space="0" w:color="auto"/>
            </w:tcBorders>
            <w:shd w:val="clear" w:color="auto" w:fill="auto"/>
            <w:textDirection w:val="btLr"/>
            <w:vAlign w:val="center"/>
          </w:tcPr>
          <w:p w14:paraId="631BA417"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3672E43E"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extDirection w:val="btLr"/>
            <w:vAlign w:val="center"/>
          </w:tcPr>
          <w:p w14:paraId="70AAE8DA" w14:textId="77777777" w:rsidR="00EB16FD" w:rsidRPr="00AF6261" w:rsidRDefault="00EB16FD" w:rsidP="00EB16FD">
            <w:pPr>
              <w:ind w:left="113" w:right="113"/>
              <w:jc w:val="center"/>
              <w:rPr>
                <w:rFonts w:ascii="Calibri" w:hAnsi="Calibri" w:cstheme="minorHAnsi"/>
                <w:sz w:val="18"/>
                <w:szCs w:val="18"/>
                <w:lang w:val="en-US"/>
              </w:rPr>
            </w:pPr>
          </w:p>
        </w:tc>
        <w:tc>
          <w:tcPr>
            <w:tcW w:w="1668" w:type="dxa"/>
            <w:tcBorders>
              <w:top w:val="single" w:sz="4" w:space="0" w:color="auto"/>
            </w:tcBorders>
            <w:shd w:val="clear" w:color="auto" w:fill="auto"/>
            <w:vAlign w:val="center"/>
          </w:tcPr>
          <w:p w14:paraId="67B3D43A"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Oxidative Status (testicular tissue)</w:t>
            </w:r>
          </w:p>
        </w:tc>
        <w:tc>
          <w:tcPr>
            <w:tcW w:w="1703" w:type="dxa"/>
            <w:tcBorders>
              <w:top w:val="single" w:sz="4" w:space="0" w:color="auto"/>
            </w:tcBorders>
            <w:shd w:val="clear" w:color="auto" w:fill="auto"/>
            <w:vAlign w:val="center"/>
          </w:tcPr>
          <w:p w14:paraId="78E19799"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Total antioxidant capacity (TAC) level, MDA level</w:t>
            </w:r>
          </w:p>
        </w:tc>
        <w:tc>
          <w:tcPr>
            <w:tcW w:w="2010" w:type="dxa"/>
            <w:tcBorders>
              <w:top w:val="single" w:sz="4" w:space="0" w:color="auto"/>
            </w:tcBorders>
            <w:shd w:val="clear" w:color="auto" w:fill="auto"/>
            <w:vAlign w:val="center"/>
          </w:tcPr>
          <w:p w14:paraId="0181C352"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Increased  MDA, decreased TAC level</w:t>
            </w:r>
          </w:p>
        </w:tc>
        <w:tc>
          <w:tcPr>
            <w:tcW w:w="2273" w:type="dxa"/>
            <w:tcBorders>
              <w:top w:val="single" w:sz="4" w:space="0" w:color="auto"/>
            </w:tcBorders>
            <w:vAlign w:val="center"/>
          </w:tcPr>
          <w:p w14:paraId="6A2EC248"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Occurance oxidative stress (ID210, ID1112, ID1249, ID1538, ID1869)</w:t>
            </w:r>
          </w:p>
          <w:p w14:paraId="1EE0256B"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tcBorders>
            <w:shd w:val="clear" w:color="auto" w:fill="auto"/>
            <w:vAlign w:val="center"/>
          </w:tcPr>
          <w:p w14:paraId="18082FF9" w14:textId="65685B33"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Oxidative Damage</w:t>
            </w:r>
          </w:p>
          <w:p w14:paraId="0D251C7B"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(ID356)</w:t>
            </w:r>
          </w:p>
        </w:tc>
        <w:tc>
          <w:tcPr>
            <w:tcW w:w="851" w:type="dxa"/>
            <w:vMerge/>
            <w:tcBorders>
              <w:right w:val="single" w:sz="4" w:space="0" w:color="auto"/>
            </w:tcBorders>
          </w:tcPr>
          <w:p w14:paraId="63C256ED"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7B081FEC" w14:textId="77777777" w:rsidTr="007F1961">
        <w:trPr>
          <w:trHeight w:val="2571"/>
        </w:trPr>
        <w:tc>
          <w:tcPr>
            <w:tcW w:w="1408" w:type="dxa"/>
            <w:vMerge/>
            <w:tcBorders>
              <w:left w:val="single" w:sz="4" w:space="0" w:color="auto"/>
              <w:bottom w:val="nil"/>
            </w:tcBorders>
            <w:shd w:val="clear" w:color="auto" w:fill="auto"/>
            <w:textDirection w:val="btLr"/>
            <w:vAlign w:val="bottom"/>
          </w:tcPr>
          <w:p w14:paraId="20DD9546"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tcBorders>
              <w:bottom w:val="nil"/>
            </w:tcBorders>
            <w:shd w:val="clear" w:color="auto" w:fill="auto"/>
            <w:textDirection w:val="btLr"/>
            <w:vAlign w:val="center"/>
          </w:tcPr>
          <w:p w14:paraId="6FB4721F"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cBorders>
              <w:bottom w:val="nil"/>
            </w:tcBorders>
            <w:textDirection w:val="btLr"/>
            <w:vAlign w:val="center"/>
          </w:tcPr>
          <w:p w14:paraId="788B0B57" w14:textId="77777777" w:rsidR="00EB16FD" w:rsidRPr="00AF6261" w:rsidRDefault="00EB16FD" w:rsidP="00EB16FD">
            <w:pPr>
              <w:ind w:left="113" w:right="113"/>
              <w:jc w:val="center"/>
              <w:rPr>
                <w:rFonts w:ascii="Calibri" w:hAnsi="Calibri" w:cstheme="minorHAnsi"/>
                <w:sz w:val="18"/>
                <w:szCs w:val="18"/>
                <w:lang w:val="en-US"/>
              </w:rPr>
            </w:pPr>
          </w:p>
        </w:tc>
        <w:tc>
          <w:tcPr>
            <w:tcW w:w="1668" w:type="dxa"/>
            <w:vMerge w:val="restart"/>
            <w:tcBorders>
              <w:top w:val="single" w:sz="4" w:space="0" w:color="auto"/>
              <w:bottom w:val="nil"/>
            </w:tcBorders>
            <w:shd w:val="clear" w:color="auto" w:fill="auto"/>
            <w:vAlign w:val="center"/>
          </w:tcPr>
          <w:p w14:paraId="093F0105"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Histopathology</w:t>
            </w:r>
          </w:p>
        </w:tc>
        <w:tc>
          <w:tcPr>
            <w:tcW w:w="1703" w:type="dxa"/>
            <w:vMerge w:val="restart"/>
            <w:tcBorders>
              <w:top w:val="single" w:sz="4" w:space="0" w:color="auto"/>
              <w:bottom w:val="nil"/>
            </w:tcBorders>
            <w:shd w:val="clear" w:color="auto" w:fill="auto"/>
            <w:vAlign w:val="center"/>
          </w:tcPr>
          <w:p w14:paraId="5116CC65"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Histopathology of testes</w:t>
            </w:r>
          </w:p>
        </w:tc>
        <w:tc>
          <w:tcPr>
            <w:tcW w:w="2010" w:type="dxa"/>
            <w:vMerge w:val="restart"/>
            <w:tcBorders>
              <w:top w:val="single" w:sz="4" w:space="0" w:color="auto"/>
              <w:bottom w:val="nil"/>
            </w:tcBorders>
            <w:shd w:val="clear" w:color="auto" w:fill="auto"/>
            <w:vAlign w:val="center"/>
          </w:tcPr>
          <w:p w14:paraId="72AC25A4"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Few necrotic spermatogonial cells at 0.25 mg/kg Ag NPs; moderate testicular degeneration and necrosis of spermatogonial cells 0.50 mg/kg Ag NPs; and severe testicular degeneration and complete necrosis of spermatogonial cells 1 mg/kg Ag NPs.</w:t>
            </w:r>
          </w:p>
        </w:tc>
        <w:tc>
          <w:tcPr>
            <w:tcW w:w="2273" w:type="dxa"/>
            <w:tcBorders>
              <w:top w:val="single" w:sz="4" w:space="0" w:color="auto"/>
              <w:bottom w:val="nil"/>
            </w:tcBorders>
            <w:vAlign w:val="center"/>
          </w:tcPr>
          <w:p w14:paraId="512CF472"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44AA9A99"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(ID1506)</w:t>
            </w:r>
          </w:p>
        </w:tc>
        <w:tc>
          <w:tcPr>
            <w:tcW w:w="2386" w:type="dxa"/>
            <w:vMerge w:val="restart"/>
            <w:tcBorders>
              <w:top w:val="single" w:sz="4" w:space="0" w:color="auto"/>
              <w:bottom w:val="nil"/>
            </w:tcBorders>
            <w:shd w:val="clear" w:color="auto" w:fill="auto"/>
            <w:vAlign w:val="center"/>
          </w:tcPr>
          <w:p w14:paraId="5FF9A99C"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07ECB133"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right w:val="single" w:sz="4" w:space="0" w:color="auto"/>
            </w:tcBorders>
          </w:tcPr>
          <w:p w14:paraId="1E5697BE"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753FCD53"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bottom"/>
          </w:tcPr>
          <w:p w14:paraId="01BDA104"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62D6C8BA"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cBorders>
              <w:bottom w:val="single" w:sz="4" w:space="0" w:color="auto"/>
            </w:tcBorders>
            <w:textDirection w:val="btLr"/>
            <w:vAlign w:val="center"/>
          </w:tcPr>
          <w:p w14:paraId="64DF8334" w14:textId="77777777" w:rsidR="00EB16FD" w:rsidRPr="00AF6261" w:rsidRDefault="00EB16FD" w:rsidP="00EB16FD">
            <w:pPr>
              <w:ind w:left="113" w:right="113"/>
              <w:jc w:val="center"/>
              <w:rPr>
                <w:rFonts w:ascii="Calibri" w:hAnsi="Calibri" w:cstheme="minorHAnsi"/>
                <w:sz w:val="18"/>
                <w:szCs w:val="18"/>
                <w:lang w:val="en-US"/>
              </w:rPr>
            </w:pPr>
          </w:p>
        </w:tc>
        <w:tc>
          <w:tcPr>
            <w:tcW w:w="1668" w:type="dxa"/>
            <w:vMerge/>
            <w:tcBorders>
              <w:bottom w:val="single" w:sz="4" w:space="0" w:color="auto"/>
            </w:tcBorders>
            <w:shd w:val="clear" w:color="auto" w:fill="auto"/>
            <w:vAlign w:val="center"/>
          </w:tcPr>
          <w:p w14:paraId="6DB9477E" w14:textId="77777777" w:rsidR="00EB16FD" w:rsidRPr="00AF6261" w:rsidRDefault="00EB16FD" w:rsidP="007F1961">
            <w:pPr>
              <w:jc w:val="center"/>
              <w:rPr>
                <w:rFonts w:ascii="Calibri" w:hAnsi="Calibri" w:cstheme="minorHAnsi"/>
                <w:color w:val="000000"/>
                <w:sz w:val="18"/>
                <w:szCs w:val="18"/>
                <w:lang w:val="en-US"/>
              </w:rPr>
            </w:pPr>
          </w:p>
        </w:tc>
        <w:tc>
          <w:tcPr>
            <w:tcW w:w="1703" w:type="dxa"/>
            <w:vMerge/>
            <w:tcBorders>
              <w:bottom w:val="single" w:sz="4" w:space="0" w:color="auto"/>
            </w:tcBorders>
            <w:shd w:val="clear" w:color="auto" w:fill="auto"/>
            <w:vAlign w:val="center"/>
          </w:tcPr>
          <w:p w14:paraId="77F8924C" w14:textId="77777777" w:rsidR="00EB16FD" w:rsidRPr="00AF6261" w:rsidRDefault="00EB16FD" w:rsidP="007F1961">
            <w:pPr>
              <w:jc w:val="center"/>
              <w:rPr>
                <w:rFonts w:ascii="Calibri" w:hAnsi="Calibri" w:cstheme="minorHAnsi"/>
                <w:color w:val="000000"/>
                <w:sz w:val="18"/>
                <w:szCs w:val="18"/>
                <w:lang w:val="en-US"/>
              </w:rPr>
            </w:pPr>
          </w:p>
        </w:tc>
        <w:tc>
          <w:tcPr>
            <w:tcW w:w="2010" w:type="dxa"/>
            <w:vMerge/>
            <w:tcBorders>
              <w:bottom w:val="single" w:sz="4" w:space="0" w:color="auto"/>
            </w:tcBorders>
            <w:shd w:val="clear" w:color="auto" w:fill="auto"/>
            <w:vAlign w:val="center"/>
          </w:tcPr>
          <w:p w14:paraId="1611729C" w14:textId="77777777" w:rsidR="00EB16FD" w:rsidRPr="00AF6261" w:rsidRDefault="00EB16FD" w:rsidP="007F1961">
            <w:pPr>
              <w:jc w:val="center"/>
              <w:rPr>
                <w:rFonts w:ascii="Calibri" w:hAnsi="Calibri" w:cstheme="minorHAnsi"/>
                <w:color w:val="000000"/>
                <w:sz w:val="18"/>
                <w:szCs w:val="18"/>
                <w:lang w:val="en-US"/>
              </w:rPr>
            </w:pPr>
          </w:p>
        </w:tc>
        <w:tc>
          <w:tcPr>
            <w:tcW w:w="2273" w:type="dxa"/>
            <w:tcBorders>
              <w:bottom w:val="single" w:sz="4" w:space="0" w:color="auto"/>
            </w:tcBorders>
            <w:vAlign w:val="center"/>
          </w:tcPr>
          <w:p w14:paraId="36668E09" w14:textId="77777777" w:rsidR="00EB16FD" w:rsidRPr="00AF6261" w:rsidRDefault="00EB16FD" w:rsidP="007F1961">
            <w:pPr>
              <w:jc w:val="center"/>
              <w:rPr>
                <w:rFonts w:ascii="Calibri" w:hAnsi="Calibri" w:cstheme="minorHAnsi"/>
                <w:color w:val="000000"/>
                <w:sz w:val="18"/>
                <w:szCs w:val="18"/>
                <w:lang w:val="en-US"/>
              </w:rPr>
            </w:pPr>
          </w:p>
        </w:tc>
        <w:tc>
          <w:tcPr>
            <w:tcW w:w="2386" w:type="dxa"/>
            <w:vMerge/>
            <w:tcBorders>
              <w:bottom w:val="single" w:sz="4" w:space="0" w:color="auto"/>
            </w:tcBorders>
            <w:shd w:val="clear" w:color="auto" w:fill="auto"/>
            <w:vAlign w:val="center"/>
          </w:tcPr>
          <w:p w14:paraId="1763AE10" w14:textId="77777777" w:rsidR="00EB16FD" w:rsidRPr="00AF6261" w:rsidRDefault="00EB16FD" w:rsidP="007F1961">
            <w:pPr>
              <w:jc w:val="center"/>
              <w:rPr>
                <w:rFonts w:ascii="Calibri" w:hAnsi="Calibri" w:cstheme="minorHAnsi"/>
                <w:color w:val="000000"/>
                <w:sz w:val="18"/>
                <w:szCs w:val="18"/>
                <w:lang w:val="en-US"/>
              </w:rPr>
            </w:pPr>
          </w:p>
        </w:tc>
        <w:tc>
          <w:tcPr>
            <w:tcW w:w="851" w:type="dxa"/>
            <w:vMerge/>
            <w:tcBorders>
              <w:bottom w:val="single" w:sz="4" w:space="0" w:color="auto"/>
              <w:right w:val="single" w:sz="4" w:space="0" w:color="auto"/>
            </w:tcBorders>
          </w:tcPr>
          <w:p w14:paraId="66195787"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45683BA8" w14:textId="77777777" w:rsidTr="007F1961">
        <w:trPr>
          <w:trHeight w:val="195"/>
        </w:trPr>
        <w:tc>
          <w:tcPr>
            <w:tcW w:w="1408" w:type="dxa"/>
            <w:vMerge w:val="restart"/>
            <w:tcBorders>
              <w:top w:val="single" w:sz="4" w:space="0" w:color="auto"/>
              <w:left w:val="single" w:sz="4" w:space="0" w:color="auto"/>
            </w:tcBorders>
            <w:shd w:val="clear" w:color="auto" w:fill="auto"/>
            <w:textDirection w:val="btLr"/>
            <w:vAlign w:val="center"/>
          </w:tcPr>
          <w:p w14:paraId="2BB4EFF3"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 xml:space="preserve">Size: &lt;100 nm Sigma-Aldrich 7440-22-4 </w:t>
            </w:r>
          </w:p>
        </w:tc>
        <w:tc>
          <w:tcPr>
            <w:tcW w:w="1276" w:type="dxa"/>
            <w:vMerge w:val="restart"/>
            <w:tcBorders>
              <w:top w:val="single" w:sz="4" w:space="0" w:color="auto"/>
            </w:tcBorders>
            <w:shd w:val="clear" w:color="auto" w:fill="auto"/>
            <w:textDirection w:val="btLr"/>
            <w:vAlign w:val="center"/>
          </w:tcPr>
          <w:p w14:paraId="57660E6C"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Wistar albino rats, intraperitoneal</w:t>
            </w:r>
          </w:p>
          <w:p w14:paraId="01443A94"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val="restart"/>
            <w:tcBorders>
              <w:top w:val="single" w:sz="4" w:space="0" w:color="auto"/>
            </w:tcBorders>
            <w:textDirection w:val="btLr"/>
            <w:vAlign w:val="center"/>
          </w:tcPr>
          <w:p w14:paraId="3187DE1D"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100 mg/kg/day  and 1000 mg/kg/day for 7 days, 7 days/week,</w:t>
            </w:r>
            <w:r w:rsidRPr="00AF6261">
              <w:rPr>
                <w:rFonts w:ascii="Calibri" w:hAnsi="Calibri" w:cstheme="minorHAnsi"/>
                <w:color w:val="000000"/>
                <w:sz w:val="18"/>
                <w:szCs w:val="18"/>
                <w:lang w:val="en-US"/>
              </w:rPr>
              <w:br/>
              <w:t>for 28 days.</w:t>
            </w:r>
          </w:p>
          <w:p w14:paraId="4460C7AB"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4FD8B4E3"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47A04ED1"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Sperm count, motility, viability and morphology by eosine nigrosin staining</w:t>
            </w:r>
          </w:p>
        </w:tc>
        <w:tc>
          <w:tcPr>
            <w:tcW w:w="2010" w:type="dxa"/>
            <w:tcBorders>
              <w:top w:val="single" w:sz="4" w:space="0" w:color="auto"/>
              <w:bottom w:val="single" w:sz="4" w:space="0" w:color="auto"/>
            </w:tcBorders>
            <w:shd w:val="clear" w:color="auto" w:fill="auto"/>
            <w:vAlign w:val="center"/>
          </w:tcPr>
          <w:p w14:paraId="6BFC8668"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Decrease in the sperm count, motility, viability  increase in sperm abnormality (dose and time dependant)</w:t>
            </w:r>
          </w:p>
        </w:tc>
        <w:tc>
          <w:tcPr>
            <w:tcW w:w="2273" w:type="dxa"/>
            <w:tcBorders>
              <w:top w:val="single" w:sz="4" w:space="0" w:color="auto"/>
              <w:bottom w:val="single" w:sz="4" w:space="0" w:color="auto"/>
            </w:tcBorders>
            <w:vAlign w:val="center"/>
          </w:tcPr>
          <w:p w14:paraId="51BD45DB"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652DC8FC"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28845100"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val="restart"/>
            <w:tcBorders>
              <w:top w:val="single" w:sz="4" w:space="0" w:color="auto"/>
              <w:left w:val="nil"/>
              <w:right w:val="single" w:sz="4" w:space="0" w:color="auto"/>
            </w:tcBorders>
            <w:vAlign w:val="center"/>
          </w:tcPr>
          <w:p w14:paraId="77244497" w14:textId="6FAFDFC0"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{"citationItems":[{"id":"ITEM-1","itemData":{"DOI":"10.1007/s10735-016-9701-4","ISSN":"15672387","PMID":"27803997","abstract":"Silver nanoparticles (AgNPs) are widely used in medicine, however, they have toxic impacts on different organs. AgNPs distribution to the testes was reported, so, we aimed to study the effect of intraperitoneal</w:instrText>
            </w:r>
            <w:r w:rsidR="007F3FC3">
              <w:rPr>
                <w:rFonts w:ascii="Calibri" w:eastAsia="Times New Roman" w:hAnsi="Calibri" w:cstheme="minorHAnsi"/>
                <w:color w:val="000000"/>
                <w:sz w:val="18"/>
                <w:szCs w:val="18"/>
                <w:lang w:eastAsia="fr-FR"/>
              </w:rPr>
              <w:instrText xml:space="preserve"> injection of AgNPs, at different concentrations and different time durations, on adult rat testes. Sixty healthy adult male Wistar albino rats were divided into three groups; control group (Group I) and two experimental groups (Groups II &amp; III), each of which were subdivided into two subgroups. Rats in group II were exposed for 7 days to low and high doses of AgNPs, respectively. Rats in group III were exposed for 28 days to low and high doses of AgNPs, respectively. Testicular sections were stained with H&amp;E, Toluidine blue, Immunohistochemical staining for Ki-67 and CD68 and Electron microscope examination were performed. Serum testosterone level and Quantitative Real-Time PCR for spermatogenesis genes were measured. Group IIa &amp; IIb showed thickened capsule studded with nanoparticles, congested blood vessels, disorganized seminiferous tubules (Sts) and detached germinal epithelium. Group IIIa &amp; IIIb showed marked reduction in the germinal epithelium, and shrunken Sts with the absence of sperms in most of them, which was more evident with higher doses of AgNPs. Significant decrease in cell proliferation and increase in interstitial tissue macrophag</w:instrText>
            </w:r>
            <w:r w:rsidR="007F3FC3" w:rsidRPr="00AF6261">
              <w:rPr>
                <w:rFonts w:ascii="Calibri" w:eastAsia="Times New Roman" w:hAnsi="Calibri" w:cstheme="minorHAnsi"/>
                <w:color w:val="000000"/>
                <w:sz w:val="18"/>
                <w:szCs w:val="18"/>
                <w:lang w:val="en-US" w:eastAsia="fr-FR"/>
              </w:rPr>
              <w:instrText>es were more detected in groups II &amp; III than in the control group. Decreased serum testosterone and decreased expression levels of spermatogenesis genes in groups IIa, IIb &amp; IIIa, IIIb than in the control group were observed. In conclusion: intraperitoneal injection of AgNPs adversely affected the structure of adult rat testes. The tissue damage was more manifested with increased dose and duration of exposure.","author":[{"dropping-particle":"","family":"Ahmed","given":"Samah M.","non-dropping-particle":"","parse-names":false,"suffix":""},{"dropping-particle":"","family":"Abdelrahman","given":"Shaimaa A.","non-dropping-particle":"","parse-names":false,"suffix":""},{"dropping-particle":"","family":"Shalaby","given":"Sally M.","non-dropping-particle":"","parse-names":false,"suffix":""}],"container-title":"Journal of Molecular Histology","id":"ITEM-1","issue":"1","issued":{"date-parts":[["2017"]]},"page":"9-27","publisher":"Springer Netherlands","title":"Evaluating the effect of silver nanoparticles on testes of adult albino rats (histological, immunohistochemical and biochemical study)","type":"article-journal","volume":"48"},"uris":["http://www.mendeley.com/documents/?uuid=408bd431-4a48-4872-8ba3-ea8aec2f5e8f"]}],"mendeley":{"formattedCitation":"(19)","plainTextFormattedCitation":"(19)","previouslyFormattedCitation":"(Ahmed, Abdelrahman, and Shalaby 2017)"},"properties":{"noteIndex":0},"schema":"https://github.com/citation-style-language/schema/raw/master/csl-citation.json"}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(19)</w:t>
            </w:r>
            <w:r w:rsidRPr="00912134">
              <w:rPr>
                <w:rFonts w:ascii="Calibri" w:eastAsia="Times New Roman" w:hAnsi="Calibri" w:cstheme="minorHAnsi"/>
                <w:color w:val="000000"/>
                <w:sz w:val="18"/>
                <w:szCs w:val="18"/>
                <w:lang w:eastAsia="fr-FR"/>
              </w:rPr>
              <w:fldChar w:fldCharType="end"/>
            </w:r>
          </w:p>
        </w:tc>
      </w:tr>
      <w:tr w:rsidR="00EB16FD" w:rsidRPr="00DC5D76" w14:paraId="34AD2E50" w14:textId="77777777" w:rsidTr="007F1961">
        <w:trPr>
          <w:trHeight w:val="195"/>
        </w:trPr>
        <w:tc>
          <w:tcPr>
            <w:tcW w:w="1408" w:type="dxa"/>
            <w:vMerge/>
            <w:tcBorders>
              <w:left w:val="single" w:sz="4" w:space="0" w:color="auto"/>
            </w:tcBorders>
            <w:shd w:val="clear" w:color="auto" w:fill="auto"/>
            <w:textDirection w:val="btLr"/>
            <w:vAlign w:val="center"/>
          </w:tcPr>
          <w:p w14:paraId="4AC57DF6"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157E2FB8"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extDirection w:val="btLr"/>
            <w:vAlign w:val="center"/>
          </w:tcPr>
          <w:p w14:paraId="24F96828" w14:textId="77777777" w:rsidR="00EB16FD" w:rsidRPr="00AF6261" w:rsidRDefault="00EB16FD" w:rsidP="00EB16FD">
            <w:pPr>
              <w:ind w:left="113" w:right="113"/>
              <w:jc w:val="center"/>
              <w:rPr>
                <w:rFonts w:ascii="Calibri" w:hAnsi="Calibri" w:cstheme="minorHAnsi"/>
                <w:sz w:val="18"/>
                <w:szCs w:val="18"/>
                <w:lang w:val="en-US"/>
              </w:rPr>
            </w:pPr>
          </w:p>
        </w:tc>
        <w:tc>
          <w:tcPr>
            <w:tcW w:w="1668" w:type="dxa"/>
            <w:tcBorders>
              <w:top w:val="single" w:sz="4" w:space="0" w:color="auto"/>
              <w:bottom w:val="single" w:sz="4" w:space="0" w:color="auto"/>
            </w:tcBorders>
            <w:shd w:val="clear" w:color="auto" w:fill="auto"/>
            <w:vAlign w:val="center"/>
          </w:tcPr>
          <w:p w14:paraId="0F1D96DC"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Hormonal assessment</w:t>
            </w:r>
          </w:p>
        </w:tc>
        <w:tc>
          <w:tcPr>
            <w:tcW w:w="1703" w:type="dxa"/>
            <w:tcBorders>
              <w:top w:val="single" w:sz="4" w:space="0" w:color="auto"/>
              <w:bottom w:val="single" w:sz="4" w:space="0" w:color="auto"/>
            </w:tcBorders>
            <w:shd w:val="clear" w:color="auto" w:fill="auto"/>
            <w:vAlign w:val="center"/>
          </w:tcPr>
          <w:p w14:paraId="7D311E9B"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Serum testosterone by commercial kits</w:t>
            </w:r>
          </w:p>
        </w:tc>
        <w:tc>
          <w:tcPr>
            <w:tcW w:w="2010" w:type="dxa"/>
            <w:tcBorders>
              <w:top w:val="single" w:sz="4" w:space="0" w:color="auto"/>
              <w:bottom w:val="single" w:sz="4" w:space="0" w:color="auto"/>
            </w:tcBorders>
            <w:shd w:val="clear" w:color="auto" w:fill="auto"/>
            <w:vAlign w:val="center"/>
          </w:tcPr>
          <w:p w14:paraId="60701259"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Decrease in serum testosterone</w:t>
            </w:r>
            <w:r w:rsidRPr="00AF6261">
              <w:rPr>
                <w:rFonts w:ascii="Calibri" w:hAnsi="Calibri" w:cstheme="minorHAnsi"/>
                <w:color w:val="000000"/>
                <w:sz w:val="18"/>
                <w:szCs w:val="18"/>
                <w:lang w:val="en-US"/>
              </w:rPr>
              <w:br/>
              <w:t>levels</w:t>
            </w:r>
          </w:p>
        </w:tc>
        <w:tc>
          <w:tcPr>
            <w:tcW w:w="2273" w:type="dxa"/>
            <w:tcBorders>
              <w:top w:val="single" w:sz="4" w:space="0" w:color="auto"/>
              <w:bottom w:val="single" w:sz="4" w:space="0" w:color="auto"/>
            </w:tcBorders>
            <w:vAlign w:val="center"/>
          </w:tcPr>
          <w:p w14:paraId="467CCBDB" w14:textId="77777777" w:rsidR="00EB16FD" w:rsidRPr="00F10A3D" w:rsidRDefault="00EB16FD" w:rsidP="007F1961">
            <w:pPr>
              <w:jc w:val="center"/>
              <w:rPr>
                <w:sz w:val="18"/>
                <w:szCs w:val="18"/>
                <w:lang w:val="en-US"/>
              </w:rPr>
            </w:pPr>
            <w:r w:rsidRPr="000270BA">
              <w:rPr>
                <w:sz w:val="18"/>
                <w:szCs w:val="18"/>
                <w:lang w:val="en-US"/>
              </w:rPr>
              <w:t>Reduction, testosterone</w:t>
            </w:r>
            <w:r>
              <w:rPr>
                <w:sz w:val="18"/>
                <w:szCs w:val="18"/>
                <w:lang w:val="en-US"/>
              </w:rPr>
              <w:t xml:space="preserve"> level (ID1613, ID1689, ID1612)</w:t>
            </w:r>
          </w:p>
        </w:tc>
        <w:tc>
          <w:tcPr>
            <w:tcW w:w="2386" w:type="dxa"/>
            <w:tcBorders>
              <w:top w:val="single" w:sz="4" w:space="0" w:color="auto"/>
              <w:bottom w:val="single" w:sz="4" w:space="0" w:color="auto"/>
            </w:tcBorders>
            <w:shd w:val="clear" w:color="auto" w:fill="auto"/>
            <w:vAlign w:val="center"/>
          </w:tcPr>
          <w:p w14:paraId="3CA55D23" w14:textId="0DDA7B3F"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Decreased sperm quantity or quality in the adult, Decreased fertility</w:t>
            </w:r>
          </w:p>
        </w:tc>
        <w:tc>
          <w:tcPr>
            <w:tcW w:w="851" w:type="dxa"/>
            <w:vMerge/>
            <w:tcBorders>
              <w:left w:val="nil"/>
              <w:right w:val="single" w:sz="4" w:space="0" w:color="auto"/>
            </w:tcBorders>
          </w:tcPr>
          <w:p w14:paraId="2EF2D39E"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6E74D8FC" w14:textId="77777777" w:rsidTr="007F1961">
        <w:trPr>
          <w:trHeight w:val="195"/>
        </w:trPr>
        <w:tc>
          <w:tcPr>
            <w:tcW w:w="1408" w:type="dxa"/>
            <w:vMerge/>
            <w:tcBorders>
              <w:left w:val="single" w:sz="4" w:space="0" w:color="auto"/>
            </w:tcBorders>
            <w:shd w:val="clear" w:color="auto" w:fill="auto"/>
            <w:textDirection w:val="btLr"/>
            <w:vAlign w:val="center"/>
          </w:tcPr>
          <w:p w14:paraId="72D68BB3"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2BBA4DA9"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extDirection w:val="btLr"/>
            <w:vAlign w:val="center"/>
          </w:tcPr>
          <w:p w14:paraId="25421B25" w14:textId="77777777" w:rsidR="00EB16FD" w:rsidRPr="00AF6261" w:rsidRDefault="00EB16FD" w:rsidP="00EB16FD">
            <w:pPr>
              <w:ind w:left="113" w:right="113"/>
              <w:jc w:val="center"/>
              <w:rPr>
                <w:rFonts w:ascii="Calibri" w:hAnsi="Calibri" w:cstheme="minorHAnsi"/>
                <w:sz w:val="18"/>
                <w:szCs w:val="18"/>
                <w:lang w:val="en-US"/>
              </w:rPr>
            </w:pPr>
          </w:p>
        </w:tc>
        <w:tc>
          <w:tcPr>
            <w:tcW w:w="1668" w:type="dxa"/>
            <w:tcBorders>
              <w:top w:val="single" w:sz="4" w:space="0" w:color="auto"/>
              <w:bottom w:val="single" w:sz="4" w:space="0" w:color="auto"/>
            </w:tcBorders>
            <w:shd w:val="clear" w:color="auto" w:fill="auto"/>
            <w:vAlign w:val="center"/>
          </w:tcPr>
          <w:p w14:paraId="7418309B"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Spermatogenesis releated gene expressions</w:t>
            </w:r>
          </w:p>
        </w:tc>
        <w:tc>
          <w:tcPr>
            <w:tcW w:w="1703" w:type="dxa"/>
            <w:tcBorders>
              <w:top w:val="single" w:sz="4" w:space="0" w:color="auto"/>
              <w:bottom w:val="single" w:sz="4" w:space="0" w:color="auto"/>
            </w:tcBorders>
            <w:shd w:val="clear" w:color="auto" w:fill="auto"/>
            <w:vAlign w:val="center"/>
          </w:tcPr>
          <w:p w14:paraId="5F0DA62A"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Dazl Tnp2 GDNF gene expression by RT-PCR</w:t>
            </w:r>
          </w:p>
        </w:tc>
        <w:tc>
          <w:tcPr>
            <w:tcW w:w="2010" w:type="dxa"/>
            <w:tcBorders>
              <w:top w:val="single" w:sz="4" w:space="0" w:color="auto"/>
              <w:bottom w:val="single" w:sz="4" w:space="0" w:color="auto"/>
            </w:tcBorders>
            <w:shd w:val="clear" w:color="auto" w:fill="auto"/>
            <w:vAlign w:val="center"/>
          </w:tcPr>
          <w:p w14:paraId="29AC7CD7"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Down regulation of Dazl, Tnp2 and GDNF</w:t>
            </w:r>
          </w:p>
        </w:tc>
        <w:tc>
          <w:tcPr>
            <w:tcW w:w="2273" w:type="dxa"/>
            <w:tcBorders>
              <w:top w:val="single" w:sz="4" w:space="0" w:color="auto"/>
              <w:bottom w:val="single" w:sz="4" w:space="0" w:color="auto"/>
            </w:tcBorders>
            <w:vAlign w:val="center"/>
          </w:tcPr>
          <w:p w14:paraId="593E06F1" w14:textId="77777777" w:rsidR="00EB16FD" w:rsidRPr="00AF6261" w:rsidRDefault="00EB16FD" w:rsidP="007F1961">
            <w:pPr>
              <w:jc w:val="center"/>
              <w:rPr>
                <w:rFonts w:ascii="Calibri" w:hAnsi="Calibri" w:cstheme="minorHAnsi"/>
                <w:sz w:val="18"/>
                <w:szCs w:val="18"/>
                <w:lang w:val="en-US"/>
              </w:rPr>
            </w:pPr>
            <w:r w:rsidRPr="00AF6261">
              <w:rPr>
                <w:rFonts w:ascii="Calibri" w:hAnsi="Calibri" w:cstheme="minorHAnsi"/>
                <w:sz w:val="18"/>
                <w:szCs w:val="18"/>
                <w:lang w:val="en-US"/>
              </w:rPr>
              <w:t>Impaired spermatogenesis (ID1758)</w:t>
            </w:r>
          </w:p>
        </w:tc>
        <w:tc>
          <w:tcPr>
            <w:tcW w:w="2386" w:type="dxa"/>
            <w:tcBorders>
              <w:top w:val="single" w:sz="4" w:space="0" w:color="auto"/>
              <w:bottom w:val="single" w:sz="4" w:space="0" w:color="auto"/>
            </w:tcBorders>
            <w:shd w:val="clear" w:color="auto" w:fill="auto"/>
            <w:vAlign w:val="center"/>
          </w:tcPr>
          <w:p w14:paraId="3B9D264A" w14:textId="11B6D3F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16D2BD73" w14:textId="77777777" w:rsidR="00EB16FD" w:rsidRPr="00AF6261" w:rsidRDefault="00EB16FD" w:rsidP="007F1961">
            <w:pPr>
              <w:jc w:val="center"/>
              <w:rPr>
                <w:rFonts w:ascii="Calibri" w:hAnsi="Calibri" w:cstheme="minorHAnsi"/>
                <w:b/>
                <w:sz w:val="18"/>
                <w:szCs w:val="18"/>
                <w:lang w:val="en-US"/>
              </w:rPr>
            </w:pPr>
            <w:r w:rsidRPr="00AF6261">
              <w:rPr>
                <w:rFonts w:eastAsia="Times New Roman" w:cstheme="minorHAnsi"/>
                <w:sz w:val="18"/>
                <w:szCs w:val="18"/>
                <w:lang w:val="en-US" w:eastAsia="fr-FR"/>
              </w:rPr>
              <w:t>(ID406)</w:t>
            </w:r>
          </w:p>
        </w:tc>
        <w:tc>
          <w:tcPr>
            <w:tcW w:w="851" w:type="dxa"/>
            <w:vMerge/>
            <w:tcBorders>
              <w:left w:val="nil"/>
              <w:right w:val="single" w:sz="4" w:space="0" w:color="auto"/>
            </w:tcBorders>
          </w:tcPr>
          <w:p w14:paraId="2DBAB314"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14D1E6F8" w14:textId="77777777" w:rsidTr="007F1961">
        <w:trPr>
          <w:trHeight w:val="2499"/>
        </w:trPr>
        <w:tc>
          <w:tcPr>
            <w:tcW w:w="1408" w:type="dxa"/>
            <w:vMerge/>
            <w:tcBorders>
              <w:left w:val="single" w:sz="4" w:space="0" w:color="auto"/>
            </w:tcBorders>
            <w:shd w:val="clear" w:color="auto" w:fill="auto"/>
            <w:textDirection w:val="btLr"/>
            <w:vAlign w:val="bottom"/>
          </w:tcPr>
          <w:p w14:paraId="13B529C5"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6" w:type="dxa"/>
            <w:vMerge/>
            <w:shd w:val="clear" w:color="auto" w:fill="auto"/>
            <w:textDirection w:val="btLr"/>
            <w:vAlign w:val="center"/>
          </w:tcPr>
          <w:p w14:paraId="28102589" w14:textId="77777777" w:rsidR="00EB16FD" w:rsidRPr="00AF6261" w:rsidRDefault="00EB16FD" w:rsidP="00EB16FD">
            <w:pPr>
              <w:ind w:left="113" w:right="113"/>
              <w:jc w:val="center"/>
              <w:rPr>
                <w:rFonts w:ascii="Calibri" w:hAnsi="Calibri" w:cstheme="minorHAnsi"/>
                <w:color w:val="000000"/>
                <w:sz w:val="18"/>
                <w:szCs w:val="18"/>
                <w:lang w:val="en-US"/>
              </w:rPr>
            </w:pPr>
          </w:p>
        </w:tc>
        <w:tc>
          <w:tcPr>
            <w:tcW w:w="1275" w:type="dxa"/>
            <w:vMerge/>
            <w:textDirection w:val="btLr"/>
            <w:vAlign w:val="center"/>
          </w:tcPr>
          <w:p w14:paraId="0E7CD0BD" w14:textId="77777777" w:rsidR="00EB16FD" w:rsidRPr="00AF6261" w:rsidRDefault="00EB16FD" w:rsidP="00EB16FD">
            <w:pPr>
              <w:ind w:left="113" w:right="113"/>
              <w:jc w:val="center"/>
              <w:rPr>
                <w:rFonts w:ascii="Calibri" w:hAnsi="Calibri" w:cstheme="minorHAnsi"/>
                <w:sz w:val="18"/>
                <w:szCs w:val="18"/>
                <w:lang w:val="en-US"/>
              </w:rPr>
            </w:pPr>
          </w:p>
        </w:tc>
        <w:tc>
          <w:tcPr>
            <w:tcW w:w="1668" w:type="dxa"/>
            <w:tcBorders>
              <w:top w:val="single" w:sz="4" w:space="0" w:color="auto"/>
            </w:tcBorders>
            <w:shd w:val="clear" w:color="auto" w:fill="auto"/>
            <w:vAlign w:val="center"/>
          </w:tcPr>
          <w:p w14:paraId="65609F93"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Histological parametres</w:t>
            </w:r>
          </w:p>
        </w:tc>
        <w:tc>
          <w:tcPr>
            <w:tcW w:w="1703" w:type="dxa"/>
            <w:tcBorders>
              <w:top w:val="single" w:sz="4" w:space="0" w:color="auto"/>
            </w:tcBorders>
            <w:shd w:val="clear" w:color="auto" w:fill="auto"/>
            <w:vAlign w:val="center"/>
          </w:tcPr>
          <w:p w14:paraId="46D6BE17"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H&amp;E stained sections of the testes</w:t>
            </w:r>
          </w:p>
        </w:tc>
        <w:tc>
          <w:tcPr>
            <w:tcW w:w="2010" w:type="dxa"/>
            <w:tcBorders>
              <w:top w:val="single" w:sz="4" w:space="0" w:color="auto"/>
            </w:tcBorders>
            <w:shd w:val="clear" w:color="auto" w:fill="auto"/>
            <w:vAlign w:val="center"/>
          </w:tcPr>
          <w:p w14:paraId="37476394"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Necrosis and degradation of spermatogenic cells, and Sertoli cells</w:t>
            </w:r>
          </w:p>
          <w:p w14:paraId="48C3FBD5"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Increase in the mean relative testicular weight</w:t>
            </w:r>
          </w:p>
          <w:p w14:paraId="21A0F6C5"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Atrophy in seminiferous tubules</w:t>
            </w:r>
          </w:p>
        </w:tc>
        <w:tc>
          <w:tcPr>
            <w:tcW w:w="2273" w:type="dxa"/>
            <w:tcBorders>
              <w:top w:val="single" w:sz="4" w:space="0" w:color="auto"/>
            </w:tcBorders>
            <w:vAlign w:val="center"/>
          </w:tcPr>
          <w:p w14:paraId="3727959F"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04A3B521"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(ID1506)</w:t>
            </w:r>
          </w:p>
        </w:tc>
        <w:tc>
          <w:tcPr>
            <w:tcW w:w="2386" w:type="dxa"/>
            <w:tcBorders>
              <w:top w:val="single" w:sz="4" w:space="0" w:color="auto"/>
            </w:tcBorders>
            <w:shd w:val="clear" w:color="auto" w:fill="auto"/>
            <w:vAlign w:val="center"/>
          </w:tcPr>
          <w:p w14:paraId="17686797"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1B5AD2F7"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left w:val="nil"/>
              <w:right w:val="single" w:sz="4" w:space="0" w:color="auto"/>
            </w:tcBorders>
          </w:tcPr>
          <w:p w14:paraId="065C0FAC"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912134" w14:paraId="76AF2D3E" w14:textId="77777777" w:rsidTr="007F1961">
        <w:trPr>
          <w:cantSplit/>
          <w:trHeight w:val="1134"/>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53967562"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Size: 10, 20, 40, 60 and 100 nm</w:t>
            </w:r>
          </w:p>
        </w:tc>
        <w:tc>
          <w:tcPr>
            <w:tcW w:w="1276" w:type="dxa"/>
            <w:tcBorders>
              <w:top w:val="single" w:sz="4" w:space="0" w:color="auto"/>
              <w:bottom w:val="single" w:sz="4" w:space="0" w:color="auto"/>
            </w:tcBorders>
            <w:shd w:val="clear" w:color="auto" w:fill="auto"/>
            <w:textDirection w:val="btLr"/>
            <w:vAlign w:val="center"/>
          </w:tcPr>
          <w:p w14:paraId="4E2220C5"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Male mice (BALB/C)  intraperitoneally</w:t>
            </w:r>
          </w:p>
        </w:tc>
        <w:tc>
          <w:tcPr>
            <w:tcW w:w="1275" w:type="dxa"/>
            <w:tcBorders>
              <w:top w:val="single" w:sz="4" w:space="0" w:color="auto"/>
              <w:bottom w:val="single" w:sz="4" w:space="0" w:color="auto"/>
            </w:tcBorders>
            <w:textDirection w:val="btLr"/>
            <w:vAlign w:val="center"/>
          </w:tcPr>
          <w:p w14:paraId="0E4FFC30" w14:textId="77777777" w:rsidR="00EB16FD" w:rsidRPr="00AF6261" w:rsidRDefault="00EB16FD" w:rsidP="00EB16FD">
            <w:pPr>
              <w:ind w:left="113" w:right="113"/>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1 and 1000 mg/kg/day  35 days.</w:t>
            </w:r>
          </w:p>
        </w:tc>
        <w:tc>
          <w:tcPr>
            <w:tcW w:w="1668" w:type="dxa"/>
            <w:tcBorders>
              <w:top w:val="single" w:sz="4" w:space="0" w:color="auto"/>
              <w:bottom w:val="single" w:sz="4" w:space="0" w:color="auto"/>
            </w:tcBorders>
            <w:shd w:val="clear" w:color="auto" w:fill="auto"/>
            <w:vAlign w:val="center"/>
          </w:tcPr>
          <w:p w14:paraId="2D8A7004"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Histological parametres</w:t>
            </w:r>
          </w:p>
        </w:tc>
        <w:tc>
          <w:tcPr>
            <w:tcW w:w="1703" w:type="dxa"/>
            <w:tcBorders>
              <w:top w:val="single" w:sz="4" w:space="0" w:color="auto"/>
              <w:bottom w:val="single" w:sz="4" w:space="0" w:color="auto"/>
            </w:tcBorders>
            <w:shd w:val="clear" w:color="auto" w:fill="auto"/>
            <w:vAlign w:val="center"/>
          </w:tcPr>
          <w:p w14:paraId="32F8143C"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Histological parametres of testes</w:t>
            </w:r>
          </w:p>
        </w:tc>
        <w:tc>
          <w:tcPr>
            <w:tcW w:w="2010" w:type="dxa"/>
            <w:tcBorders>
              <w:top w:val="single" w:sz="4" w:space="0" w:color="auto"/>
              <w:bottom w:val="single" w:sz="4" w:space="0" w:color="auto"/>
            </w:tcBorders>
            <w:shd w:val="clear" w:color="auto" w:fill="auto"/>
            <w:vAlign w:val="center"/>
          </w:tcPr>
          <w:p w14:paraId="722CFFE9" w14:textId="77777777" w:rsidR="00EB16FD" w:rsidRPr="00AF6261" w:rsidRDefault="00EB16FD" w:rsidP="007F1961">
            <w:pPr>
              <w:jc w:val="center"/>
              <w:rPr>
                <w:rFonts w:ascii="Calibri" w:hAnsi="Calibri" w:cstheme="minorHAnsi"/>
                <w:sz w:val="18"/>
                <w:szCs w:val="18"/>
                <w:lang w:val="en-US"/>
              </w:rPr>
            </w:pPr>
            <w:r w:rsidRPr="00AF6261">
              <w:rPr>
                <w:rFonts w:ascii="Calibri" w:hAnsi="Calibri" w:cstheme="minorHAnsi"/>
                <w:sz w:val="18"/>
                <w:szCs w:val="18"/>
                <w:lang w:val="en-US"/>
              </w:rPr>
              <w:t>Slight decrease on the relative ratios of total testis weight to body weight and testis index</w:t>
            </w:r>
          </w:p>
        </w:tc>
        <w:tc>
          <w:tcPr>
            <w:tcW w:w="2273" w:type="dxa"/>
            <w:tcBorders>
              <w:top w:val="single" w:sz="4" w:space="0" w:color="auto"/>
              <w:bottom w:val="single" w:sz="4" w:space="0" w:color="auto"/>
            </w:tcBorders>
            <w:vAlign w:val="center"/>
          </w:tcPr>
          <w:p w14:paraId="43627DBD"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w:t>
            </w:r>
          </w:p>
        </w:tc>
        <w:tc>
          <w:tcPr>
            <w:tcW w:w="2386" w:type="dxa"/>
            <w:tcBorders>
              <w:top w:val="single" w:sz="4" w:space="0" w:color="auto"/>
              <w:bottom w:val="single" w:sz="4" w:space="0" w:color="auto"/>
            </w:tcBorders>
            <w:shd w:val="clear" w:color="auto" w:fill="auto"/>
            <w:vAlign w:val="center"/>
          </w:tcPr>
          <w:p w14:paraId="347E8B4F" w14:textId="77777777" w:rsidR="00EB16FD" w:rsidRPr="000270BA" w:rsidRDefault="00EB16FD" w:rsidP="007F1961">
            <w:pPr>
              <w:spacing w:after="0" w:line="240" w:lineRule="auto"/>
              <w:jc w:val="center"/>
              <w:rPr>
                <w:rFonts w:eastAsia="Times New Roman" w:cstheme="minorHAnsi"/>
                <w:sz w:val="18"/>
                <w:szCs w:val="18"/>
                <w:lang w:val="en-US" w:eastAsia="fr-FR"/>
              </w:rPr>
            </w:pPr>
            <w:r>
              <w:rPr>
                <w:rFonts w:eastAsia="Times New Roman" w:cstheme="minorHAnsi"/>
                <w:sz w:val="18"/>
                <w:szCs w:val="18"/>
                <w:lang w:val="en-US" w:eastAsia="fr-FR"/>
              </w:rPr>
              <w:t>-</w:t>
            </w:r>
          </w:p>
        </w:tc>
        <w:tc>
          <w:tcPr>
            <w:tcW w:w="851" w:type="dxa"/>
            <w:tcBorders>
              <w:top w:val="single" w:sz="4" w:space="0" w:color="auto"/>
              <w:left w:val="nil"/>
              <w:bottom w:val="single" w:sz="4" w:space="0" w:color="auto"/>
              <w:right w:val="single" w:sz="4" w:space="0" w:color="auto"/>
            </w:tcBorders>
            <w:vAlign w:val="center"/>
          </w:tcPr>
          <w:p w14:paraId="75B332C2" w14:textId="6D6DA1A8"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URL":"https://pubmed.ncbi.nlm.nih.gov/30027728/","accessed":{"date-parts":[["2021","6","30"]]},"author":[{"dropping-particle":"","family":"Almansour","given":"Mansour;","non-dropping-particle":"","parse-names":false,"suffix":""},{"dropping-particle":"","family":"Jarrar","given":"Qais","non-dropping-particle":"","parse-names":false,"suffix":""},{"dropping-particle":"","family":"Battah","given":"Abdelkader,","non-dropping-particle</w:instrText>
            </w:r>
            <w:r w:rsidR="007F3FC3">
              <w:rPr>
                <w:rFonts w:ascii="Calibri" w:eastAsia="Times New Roman" w:hAnsi="Calibri" w:cstheme="minorHAnsi"/>
                <w:color w:val="000000"/>
                <w:sz w:val="18"/>
                <w:szCs w:val="18"/>
                <w:lang w:eastAsia="fr-FR"/>
              </w:rPr>
              <w:instrText>":"","parse-names":false,"suffix":""},{"dropping-particle":"","family":"Jarrar","given":"Bashir","non-dropping-particle":"","parse-names":false,"suffix":""}],"container-title":"J Reprod Med .","id":"ITEM-1","issued":{"date-parts":[["2017"]]},"title":"Histomorphometric Alterations Induced in the Testicular Tissues by Variable Sizes of Silver Nanoparticles - PubMed","type":"webpage"},"uris":["http://www.mendeley.com/documents/?uuid=7c3b255f-de20-37d4-bccf-2d51fe186f7d"]}],"mendeley":{"formattedCitation":"(20)","plainTextFormattedCitation":"(20)","previouslyFormattedCitation":"(Almansour et al. 2017)"},"properties":{"noteIndex":0},"schema":"https://github.com/citation-style-language/schema/raw/master/csl-citation.json"}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(20)</w:t>
            </w:r>
            <w:r w:rsidRPr="00912134">
              <w:rPr>
                <w:rFonts w:ascii="Calibri" w:eastAsia="Times New Roman" w:hAnsi="Calibri" w:cstheme="minorHAnsi"/>
                <w:color w:val="000000"/>
                <w:sz w:val="18"/>
                <w:szCs w:val="18"/>
                <w:lang w:eastAsia="fr-FR"/>
              </w:rPr>
              <w:fldChar w:fldCharType="end"/>
            </w:r>
          </w:p>
        </w:tc>
      </w:tr>
      <w:tr w:rsidR="00EB16FD" w:rsidRPr="00912134" w14:paraId="5D9E13C9" w14:textId="77777777" w:rsidTr="007F1961">
        <w:trPr>
          <w:trHeight w:val="195"/>
        </w:trPr>
        <w:tc>
          <w:tcPr>
            <w:tcW w:w="1408" w:type="dxa"/>
            <w:vMerge w:val="restart"/>
            <w:tcBorders>
              <w:top w:val="single" w:sz="4" w:space="0" w:color="auto"/>
              <w:left w:val="single" w:sz="4" w:space="0" w:color="auto"/>
            </w:tcBorders>
            <w:shd w:val="clear" w:color="auto" w:fill="auto"/>
            <w:textDirection w:val="btLr"/>
            <w:vAlign w:val="center"/>
          </w:tcPr>
          <w:p w14:paraId="39678B99"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Size:</w:t>
            </w:r>
            <w:r w:rsidRPr="00AF6261">
              <w:rPr>
                <w:rFonts w:ascii="Calibri" w:hAnsi="Calibri" w:cs="Calibri"/>
                <w:color w:val="000000"/>
                <w:sz w:val="18"/>
                <w:szCs w:val="18"/>
                <w:lang w:val="en-US"/>
              </w:rPr>
              <w:t xml:space="preserve"> </w:t>
            </w:r>
            <w:r w:rsidRPr="00AF6261">
              <w:rPr>
                <w:rFonts w:ascii="Calibri" w:hAnsi="Calibri"/>
                <w:color w:val="000000"/>
                <w:sz w:val="18"/>
                <w:szCs w:val="18"/>
                <w:lang w:val="en-US"/>
              </w:rPr>
              <w:t>56.67 ± 9.77 nm, Shape:Cubic, Zeta potential: 9.35mV</w:t>
            </w:r>
          </w:p>
        </w:tc>
        <w:tc>
          <w:tcPr>
            <w:tcW w:w="1276" w:type="dxa"/>
            <w:vMerge w:val="restart"/>
            <w:tcBorders>
              <w:top w:val="single" w:sz="4" w:space="0" w:color="auto"/>
            </w:tcBorders>
            <w:shd w:val="clear" w:color="auto" w:fill="auto"/>
            <w:textDirection w:val="btLr"/>
            <w:vAlign w:val="center"/>
          </w:tcPr>
          <w:p w14:paraId="546351F6"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Male Swiss Webster mice, intraperitoneally</w:t>
            </w:r>
          </w:p>
        </w:tc>
        <w:tc>
          <w:tcPr>
            <w:tcW w:w="1275" w:type="dxa"/>
            <w:vMerge w:val="restart"/>
            <w:tcBorders>
              <w:top w:val="single" w:sz="4" w:space="0" w:color="auto"/>
            </w:tcBorders>
            <w:textDirection w:val="btLr"/>
            <w:vAlign w:val="center"/>
          </w:tcPr>
          <w:p w14:paraId="014C1AFF" w14:textId="77777777" w:rsidR="00EB16FD" w:rsidRDefault="00EB16FD" w:rsidP="00EB16FD">
            <w:pPr>
              <w:ind w:left="113" w:right="113"/>
              <w:jc w:val="center"/>
              <w:rPr>
                <w:rFonts w:ascii="Calibri" w:hAnsi="Calibri"/>
                <w:color w:val="000000"/>
                <w:sz w:val="18"/>
                <w:szCs w:val="18"/>
              </w:rPr>
            </w:pPr>
            <w:r w:rsidRPr="00912134">
              <w:rPr>
                <w:rFonts w:ascii="Calibri" w:hAnsi="Calibri"/>
                <w:color w:val="000000"/>
                <w:sz w:val="18"/>
                <w:szCs w:val="18"/>
              </w:rPr>
              <w:t xml:space="preserve">0, </w:t>
            </w:r>
            <w:r>
              <w:rPr>
                <w:rFonts w:ascii="Calibri" w:hAnsi="Calibri"/>
                <w:color w:val="000000"/>
                <w:sz w:val="18"/>
                <w:szCs w:val="18"/>
              </w:rPr>
              <w:t xml:space="preserve">20, </w:t>
            </w:r>
            <w:r w:rsidRPr="00912134">
              <w:rPr>
                <w:rFonts w:ascii="Calibri" w:hAnsi="Calibri"/>
                <w:color w:val="000000"/>
                <w:sz w:val="18"/>
                <w:szCs w:val="18"/>
              </w:rPr>
              <w:t>41,</w:t>
            </w:r>
            <w:r w:rsidRPr="00912134">
              <w:rPr>
                <w:rFonts w:ascii="Calibri" w:hAnsi="Calibri"/>
                <w:color w:val="000000"/>
                <w:sz w:val="18"/>
                <w:szCs w:val="18"/>
              </w:rPr>
              <w:br/>
              <w:t>and 82mg/kg</w:t>
            </w:r>
          </w:p>
          <w:p w14:paraId="5FB446D5" w14:textId="77777777" w:rsidR="00EB16FD" w:rsidRPr="00912134" w:rsidRDefault="00EB16FD" w:rsidP="00EB16FD">
            <w:pPr>
              <w:ind w:left="113" w:right="113"/>
              <w:jc w:val="center"/>
              <w:rPr>
                <w:rFonts w:ascii="Calibri" w:hAnsi="Calibri"/>
                <w:color w:val="000000"/>
                <w:sz w:val="18"/>
                <w:szCs w:val="18"/>
              </w:rPr>
            </w:pPr>
            <w:r>
              <w:rPr>
                <w:rFonts w:ascii="Calibri" w:hAnsi="Calibri"/>
                <w:color w:val="000000"/>
                <w:sz w:val="18"/>
                <w:szCs w:val="18"/>
              </w:rPr>
              <w:t>24 hours</w:t>
            </w:r>
          </w:p>
        </w:tc>
        <w:tc>
          <w:tcPr>
            <w:tcW w:w="1668" w:type="dxa"/>
            <w:tcBorders>
              <w:top w:val="single" w:sz="4" w:space="0" w:color="auto"/>
              <w:bottom w:val="single" w:sz="4" w:space="0" w:color="auto"/>
            </w:tcBorders>
            <w:shd w:val="clear" w:color="auto" w:fill="auto"/>
            <w:vAlign w:val="center"/>
          </w:tcPr>
          <w:p w14:paraId="220E3AF0" w14:textId="77777777"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Sperm Evaluation</w:t>
            </w:r>
          </w:p>
        </w:tc>
        <w:tc>
          <w:tcPr>
            <w:tcW w:w="1703" w:type="dxa"/>
            <w:tcBorders>
              <w:top w:val="single" w:sz="4" w:space="0" w:color="auto"/>
              <w:bottom w:val="single" w:sz="4" w:space="0" w:color="auto"/>
            </w:tcBorders>
            <w:shd w:val="clear" w:color="auto" w:fill="auto"/>
            <w:vAlign w:val="center"/>
          </w:tcPr>
          <w:p w14:paraId="16F7DB29" w14:textId="77777777"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Sperm Motility, Concentration</w:t>
            </w:r>
          </w:p>
        </w:tc>
        <w:tc>
          <w:tcPr>
            <w:tcW w:w="2010" w:type="dxa"/>
            <w:tcBorders>
              <w:top w:val="single" w:sz="4" w:space="0" w:color="auto"/>
              <w:bottom w:val="single" w:sz="4" w:space="0" w:color="auto"/>
            </w:tcBorders>
            <w:shd w:val="clear" w:color="auto" w:fill="auto"/>
            <w:vAlign w:val="center"/>
          </w:tcPr>
          <w:p w14:paraId="3D9F82CB" w14:textId="77777777" w:rsidR="00EB16FD" w:rsidRPr="00AF6261" w:rsidRDefault="00EB16FD" w:rsidP="007F1961">
            <w:pPr>
              <w:jc w:val="center"/>
              <w:rPr>
                <w:rFonts w:ascii="Calibri" w:hAnsi="Calibri" w:cs="Myriad Pro"/>
                <w:sz w:val="18"/>
                <w:szCs w:val="18"/>
                <w:lang w:val="en-US"/>
              </w:rPr>
            </w:pPr>
            <w:r w:rsidRPr="00AF6261">
              <w:rPr>
                <w:rFonts w:ascii="Calibri" w:hAnsi="Calibri" w:cs="Myriad Pro"/>
                <w:sz w:val="18"/>
                <w:szCs w:val="18"/>
                <w:lang w:val="en-US"/>
              </w:rPr>
              <w:t>Induced sperm abnormality, decreased sperm concentrations and sperm motility</w:t>
            </w:r>
          </w:p>
        </w:tc>
        <w:tc>
          <w:tcPr>
            <w:tcW w:w="2273" w:type="dxa"/>
            <w:tcBorders>
              <w:top w:val="single" w:sz="4" w:space="0" w:color="auto"/>
              <w:bottom w:val="single" w:sz="4" w:space="0" w:color="auto"/>
            </w:tcBorders>
            <w:vAlign w:val="center"/>
          </w:tcPr>
          <w:p w14:paraId="2B6989DA"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0ADA3D73" w14:textId="2DEE676C"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Impaired fertility</w:t>
            </w:r>
          </w:p>
          <w:p w14:paraId="717422AA"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(ID330 , ID406)</w:t>
            </w:r>
          </w:p>
        </w:tc>
        <w:tc>
          <w:tcPr>
            <w:tcW w:w="851" w:type="dxa"/>
            <w:vMerge w:val="restart"/>
            <w:tcBorders>
              <w:top w:val="single" w:sz="4" w:space="0" w:color="auto"/>
              <w:left w:val="nil"/>
              <w:right w:val="single" w:sz="4" w:space="0" w:color="auto"/>
            </w:tcBorders>
            <w:vAlign w:val="center"/>
          </w:tcPr>
          <w:p w14:paraId="0F62D550" w14:textId="3F990120"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{"citationItems":[{"id":"ITEM-1","itemData":{"DOI":"10.1155/2016/5283162","ISSN":"16874129","abstract":"Incredible rapid growth in the nanoparticles applications and development increases the daily human exposure to them but humans are exposed to many other pollutants in addition to nanoparticles that forced us to evaluate the effect of heavy metal cadmium chloride (CdCl2) coinjection on silver nanoparticles induced genotoxic risk in this study. Mice were injected into the abdominal cavity with single dose of Ag nanoparticles (20, 41, and 82 mg/kg) or CdCl2 (1.5 mg/kg) either separately or together simultaneously and sacrificed 24 hours later. CdCl2 cotreatment enhanced the induced dose-dependent sperm abnormality by Ag nanoparticles different doses as shown by the statistical significant decreases in both sperm concentration and motility and increases in the frequency of abnormal sperms and also potentiated the Ag nanoparticles induced chromosomal and DNA damage indicated by the statistical significant elevations in the frequencies of micronucleated polychromatic erythrocytes (MNPCEs) and DNA damage levels. Moreover, statistical elevations in malondialdehyde level and reductions in catalase activity were observed after CdCl2 coinjection with Ag nanoparticles compared with Ag nanoparticles treated groups' values. Ag nanoparticles induced sperm abnormality, clastogenicity, and genotoxicity were potentiated by heavy metal cadmium coinjection that threatens the human life and increases silver nanoparticles genotoxic risks.","author":[{"dropping-particle":"","family":"Mohamed","given":"Hanan Ramadan Hamad","non-dropping-particle":"","parse-names":false,"suffix":""}],"container-title":"Journal of Nanomaterials","id":"ITEM-1","issued":{"date-parts":[["2016"]]},"title":"Studies on the Genotoxicity Behavior of Silver Nanoparticles in the Presence of Heavy Metal Cadmium Chloride in Mice","type":"article-journal","volume":"2016"},"uris":["http://www.mendeley.com/documents/?uuid=7eed0d1c-471d-4f8f-ab08-c7fc58a9edd0"]}],"mendeley":{"formattedCitation":"(21)","plainTextFormattedCitation":"(21)","previouslyFormattedCitation":"(Mohamed 2016)"},"properties":{"noteIndex":0},"schema":"https://github.com/citation-style-language/schema/raw/master/csl-citation.json"}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(21)</w:t>
            </w:r>
            <w:r w:rsidRPr="00912134">
              <w:rPr>
                <w:rFonts w:ascii="Calibri" w:eastAsia="Times New Roman" w:hAnsi="Calibri" w:cstheme="minorHAnsi"/>
                <w:color w:val="000000"/>
                <w:sz w:val="18"/>
                <w:szCs w:val="18"/>
                <w:lang w:eastAsia="fr-FR"/>
              </w:rPr>
              <w:fldChar w:fldCharType="end"/>
            </w:r>
          </w:p>
        </w:tc>
      </w:tr>
      <w:tr w:rsidR="00EB16FD" w:rsidRPr="00912134" w14:paraId="2F291E76" w14:textId="77777777" w:rsidTr="007F1961">
        <w:trPr>
          <w:trHeight w:val="195"/>
        </w:trPr>
        <w:tc>
          <w:tcPr>
            <w:tcW w:w="1408" w:type="dxa"/>
            <w:vMerge/>
            <w:tcBorders>
              <w:left w:val="single" w:sz="4" w:space="0" w:color="auto"/>
            </w:tcBorders>
            <w:shd w:val="clear" w:color="auto" w:fill="auto"/>
            <w:textDirection w:val="btLr"/>
            <w:vAlign w:val="center"/>
          </w:tcPr>
          <w:p w14:paraId="1469E8EE" w14:textId="77777777" w:rsidR="00EB16FD" w:rsidRPr="00912134" w:rsidRDefault="00EB16FD" w:rsidP="00EB16FD">
            <w:pPr>
              <w:ind w:left="113" w:right="113"/>
              <w:jc w:val="center"/>
              <w:rPr>
                <w:rFonts w:ascii="Calibri" w:hAnsi="Calibri"/>
                <w:color w:val="000000"/>
                <w:sz w:val="18"/>
                <w:szCs w:val="18"/>
              </w:rPr>
            </w:pPr>
          </w:p>
        </w:tc>
        <w:tc>
          <w:tcPr>
            <w:tcW w:w="1276" w:type="dxa"/>
            <w:vMerge/>
            <w:shd w:val="clear" w:color="auto" w:fill="auto"/>
            <w:textDirection w:val="btLr"/>
            <w:vAlign w:val="center"/>
          </w:tcPr>
          <w:p w14:paraId="3E199CF2" w14:textId="77777777" w:rsidR="00EB16FD" w:rsidRPr="00912134" w:rsidRDefault="00EB16FD" w:rsidP="00EB16FD">
            <w:pPr>
              <w:ind w:left="113" w:right="113"/>
              <w:jc w:val="center"/>
              <w:rPr>
                <w:rFonts w:ascii="Calibri" w:hAnsi="Calibri"/>
                <w:color w:val="000000"/>
                <w:sz w:val="18"/>
                <w:szCs w:val="18"/>
              </w:rPr>
            </w:pPr>
          </w:p>
        </w:tc>
        <w:tc>
          <w:tcPr>
            <w:tcW w:w="1275" w:type="dxa"/>
            <w:vMerge/>
            <w:textDirection w:val="btLr"/>
            <w:vAlign w:val="center"/>
          </w:tcPr>
          <w:p w14:paraId="77A6C960" w14:textId="77777777" w:rsidR="00EB16FD" w:rsidRPr="00912134" w:rsidRDefault="00EB16FD" w:rsidP="00EB16FD">
            <w:pPr>
              <w:ind w:left="113" w:right="113"/>
              <w:jc w:val="center"/>
              <w:rPr>
                <w:rFonts w:ascii="Calibri" w:hAnsi="Calibri"/>
                <w:color w:val="000000"/>
                <w:sz w:val="18"/>
                <w:szCs w:val="18"/>
              </w:rPr>
            </w:pPr>
          </w:p>
        </w:tc>
        <w:tc>
          <w:tcPr>
            <w:tcW w:w="1668" w:type="dxa"/>
            <w:tcBorders>
              <w:top w:val="single" w:sz="4" w:space="0" w:color="auto"/>
              <w:bottom w:val="single" w:sz="4" w:space="0" w:color="auto"/>
            </w:tcBorders>
            <w:shd w:val="clear" w:color="auto" w:fill="auto"/>
            <w:vAlign w:val="center"/>
          </w:tcPr>
          <w:p w14:paraId="5488636E" w14:textId="2E027905" w:rsidR="00EB16FD" w:rsidRPr="00912134" w:rsidRDefault="00EB16FD" w:rsidP="007F1961">
            <w:pPr>
              <w:jc w:val="center"/>
              <w:rPr>
                <w:rFonts w:ascii="Calibri" w:hAnsi="Calibri"/>
                <w:color w:val="000000"/>
                <w:sz w:val="18"/>
                <w:szCs w:val="18"/>
              </w:rPr>
            </w:pPr>
            <w:r>
              <w:rPr>
                <w:rFonts w:ascii="Calibri" w:hAnsi="Calibri"/>
                <w:color w:val="000000"/>
                <w:sz w:val="18"/>
                <w:szCs w:val="18"/>
              </w:rPr>
              <w:t>Oxidative Status</w:t>
            </w:r>
          </w:p>
        </w:tc>
        <w:tc>
          <w:tcPr>
            <w:tcW w:w="1703" w:type="dxa"/>
            <w:tcBorders>
              <w:top w:val="single" w:sz="4" w:space="0" w:color="auto"/>
              <w:bottom w:val="single" w:sz="4" w:space="0" w:color="auto"/>
            </w:tcBorders>
            <w:shd w:val="clear" w:color="auto" w:fill="auto"/>
            <w:vAlign w:val="center"/>
          </w:tcPr>
          <w:p w14:paraId="0F5B6109"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MDA and CAT in testis and sperm</w:t>
            </w:r>
          </w:p>
        </w:tc>
        <w:tc>
          <w:tcPr>
            <w:tcW w:w="2010" w:type="dxa"/>
            <w:tcBorders>
              <w:top w:val="single" w:sz="4" w:space="0" w:color="auto"/>
              <w:bottom w:val="single" w:sz="4" w:space="0" w:color="auto"/>
            </w:tcBorders>
            <w:shd w:val="clear" w:color="auto" w:fill="auto"/>
            <w:vAlign w:val="center"/>
          </w:tcPr>
          <w:p w14:paraId="3FA6433A" w14:textId="77777777" w:rsidR="00EB16FD" w:rsidRPr="00AF6261" w:rsidRDefault="00EB16FD" w:rsidP="007F1961">
            <w:pPr>
              <w:jc w:val="center"/>
              <w:rPr>
                <w:rFonts w:ascii="Calibri" w:hAnsi="Calibri" w:cs="Myriad Pro"/>
                <w:color w:val="000000"/>
                <w:sz w:val="18"/>
                <w:szCs w:val="18"/>
                <w:lang w:val="en-US"/>
              </w:rPr>
            </w:pPr>
            <w:r w:rsidRPr="00AF6261">
              <w:rPr>
                <w:rFonts w:ascii="Calibri" w:hAnsi="Calibri" w:cs="Myriad Pro"/>
                <w:color w:val="000000"/>
                <w:sz w:val="18"/>
                <w:szCs w:val="18"/>
                <w:lang w:val="en-US"/>
              </w:rPr>
              <w:t>Increased MDA content, Decrease CAT activity</w:t>
            </w:r>
          </w:p>
        </w:tc>
        <w:tc>
          <w:tcPr>
            <w:tcW w:w="2273" w:type="dxa"/>
            <w:tcBorders>
              <w:top w:val="single" w:sz="4" w:space="0" w:color="auto"/>
              <w:bottom w:val="single" w:sz="4" w:space="0" w:color="auto"/>
            </w:tcBorders>
            <w:vAlign w:val="center"/>
          </w:tcPr>
          <w:p w14:paraId="686DE14F"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5A697A5A"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1B87A2B1" w14:textId="2FE9860A"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Oxidative Damage</w:t>
            </w:r>
          </w:p>
          <w:p w14:paraId="3D792B87"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(ID356)</w:t>
            </w:r>
          </w:p>
        </w:tc>
        <w:tc>
          <w:tcPr>
            <w:tcW w:w="851" w:type="dxa"/>
            <w:vMerge/>
            <w:tcBorders>
              <w:left w:val="nil"/>
              <w:right w:val="single" w:sz="4" w:space="0" w:color="auto"/>
            </w:tcBorders>
          </w:tcPr>
          <w:p w14:paraId="6C87C1F7"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912134" w14:paraId="14651117"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578266EA" w14:textId="77777777" w:rsidR="00EB16FD" w:rsidRPr="00912134" w:rsidRDefault="00EB16FD" w:rsidP="00EB16FD">
            <w:pPr>
              <w:ind w:left="113" w:right="113"/>
              <w:jc w:val="center"/>
              <w:rPr>
                <w:rFonts w:ascii="Calibri" w:hAnsi="Calibri"/>
                <w:color w:val="000000"/>
                <w:sz w:val="18"/>
                <w:szCs w:val="18"/>
              </w:rPr>
            </w:pPr>
          </w:p>
        </w:tc>
        <w:tc>
          <w:tcPr>
            <w:tcW w:w="1276" w:type="dxa"/>
            <w:vMerge/>
            <w:tcBorders>
              <w:bottom w:val="single" w:sz="4" w:space="0" w:color="auto"/>
            </w:tcBorders>
            <w:shd w:val="clear" w:color="auto" w:fill="auto"/>
            <w:textDirection w:val="btLr"/>
            <w:vAlign w:val="center"/>
          </w:tcPr>
          <w:p w14:paraId="40B2F4E0" w14:textId="77777777" w:rsidR="00EB16FD" w:rsidRPr="00912134" w:rsidRDefault="00EB16FD" w:rsidP="00EB16FD">
            <w:pPr>
              <w:ind w:left="113" w:right="113"/>
              <w:jc w:val="center"/>
              <w:rPr>
                <w:rFonts w:ascii="Calibri" w:hAnsi="Calibri"/>
                <w:color w:val="000000"/>
                <w:sz w:val="18"/>
                <w:szCs w:val="18"/>
              </w:rPr>
            </w:pPr>
          </w:p>
        </w:tc>
        <w:tc>
          <w:tcPr>
            <w:tcW w:w="1275" w:type="dxa"/>
            <w:vMerge/>
            <w:tcBorders>
              <w:bottom w:val="single" w:sz="4" w:space="0" w:color="auto"/>
            </w:tcBorders>
            <w:textDirection w:val="btLr"/>
            <w:vAlign w:val="center"/>
          </w:tcPr>
          <w:p w14:paraId="2C69155C" w14:textId="77777777" w:rsidR="00EB16FD" w:rsidRPr="00912134" w:rsidRDefault="00EB16FD" w:rsidP="00EB16FD">
            <w:pPr>
              <w:ind w:left="113" w:right="113"/>
              <w:jc w:val="center"/>
              <w:rPr>
                <w:rFonts w:ascii="Calibri" w:hAnsi="Calibri"/>
                <w:sz w:val="18"/>
                <w:szCs w:val="18"/>
              </w:rPr>
            </w:pPr>
          </w:p>
        </w:tc>
        <w:tc>
          <w:tcPr>
            <w:tcW w:w="1668" w:type="dxa"/>
            <w:tcBorders>
              <w:top w:val="single" w:sz="4" w:space="0" w:color="auto"/>
              <w:bottom w:val="single" w:sz="4" w:space="0" w:color="auto"/>
            </w:tcBorders>
            <w:shd w:val="clear" w:color="auto" w:fill="auto"/>
            <w:vAlign w:val="center"/>
          </w:tcPr>
          <w:p w14:paraId="5665380C" w14:textId="2CC80394" w:rsidR="00EB16FD" w:rsidRPr="00912134" w:rsidRDefault="00EB16FD" w:rsidP="007F1961">
            <w:pPr>
              <w:jc w:val="center"/>
              <w:rPr>
                <w:rFonts w:ascii="Calibri" w:hAnsi="Calibri"/>
                <w:color w:val="000000"/>
                <w:sz w:val="18"/>
                <w:szCs w:val="18"/>
              </w:rPr>
            </w:pPr>
            <w:r>
              <w:rPr>
                <w:rFonts w:ascii="Calibri" w:hAnsi="Calibri"/>
                <w:color w:val="000000"/>
                <w:sz w:val="18"/>
                <w:szCs w:val="18"/>
              </w:rPr>
              <w:t>DNA Damage</w:t>
            </w:r>
          </w:p>
        </w:tc>
        <w:tc>
          <w:tcPr>
            <w:tcW w:w="1703" w:type="dxa"/>
            <w:tcBorders>
              <w:top w:val="single" w:sz="4" w:space="0" w:color="auto"/>
              <w:bottom w:val="single" w:sz="4" w:space="0" w:color="auto"/>
            </w:tcBorders>
            <w:shd w:val="clear" w:color="auto" w:fill="auto"/>
            <w:vAlign w:val="center"/>
          </w:tcPr>
          <w:p w14:paraId="04240519"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DNA damage in testes by COMET assay</w:t>
            </w:r>
          </w:p>
        </w:tc>
        <w:tc>
          <w:tcPr>
            <w:tcW w:w="2010" w:type="dxa"/>
            <w:tcBorders>
              <w:top w:val="single" w:sz="4" w:space="0" w:color="auto"/>
              <w:bottom w:val="single" w:sz="4" w:space="0" w:color="auto"/>
            </w:tcBorders>
            <w:shd w:val="clear" w:color="auto" w:fill="auto"/>
            <w:vAlign w:val="center"/>
          </w:tcPr>
          <w:p w14:paraId="74E4304C" w14:textId="77777777" w:rsidR="00EB16FD" w:rsidRPr="00AF6261" w:rsidRDefault="00EB16FD" w:rsidP="007F1961">
            <w:pPr>
              <w:jc w:val="center"/>
              <w:rPr>
                <w:rFonts w:ascii="Calibri" w:hAnsi="Calibri" w:cs="Myriad Pro"/>
                <w:color w:val="000000"/>
                <w:sz w:val="18"/>
                <w:szCs w:val="18"/>
                <w:lang w:val="en-US"/>
              </w:rPr>
            </w:pPr>
          </w:p>
          <w:p w14:paraId="711DD7DB" w14:textId="77777777" w:rsidR="00EB16FD" w:rsidRPr="00912134" w:rsidRDefault="00EB16FD" w:rsidP="007F1961">
            <w:pPr>
              <w:jc w:val="center"/>
              <w:rPr>
                <w:rFonts w:ascii="Calibri" w:hAnsi="Calibri" w:cs="Myriad Pro"/>
                <w:color w:val="000000"/>
                <w:sz w:val="18"/>
                <w:szCs w:val="18"/>
              </w:rPr>
            </w:pPr>
            <w:r>
              <w:rPr>
                <w:rFonts w:ascii="Calibri" w:hAnsi="Calibri" w:cs="Myriad Pro"/>
                <w:color w:val="000000"/>
                <w:sz w:val="18"/>
                <w:szCs w:val="18"/>
              </w:rPr>
              <w:t>Increased</w:t>
            </w:r>
            <w:r w:rsidRPr="00912134">
              <w:rPr>
                <w:rFonts w:ascii="Calibri" w:hAnsi="Calibri" w:cs="Myriad Pro"/>
                <w:color w:val="000000"/>
                <w:sz w:val="18"/>
                <w:szCs w:val="18"/>
              </w:rPr>
              <w:t xml:space="preserve"> DNA damage</w:t>
            </w:r>
          </w:p>
          <w:p w14:paraId="20EEDD54" w14:textId="77777777" w:rsidR="00EB16FD" w:rsidRPr="00912134" w:rsidRDefault="00EB16FD" w:rsidP="007F1961">
            <w:pPr>
              <w:jc w:val="center"/>
              <w:rPr>
                <w:rFonts w:ascii="Calibri" w:hAnsi="Calibri" w:cs="Myriad Pro"/>
                <w:color w:val="000000"/>
                <w:sz w:val="18"/>
                <w:szCs w:val="18"/>
              </w:rPr>
            </w:pPr>
          </w:p>
        </w:tc>
        <w:tc>
          <w:tcPr>
            <w:tcW w:w="2273" w:type="dxa"/>
            <w:tcBorders>
              <w:top w:val="single" w:sz="4" w:space="0" w:color="auto"/>
              <w:bottom w:val="single" w:sz="4" w:space="0" w:color="auto"/>
            </w:tcBorders>
            <w:vAlign w:val="center"/>
          </w:tcPr>
          <w:p w14:paraId="06ADA13B"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lastRenderedPageBreak/>
              <w:t>Increased DNA damage (ID1194)</w:t>
            </w:r>
          </w:p>
        </w:tc>
        <w:tc>
          <w:tcPr>
            <w:tcW w:w="2386" w:type="dxa"/>
            <w:tcBorders>
              <w:top w:val="single" w:sz="4" w:space="0" w:color="auto"/>
              <w:bottom w:val="single" w:sz="4" w:space="0" w:color="auto"/>
            </w:tcBorders>
            <w:shd w:val="clear" w:color="auto" w:fill="auto"/>
            <w:vAlign w:val="center"/>
          </w:tcPr>
          <w:p w14:paraId="4E0F135F"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DNA Damage (ID1194)</w:t>
            </w:r>
          </w:p>
        </w:tc>
        <w:tc>
          <w:tcPr>
            <w:tcW w:w="851" w:type="dxa"/>
            <w:vMerge/>
            <w:tcBorders>
              <w:left w:val="nil"/>
              <w:bottom w:val="single" w:sz="4" w:space="0" w:color="auto"/>
              <w:right w:val="single" w:sz="4" w:space="0" w:color="auto"/>
            </w:tcBorders>
          </w:tcPr>
          <w:p w14:paraId="33671388"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DC5D76" w14:paraId="147D528F" w14:textId="77777777" w:rsidTr="007F1961">
        <w:trPr>
          <w:cantSplit/>
          <w:trHeight w:val="1026"/>
        </w:trPr>
        <w:tc>
          <w:tcPr>
            <w:tcW w:w="1408" w:type="dxa"/>
            <w:vMerge w:val="restart"/>
            <w:tcBorders>
              <w:top w:val="single" w:sz="4" w:space="0" w:color="auto"/>
              <w:left w:val="single" w:sz="4" w:space="0" w:color="auto"/>
            </w:tcBorders>
            <w:shd w:val="clear" w:color="auto" w:fill="auto"/>
            <w:textDirection w:val="btLr"/>
            <w:vAlign w:val="center"/>
          </w:tcPr>
          <w:p w14:paraId="044D5A2E"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Size:</w:t>
            </w:r>
            <w:r w:rsidRPr="00AF6261">
              <w:rPr>
                <w:rFonts w:ascii="Calibri" w:hAnsi="Calibri" w:cs="Calibri"/>
                <w:color w:val="000000"/>
                <w:sz w:val="18"/>
                <w:szCs w:val="18"/>
                <w:lang w:val="en-US"/>
              </w:rPr>
              <w:t xml:space="preserve">20 ± 5 nm and 200 ± 50 nm, </w:t>
            </w:r>
            <w:r w:rsidRPr="00AF6261">
              <w:rPr>
                <w:rFonts w:ascii="Calibri" w:hAnsi="Calibri"/>
                <w:color w:val="000000"/>
                <w:sz w:val="18"/>
                <w:szCs w:val="18"/>
                <w:lang w:val="en-US"/>
              </w:rPr>
              <w:t>Shape: Spherical, Zeta potential −33.6 ± 5.59 mV and −37.5 mV ± 5.18 mV</w:t>
            </w:r>
          </w:p>
        </w:tc>
        <w:tc>
          <w:tcPr>
            <w:tcW w:w="1276" w:type="dxa"/>
            <w:vMerge w:val="restart"/>
            <w:tcBorders>
              <w:top w:val="single" w:sz="4" w:space="0" w:color="auto"/>
            </w:tcBorders>
            <w:shd w:val="clear" w:color="auto" w:fill="auto"/>
            <w:textDirection w:val="btLr"/>
            <w:vAlign w:val="center"/>
          </w:tcPr>
          <w:p w14:paraId="26893A61" w14:textId="77777777" w:rsidR="00EB16FD" w:rsidRPr="00B01C89" w:rsidRDefault="00EB16FD" w:rsidP="00EB16FD">
            <w:pPr>
              <w:ind w:left="113" w:right="113"/>
              <w:jc w:val="center"/>
              <w:rPr>
                <w:rFonts w:ascii="Calibri" w:hAnsi="Calibri"/>
                <w:color w:val="000000"/>
                <w:sz w:val="18"/>
                <w:szCs w:val="18"/>
              </w:rPr>
            </w:pPr>
            <w:r>
              <w:rPr>
                <w:rFonts w:ascii="Calibri" w:hAnsi="Calibri"/>
                <w:color w:val="000000"/>
                <w:sz w:val="18"/>
                <w:szCs w:val="18"/>
              </w:rPr>
              <w:t>A</w:t>
            </w:r>
            <w:r w:rsidRPr="00912134">
              <w:rPr>
                <w:rFonts w:ascii="Calibri" w:hAnsi="Calibri"/>
                <w:color w:val="000000"/>
                <w:sz w:val="18"/>
                <w:szCs w:val="18"/>
              </w:rPr>
              <w:t>dult male Wistar rats</w:t>
            </w:r>
            <w:r>
              <w:rPr>
                <w:rFonts w:ascii="Calibri" w:hAnsi="Calibri"/>
                <w:color w:val="000000"/>
                <w:sz w:val="18"/>
                <w:szCs w:val="18"/>
              </w:rPr>
              <w:t xml:space="preserve">, </w:t>
            </w:r>
            <w:r w:rsidRPr="00B01C89">
              <w:rPr>
                <w:rFonts w:ascii="Calibri" w:hAnsi="Calibri"/>
                <w:color w:val="000000"/>
                <w:sz w:val="18"/>
                <w:szCs w:val="18"/>
              </w:rPr>
              <w:t>Intravenous</w:t>
            </w:r>
            <w:r>
              <w:rPr>
                <w:rFonts w:ascii="Calibri" w:hAnsi="Calibri"/>
                <w:color w:val="000000"/>
                <w:sz w:val="18"/>
                <w:szCs w:val="18"/>
              </w:rPr>
              <w:t xml:space="preserve"> </w:t>
            </w:r>
          </w:p>
          <w:p w14:paraId="79916065" w14:textId="77777777" w:rsidR="00EB16FD" w:rsidRPr="00912134" w:rsidRDefault="00EB16FD" w:rsidP="00EB16FD">
            <w:pPr>
              <w:ind w:left="113" w:right="113"/>
              <w:jc w:val="center"/>
              <w:rPr>
                <w:rFonts w:ascii="Calibri" w:hAnsi="Calibri"/>
                <w:color w:val="000000"/>
                <w:sz w:val="18"/>
                <w:szCs w:val="18"/>
              </w:rPr>
            </w:pPr>
          </w:p>
        </w:tc>
        <w:tc>
          <w:tcPr>
            <w:tcW w:w="1275" w:type="dxa"/>
            <w:vMerge w:val="restart"/>
            <w:tcBorders>
              <w:top w:val="single" w:sz="4" w:space="0" w:color="auto"/>
            </w:tcBorders>
            <w:textDirection w:val="btLr"/>
            <w:vAlign w:val="center"/>
          </w:tcPr>
          <w:p w14:paraId="592BF5A1"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20 nm</w:t>
            </w:r>
            <w:r w:rsidRPr="00AF6261">
              <w:rPr>
                <w:rFonts w:ascii="Calibri" w:hAnsi="Calibri"/>
                <w:color w:val="000000"/>
                <w:sz w:val="18"/>
                <w:szCs w:val="18"/>
                <w:lang w:val="en-US"/>
              </w:rPr>
              <w:br/>
              <w:t>AgNPs in two different doses (5 mg/kg body weight (b.w.) (Ag I</w:t>
            </w:r>
            <w:r w:rsidRPr="00AF6261">
              <w:rPr>
                <w:rFonts w:ascii="Calibri" w:hAnsi="Calibri"/>
                <w:color w:val="000000"/>
                <w:sz w:val="18"/>
                <w:szCs w:val="18"/>
                <w:lang w:val="en-US"/>
              </w:rPr>
              <w:br/>
              <w:t>group) and 10 mg/kg b.w. (Ag II group)) and 200 nm AgNPs at a dose</w:t>
            </w:r>
            <w:r w:rsidRPr="00AF6261">
              <w:rPr>
                <w:rFonts w:ascii="Calibri" w:hAnsi="Calibri"/>
                <w:color w:val="000000"/>
                <w:sz w:val="18"/>
                <w:szCs w:val="18"/>
                <w:lang w:val="en-US"/>
              </w:rPr>
              <w:br/>
              <w:t>of 5 mg/kg bw (Ag III group)</w:t>
            </w:r>
          </w:p>
          <w:p w14:paraId="067B13E8" w14:textId="77777777" w:rsidR="00EB16FD" w:rsidRPr="00AF6261" w:rsidRDefault="00EB16FD" w:rsidP="00EB16FD">
            <w:pPr>
              <w:ind w:left="113" w:right="113"/>
              <w:jc w:val="center"/>
              <w:rPr>
                <w:rFonts w:ascii="Calibri" w:hAnsi="Calibri"/>
                <w:color w:val="000000"/>
                <w:sz w:val="18"/>
                <w:szCs w:val="18"/>
                <w:lang w:val="en-US"/>
              </w:rPr>
            </w:pPr>
          </w:p>
          <w:p w14:paraId="3AB76CC5" w14:textId="77777777" w:rsidR="00EB16FD" w:rsidRPr="00AF6261" w:rsidRDefault="00EB16FD" w:rsidP="00EB16FD">
            <w:pPr>
              <w:ind w:left="113" w:right="113"/>
              <w:jc w:val="center"/>
              <w:rPr>
                <w:rFonts w:ascii="Calibri" w:hAnsi="Calibri"/>
                <w:color w:val="000000"/>
                <w:sz w:val="18"/>
                <w:szCs w:val="18"/>
                <w:lang w:val="en-US"/>
              </w:rPr>
            </w:pPr>
          </w:p>
          <w:p w14:paraId="29D491F7" w14:textId="77777777" w:rsidR="00EB16FD" w:rsidRPr="00AF6261" w:rsidRDefault="00EB16FD" w:rsidP="00EB16FD">
            <w:pPr>
              <w:ind w:left="113" w:right="113"/>
              <w:jc w:val="center"/>
              <w:rPr>
                <w:rFonts w:ascii="Calibri" w:hAnsi="Calibri" w:cs="Times New Roman"/>
                <w:color w:val="000000"/>
                <w:sz w:val="18"/>
                <w:szCs w:val="18"/>
                <w:lang w:val="en-US"/>
              </w:rPr>
            </w:pPr>
          </w:p>
          <w:p w14:paraId="5AF086BF" w14:textId="77777777" w:rsidR="00EB16FD" w:rsidRPr="00AF6261" w:rsidRDefault="00EB16FD" w:rsidP="00EB16FD">
            <w:pPr>
              <w:ind w:left="113" w:right="113"/>
              <w:jc w:val="center"/>
              <w:rPr>
                <w:rFonts w:ascii="Calibri" w:hAnsi="Calibr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586E3B4E" w14:textId="77777777"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Sperm Evaluation</w:t>
            </w:r>
          </w:p>
        </w:tc>
        <w:tc>
          <w:tcPr>
            <w:tcW w:w="1703" w:type="dxa"/>
            <w:tcBorders>
              <w:top w:val="single" w:sz="4" w:space="0" w:color="auto"/>
              <w:bottom w:val="single" w:sz="4" w:space="0" w:color="auto"/>
            </w:tcBorders>
            <w:shd w:val="clear" w:color="auto" w:fill="auto"/>
            <w:vAlign w:val="center"/>
          </w:tcPr>
          <w:p w14:paraId="17E60B16"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Motility, and concentration by eosin staining</w:t>
            </w:r>
          </w:p>
        </w:tc>
        <w:tc>
          <w:tcPr>
            <w:tcW w:w="2010" w:type="dxa"/>
            <w:tcBorders>
              <w:top w:val="single" w:sz="4" w:space="0" w:color="auto"/>
              <w:bottom w:val="single" w:sz="4" w:space="0" w:color="auto"/>
            </w:tcBorders>
            <w:shd w:val="clear" w:color="auto" w:fill="auto"/>
            <w:vAlign w:val="center"/>
          </w:tcPr>
          <w:p w14:paraId="6F44061C"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Decrease sperm concentrations and sperm motility</w:t>
            </w:r>
          </w:p>
        </w:tc>
        <w:tc>
          <w:tcPr>
            <w:tcW w:w="2273" w:type="dxa"/>
            <w:tcBorders>
              <w:top w:val="single" w:sz="4" w:space="0" w:color="auto"/>
              <w:bottom w:val="single" w:sz="4" w:space="0" w:color="auto"/>
            </w:tcBorders>
            <w:vAlign w:val="center"/>
          </w:tcPr>
          <w:p w14:paraId="1FAB4614"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08AC21F2" w14:textId="103E055B"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Impaired fertility</w:t>
            </w:r>
          </w:p>
          <w:p w14:paraId="4E9EE8A0"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(ID330 , ID406)</w:t>
            </w:r>
          </w:p>
        </w:tc>
        <w:tc>
          <w:tcPr>
            <w:tcW w:w="851" w:type="dxa"/>
            <w:vMerge w:val="restart"/>
            <w:tcBorders>
              <w:top w:val="single" w:sz="4" w:space="0" w:color="auto"/>
              <w:right w:val="single" w:sz="4" w:space="0" w:color="auto"/>
            </w:tcBorders>
            <w:vAlign w:val="center"/>
          </w:tcPr>
          <w:p w14:paraId="414F264E" w14:textId="23CC5D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{"citationItems":[{"id":"ITEM-1","itemData":{"DOI":"10.1016/j.taap.2016.10.013","ISSN":"10960333","PMID":"27746313","abstract":"The growing use of silver nanoparticles (AgNPs) in various applications, including consumer, agriculture and medicine products, has raised many concerns about the potential risks of nanoparticles (NPs) to human health and the environment. An increasing body of evidence suggests that AgNPs may have adverse effects of humans, thus the aim of this study was to investigate the effects of AgNPs on the male reproductive system. Silver particles (20 nm AgNPs (groups Ag I and Ag II) and 200 nm Ag sub-micron particles (SPs) (group Ag III)) were administered intravenously to male Wistar rats at a dose of 5 (groups Ag I and Ag III) or 10 (group Ag II) mg/kg of body weight. The biological material was sampled 24 h, 7 days and 28 days after injection. The obtained results revealed that the AgNPs had altered the luteinising hormone concentration in the plasma and the sex hormone concentration in the plasma and testes. Plasma and intratesticular levels of testosterone and dihydrotestosterone were significantly decreased both 7 and 28 days after treatment. No change in the prolactin and sex hormone-binding globulin concentration was observed. Exposure of the animals to AgNPs resulted in a considerable decrease in 5α-reductase type 1 and the aromatase protein level in the testis. Additionally, expression analysis of genes involved in steroidogenesis and the steroids metabolism revealed significant down-regulation of Star, Cyp11a1, Hsd3b1, Hsd17b3 and Srd5a1 mRNAs in AgNPs/AgSPs-exposed animals. The present study demonstrates the potential adverse effect on the hormonal regulation of the male reproductive function following AgNP/AgSP administration, in particular alterations of the sex steroid balance and expression of genes involved in steroidogenesis and the steroids metabolism.","author":[{"dropping-particle":"","family":"Dziendzikowska","given":"K.","non-dropping-particle":"","parse-names":false,"suffix":""},{"dropping-particle":"","family":"Krawczyńska","given":"A.","non-dropping-particle":"","parse-names":false,"suffix":""},{"dropping-particle":"","family":"Oczkowski","given":"M.","non-dropping-particle":"","parse-names":false,"suffix":""},{"dropping-particle":"","family":"Królikowski","given":"T.","non-dropping-particle":"","parse-names":false,"suffix":""},{"dropping-particle":"","family":"Brzóska","given":"K.","non-dropping-particle":"","parse-names":false,"suffix":""},{"dropping-particle":"","family":"Lankoff","given":"A.","non-dropping-particle":"","parse-names":false,"suffix":""},{"dropping-particle":"","family":"Dziendzikowski","given":"M.","non-dropping-particle":"","parse-names":false,"suffix":""},{"dropping-particle":"","family":"Stępkowski","given":"T.","non-dropping-particle":"","parse-names":false,"suffix":""},{"dropping-particle":"","family":"Kruszewski","given":"M.","non-dropping-particle":"","parse-names":false,"suffix":""},{"dropping-particle":"","family":"Gromadzka-Ostrowska","given":"J.","non-dropping-particle":"","parse-names":false,"suffix":""}],"container-title":"Toxicology and Applied Pharmacology","id":"ITEM-1","issued":{"date-parts":[["2016"]]},"page":"35-46","title":"Progressive effects of silver nanoparticles on hormonal regulation of reproduction in male rats","type":"article-journal","volume":"313"},"uris":["http://www.mendeley.com/documents/?uuid=830db28d-81a6-49fa-8ae9-f76da6e519c9"]},{"id":"ITEM-2","itemData":{"DOI":"10.1016/j.toxlet.2012.08.028","ISSN":"03784274","PMID":"22982066","abstract":"The motivation of our study was to examine the acute effects of intravenously administered a single bolus dose of silver nanoparticles (AgNPs) on rat spermatogenesis and seminiferous tubules morphology. In the treated rats compared to the vehicle treated control animals, the experiments revealed a size-dependent (20. nm and 200. nm), dose-dependent (5 and 10. mg/kg body mass) and time-dependent (24. h, 7 and 28. days) decrease the epididymal sperm count measured by histological methods. In parallel AgNPs injection increased the level of DNA damage in germ cells, as measured by alkaline comet assay. Histological examination of the testes showed change in the testes seminiferous tubule morphometry in 200. nm Ag NPs treated rats. No change of body weight, adipose tissue distribution and the frequency of abnormal spermatozoa was observed. Twenty nanometers AgNP appeared to be more toxic than 200. nm ones. © 2012 Elsevier Ireland Ltd.","author":[{"dropping-particle":"","family":"Gromadzka-Ostrowska","given":"Joanna","non-dropping-particle":"","parse-names":false,"suffix":""},{"dropping-particle":"","family":"Dziendzikowska","given":"Katarzyna","non-dropping-particle":"","parse-names":false,"suffix":""},{"dropping-particle":"","family":"Lankoff","given":"Anna","non-dropping-particle":"","pars</w:instrText>
            </w:r>
            <w:r w:rsidR="007F3FC3" w:rsidRPr="00AF6261">
              <w:rPr>
                <w:rFonts w:ascii="Calibri" w:eastAsia="Times New Roman" w:hAnsi="Calibri" w:cstheme="minorHAnsi"/>
                <w:color w:val="000000"/>
                <w:sz w:val="18"/>
                <w:szCs w:val="18"/>
                <w:lang w:val="en-US" w:eastAsia="fr-FR"/>
              </w:rPr>
              <w:instrText>e-names":false,"suffix":""},{"dropping-particle":"","family":"Dobrzyńska","given":"Małgorzata","non-dropping-particle":"","parse-names":false,"suffix":""},{"dropping-particle":"","family":"Instanes","given":"Christine","non-dropping-particle":"","parse-names":false,"suffix":""},{"dropping-particle":"","family":"Brunborg","given":"Gunnar","non-dropping-particle":"","parse-names":false,"suffix":""},{"dropping-particle":"","family":"Gajowik","given":"Aneta","non-dropping-particle":"","parse-names":false,"suffix":""},{"dropping-particle":"","family":"Radzikowska","given":"Joanna","non-dropping-particle":"","parse-names":false,"suffix":""},{"dropping-particle":"","family":"Wojewódzka","given":"Maria","non-dropping-particle":"","parse-names":false,"suffix":""},{"dropping-particle":"","family":"Kruszewski","given":"Marcin","non-dropping-particle":"","parse-names":false,"suffix":""}],"container-title":"Toxicology Letters","id":"ITEM-2","issue":"3","issued":{"date-parts":[["2012"]]},"page":"251-258","title":"Silver nanoparticles effects on epididymal sperm in rats","type":"article-journal","volume":"214"},"uris":["http://www.mendeley.com/documents/?uuid=055a11b8-cd1e-473a-b4ca-dc1f4ff8501f"]}],"mendeley":{"formattedCitation":"(22,23)","plainTextFormattedCitation":"(22,23)","previouslyFormattedCitation":"(Dziendzikowska et al. 2016; Gromadzka-Ostrowska et al. 2012)"},"properties":{"noteIndex":0},"schema":"https://github.com/citation-style-language/schema/raw/master/csl-citation.json"}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(22,23)</w:t>
            </w:r>
            <w:r w:rsidRPr="00912134">
              <w:rPr>
                <w:rFonts w:ascii="Calibri" w:eastAsia="Times New Roman" w:hAnsi="Calibri" w:cstheme="minorHAnsi"/>
                <w:color w:val="000000"/>
                <w:sz w:val="18"/>
                <w:szCs w:val="18"/>
                <w:lang w:eastAsia="fr-FR"/>
              </w:rPr>
              <w:fldChar w:fldCharType="end"/>
            </w:r>
          </w:p>
        </w:tc>
      </w:tr>
      <w:tr w:rsidR="00EB16FD" w:rsidRPr="00DC5D76" w14:paraId="486C18D5" w14:textId="77777777" w:rsidTr="007F1961">
        <w:trPr>
          <w:trHeight w:val="4558"/>
        </w:trPr>
        <w:tc>
          <w:tcPr>
            <w:tcW w:w="1408" w:type="dxa"/>
            <w:vMerge/>
            <w:tcBorders>
              <w:left w:val="single" w:sz="4" w:space="0" w:color="auto"/>
            </w:tcBorders>
            <w:shd w:val="clear" w:color="auto" w:fill="auto"/>
            <w:textDirection w:val="btLr"/>
            <w:vAlign w:val="center"/>
          </w:tcPr>
          <w:p w14:paraId="26D4F1B9" w14:textId="77777777" w:rsidR="00EB16FD" w:rsidRPr="00AF6261" w:rsidRDefault="00EB16FD" w:rsidP="00EB16FD">
            <w:pPr>
              <w:ind w:left="113" w:right="113"/>
              <w:jc w:val="center"/>
              <w:rPr>
                <w:rFonts w:ascii="Calibri" w:hAnsi="Calibri"/>
                <w:color w:val="000000"/>
                <w:sz w:val="18"/>
                <w:szCs w:val="18"/>
                <w:lang w:val="en-US"/>
              </w:rPr>
            </w:pPr>
          </w:p>
        </w:tc>
        <w:tc>
          <w:tcPr>
            <w:tcW w:w="1276" w:type="dxa"/>
            <w:vMerge/>
            <w:shd w:val="clear" w:color="auto" w:fill="auto"/>
            <w:textDirection w:val="btLr"/>
            <w:vAlign w:val="center"/>
          </w:tcPr>
          <w:p w14:paraId="5249FB68" w14:textId="77777777" w:rsidR="00EB16FD" w:rsidRPr="00AF6261" w:rsidRDefault="00EB16FD" w:rsidP="00EB16FD">
            <w:pPr>
              <w:ind w:left="113" w:right="113"/>
              <w:jc w:val="center"/>
              <w:rPr>
                <w:rFonts w:ascii="Calibri" w:hAnsi="Calibri"/>
                <w:color w:val="000000"/>
                <w:sz w:val="18"/>
                <w:szCs w:val="18"/>
                <w:lang w:val="en-US"/>
              </w:rPr>
            </w:pPr>
          </w:p>
        </w:tc>
        <w:tc>
          <w:tcPr>
            <w:tcW w:w="1275" w:type="dxa"/>
            <w:vMerge/>
            <w:textDirection w:val="btLr"/>
            <w:vAlign w:val="center"/>
          </w:tcPr>
          <w:p w14:paraId="7B3E9D45" w14:textId="77777777" w:rsidR="00EB16FD" w:rsidRPr="00AF6261" w:rsidRDefault="00EB16FD" w:rsidP="00EB16FD">
            <w:pPr>
              <w:ind w:left="113" w:right="113"/>
              <w:jc w:val="center"/>
              <w:rPr>
                <w:rFonts w:ascii="Calibri" w:hAnsi="Calibr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2C244DC3"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Hormonal Assessment</w:t>
            </w:r>
          </w:p>
        </w:tc>
        <w:tc>
          <w:tcPr>
            <w:tcW w:w="1703" w:type="dxa"/>
            <w:tcBorders>
              <w:top w:val="single" w:sz="4" w:space="0" w:color="auto"/>
              <w:bottom w:val="single" w:sz="4" w:space="0" w:color="auto"/>
            </w:tcBorders>
            <w:shd w:val="clear" w:color="auto" w:fill="auto"/>
            <w:vAlign w:val="center"/>
          </w:tcPr>
          <w:p w14:paraId="07C808AF"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LH, plasma total T and E2 hormone, DHT by radioimmunoassay and commercial kits</w:t>
            </w:r>
          </w:p>
        </w:tc>
        <w:tc>
          <w:tcPr>
            <w:tcW w:w="2010" w:type="dxa"/>
            <w:tcBorders>
              <w:top w:val="single" w:sz="4" w:space="0" w:color="auto"/>
              <w:bottom w:val="single" w:sz="4" w:space="0" w:color="auto"/>
            </w:tcBorders>
            <w:shd w:val="clear" w:color="auto" w:fill="auto"/>
            <w:vAlign w:val="center"/>
          </w:tcPr>
          <w:p w14:paraId="2001E90F"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Decrease androgen concentrations time dependent Increased plasma LH and E2 concentration  Decreased Plasma T  and DHT  concentrations</w:t>
            </w:r>
          </w:p>
        </w:tc>
        <w:tc>
          <w:tcPr>
            <w:tcW w:w="2273" w:type="dxa"/>
            <w:tcBorders>
              <w:top w:val="single" w:sz="4" w:space="0" w:color="auto"/>
              <w:bottom w:val="single" w:sz="4" w:space="0" w:color="auto"/>
            </w:tcBorders>
            <w:vAlign w:val="center"/>
          </w:tcPr>
          <w:p w14:paraId="0456A2DE" w14:textId="77777777" w:rsidR="00EB16FD" w:rsidRPr="00425212" w:rsidRDefault="00EB16FD" w:rsidP="007F1961">
            <w:pPr>
              <w:jc w:val="center"/>
              <w:rPr>
                <w:sz w:val="18"/>
                <w:szCs w:val="18"/>
                <w:lang w:val="en-US"/>
              </w:rPr>
            </w:pPr>
            <w:r w:rsidRPr="000270BA">
              <w:rPr>
                <w:sz w:val="18"/>
                <w:szCs w:val="18"/>
                <w:lang w:val="en-US"/>
              </w:rPr>
              <w:t>Reduction, testosterone</w:t>
            </w:r>
            <w:r>
              <w:rPr>
                <w:sz w:val="18"/>
                <w:szCs w:val="18"/>
                <w:lang w:val="en-US"/>
              </w:rPr>
              <w:t xml:space="preserve"> level (ID1613, ID1689, ID1612)</w:t>
            </w:r>
          </w:p>
        </w:tc>
        <w:tc>
          <w:tcPr>
            <w:tcW w:w="2386" w:type="dxa"/>
            <w:tcBorders>
              <w:top w:val="single" w:sz="4" w:space="0" w:color="auto"/>
              <w:bottom w:val="single" w:sz="4" w:space="0" w:color="auto"/>
            </w:tcBorders>
            <w:shd w:val="clear" w:color="auto" w:fill="auto"/>
            <w:vAlign w:val="center"/>
          </w:tcPr>
          <w:p w14:paraId="0AB2DDE4" w14:textId="25269E6C"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Decreased sperm quantity or quality in the adult, Decreased fertility</w:t>
            </w:r>
          </w:p>
        </w:tc>
        <w:tc>
          <w:tcPr>
            <w:tcW w:w="851" w:type="dxa"/>
            <w:vMerge/>
            <w:tcBorders>
              <w:right w:val="single" w:sz="4" w:space="0" w:color="auto"/>
            </w:tcBorders>
          </w:tcPr>
          <w:p w14:paraId="0AF732FF"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163055FE" w14:textId="77777777" w:rsidTr="007F1961">
        <w:trPr>
          <w:trHeight w:val="60"/>
        </w:trPr>
        <w:tc>
          <w:tcPr>
            <w:tcW w:w="1408" w:type="dxa"/>
            <w:vMerge/>
            <w:tcBorders>
              <w:left w:val="single" w:sz="4" w:space="0" w:color="auto"/>
            </w:tcBorders>
            <w:shd w:val="clear" w:color="auto" w:fill="auto"/>
            <w:textDirection w:val="btLr"/>
            <w:vAlign w:val="center"/>
          </w:tcPr>
          <w:p w14:paraId="7601860E" w14:textId="77777777" w:rsidR="00EB16FD" w:rsidRPr="00AF6261" w:rsidRDefault="00EB16FD" w:rsidP="00EB16FD">
            <w:pPr>
              <w:ind w:left="113" w:right="113"/>
              <w:jc w:val="center"/>
              <w:rPr>
                <w:rFonts w:ascii="Calibri" w:hAnsi="Calibri"/>
                <w:color w:val="000000"/>
                <w:sz w:val="18"/>
                <w:szCs w:val="18"/>
                <w:lang w:val="en-US"/>
              </w:rPr>
            </w:pPr>
          </w:p>
        </w:tc>
        <w:tc>
          <w:tcPr>
            <w:tcW w:w="1276" w:type="dxa"/>
            <w:vMerge/>
            <w:shd w:val="clear" w:color="auto" w:fill="auto"/>
            <w:textDirection w:val="btLr"/>
            <w:vAlign w:val="center"/>
          </w:tcPr>
          <w:p w14:paraId="3380CFC2" w14:textId="77777777" w:rsidR="00EB16FD" w:rsidRPr="00AF6261" w:rsidRDefault="00EB16FD" w:rsidP="00EB16FD">
            <w:pPr>
              <w:ind w:left="113" w:right="113"/>
              <w:jc w:val="center"/>
              <w:rPr>
                <w:rFonts w:ascii="Calibri" w:hAnsi="Calibri"/>
                <w:color w:val="000000"/>
                <w:sz w:val="18"/>
                <w:szCs w:val="18"/>
                <w:lang w:val="en-US"/>
              </w:rPr>
            </w:pPr>
          </w:p>
        </w:tc>
        <w:tc>
          <w:tcPr>
            <w:tcW w:w="1275" w:type="dxa"/>
            <w:vMerge/>
            <w:textDirection w:val="btLr"/>
            <w:vAlign w:val="center"/>
          </w:tcPr>
          <w:p w14:paraId="6FAF04F0" w14:textId="77777777" w:rsidR="00EB16FD" w:rsidRPr="00AF6261" w:rsidRDefault="00EB16FD" w:rsidP="00EB16FD">
            <w:pPr>
              <w:ind w:left="113" w:right="113"/>
              <w:jc w:val="center"/>
              <w:rPr>
                <w:rFonts w:ascii="Calibri" w:hAnsi="Calibri"/>
                <w:color w:val="000000"/>
                <w:sz w:val="18"/>
                <w:szCs w:val="18"/>
                <w:lang w:val="en-US"/>
              </w:rPr>
            </w:pPr>
          </w:p>
        </w:tc>
        <w:tc>
          <w:tcPr>
            <w:tcW w:w="1668" w:type="dxa"/>
            <w:tcBorders>
              <w:top w:val="single" w:sz="4" w:space="0" w:color="auto"/>
            </w:tcBorders>
            <w:shd w:val="clear" w:color="auto" w:fill="auto"/>
            <w:vAlign w:val="center"/>
          </w:tcPr>
          <w:p w14:paraId="285D659F" w14:textId="77777777" w:rsidR="00EB16FD" w:rsidRPr="00AF6261" w:rsidRDefault="00EB16FD" w:rsidP="007F1961">
            <w:pPr>
              <w:jc w:val="center"/>
              <w:rPr>
                <w:rFonts w:ascii="Calibri" w:hAnsi="Calibri"/>
                <w:color w:val="000000"/>
                <w:sz w:val="18"/>
                <w:szCs w:val="18"/>
                <w:lang w:val="en-US"/>
              </w:rPr>
            </w:pPr>
            <w:r w:rsidRPr="00AF6261">
              <w:rPr>
                <w:rFonts w:ascii="Calibri" w:hAnsi="Calibri" w:cs="Calibri"/>
                <w:color w:val="000000"/>
                <w:sz w:val="18"/>
                <w:szCs w:val="18"/>
                <w:lang w:val="en-US"/>
              </w:rPr>
              <w:t>Intratesticular steroid metabolism enzyme protein level</w:t>
            </w:r>
          </w:p>
        </w:tc>
        <w:tc>
          <w:tcPr>
            <w:tcW w:w="1703" w:type="dxa"/>
            <w:tcBorders>
              <w:top w:val="single" w:sz="4" w:space="0" w:color="auto"/>
            </w:tcBorders>
            <w:shd w:val="clear" w:color="auto" w:fill="auto"/>
            <w:vAlign w:val="center"/>
          </w:tcPr>
          <w:p w14:paraId="2210571C"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Aromatase (Aro) and 5</w:t>
            </w:r>
            <w:r w:rsidRPr="008B1405">
              <w:rPr>
                <w:rFonts w:ascii="Calibri" w:hAnsi="Calibri"/>
                <w:color w:val="000000"/>
                <w:sz w:val="18"/>
                <w:szCs w:val="18"/>
              </w:rPr>
              <w:t>α</w:t>
            </w:r>
            <w:r w:rsidRPr="00AF6261">
              <w:rPr>
                <w:rFonts w:ascii="Calibri" w:hAnsi="Calibri"/>
                <w:color w:val="000000"/>
                <w:sz w:val="18"/>
                <w:szCs w:val="18"/>
                <w:lang w:val="en-US"/>
              </w:rPr>
              <w:t>-reductase type 1 (Srd5a1) measurements by commercial ELISA kits</w:t>
            </w:r>
          </w:p>
        </w:tc>
        <w:tc>
          <w:tcPr>
            <w:tcW w:w="2010" w:type="dxa"/>
            <w:tcBorders>
              <w:top w:val="single" w:sz="4" w:space="0" w:color="auto"/>
            </w:tcBorders>
            <w:shd w:val="clear" w:color="auto" w:fill="auto"/>
            <w:vAlign w:val="center"/>
          </w:tcPr>
          <w:p w14:paraId="67EA988C" w14:textId="5598584B"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A progressive decrease in the intratesticular levels of androgens and proteins</w:t>
            </w:r>
          </w:p>
        </w:tc>
        <w:tc>
          <w:tcPr>
            <w:tcW w:w="2273" w:type="dxa"/>
            <w:vMerge w:val="restart"/>
            <w:tcBorders>
              <w:top w:val="single" w:sz="4" w:space="0" w:color="auto"/>
            </w:tcBorders>
            <w:vAlign w:val="center"/>
          </w:tcPr>
          <w:p w14:paraId="2DEB28B9"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Decrease, Steroidogenic acute regulatory protein (STAR) (ID 436)</w:t>
            </w:r>
          </w:p>
        </w:tc>
        <w:tc>
          <w:tcPr>
            <w:tcW w:w="2386" w:type="dxa"/>
            <w:vMerge w:val="restart"/>
            <w:tcBorders>
              <w:top w:val="single" w:sz="4" w:space="0" w:color="auto"/>
            </w:tcBorders>
            <w:shd w:val="clear" w:color="auto" w:fill="auto"/>
            <w:vAlign w:val="center"/>
          </w:tcPr>
          <w:p w14:paraId="31861055"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Reduction, Cholesterol transport in mitochondria (ID447)</w:t>
            </w:r>
          </w:p>
          <w:p w14:paraId="7F2D5F85" w14:textId="508024E3" w:rsidR="00EB16FD" w:rsidRPr="00AF6261" w:rsidRDefault="00EB16FD" w:rsidP="007F1961">
            <w:pPr>
              <w:jc w:val="center"/>
              <w:rPr>
                <w:rFonts w:ascii="Calibri" w:hAnsi="Calibri"/>
                <w:b/>
                <w:color w:val="000000"/>
                <w:sz w:val="18"/>
                <w:szCs w:val="18"/>
                <w:lang w:val="en-US"/>
              </w:rPr>
            </w:pPr>
            <w:r w:rsidRPr="008B1405">
              <w:rPr>
                <w:sz w:val="18"/>
                <w:szCs w:val="18"/>
                <w:lang w:val="en-US"/>
              </w:rPr>
              <w:t>Reduction, testosterone level (ID1613, ID1689, ID1612)</w:t>
            </w:r>
          </w:p>
        </w:tc>
        <w:tc>
          <w:tcPr>
            <w:tcW w:w="851" w:type="dxa"/>
            <w:vMerge/>
            <w:tcBorders>
              <w:right w:val="single" w:sz="4" w:space="0" w:color="auto"/>
            </w:tcBorders>
          </w:tcPr>
          <w:p w14:paraId="0AB67EEF"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58FB1860" w14:textId="77777777" w:rsidTr="007F1961">
        <w:trPr>
          <w:trHeight w:val="60"/>
        </w:trPr>
        <w:tc>
          <w:tcPr>
            <w:tcW w:w="1408" w:type="dxa"/>
            <w:vMerge/>
            <w:tcBorders>
              <w:left w:val="single" w:sz="4" w:space="0" w:color="auto"/>
              <w:bottom w:val="single" w:sz="4" w:space="0" w:color="auto"/>
            </w:tcBorders>
            <w:shd w:val="clear" w:color="auto" w:fill="auto"/>
            <w:textDirection w:val="btLr"/>
            <w:vAlign w:val="center"/>
          </w:tcPr>
          <w:p w14:paraId="575FA978" w14:textId="77777777" w:rsidR="00EB16FD" w:rsidRPr="00AF6261" w:rsidRDefault="00EB16FD" w:rsidP="00EB16FD">
            <w:pPr>
              <w:ind w:left="113" w:right="113"/>
              <w:jc w:val="center"/>
              <w:rPr>
                <w:rFonts w:ascii="Calibri" w:hAnsi="Calibri" w:cs="Calibri"/>
                <w:color w:val="000000"/>
                <w:sz w:val="18"/>
                <w:szCs w:val="18"/>
                <w:lang w:val="en-US"/>
              </w:rPr>
            </w:pPr>
          </w:p>
        </w:tc>
        <w:tc>
          <w:tcPr>
            <w:tcW w:w="1276" w:type="dxa"/>
            <w:vMerge/>
            <w:tcBorders>
              <w:bottom w:val="single" w:sz="4" w:space="0" w:color="auto"/>
            </w:tcBorders>
            <w:shd w:val="clear" w:color="auto" w:fill="auto"/>
            <w:textDirection w:val="btLr"/>
            <w:vAlign w:val="center"/>
          </w:tcPr>
          <w:p w14:paraId="0BF54347" w14:textId="77777777" w:rsidR="00EB16FD" w:rsidRPr="00AF6261" w:rsidRDefault="00EB16FD" w:rsidP="00EB16FD">
            <w:pPr>
              <w:ind w:left="113" w:right="113"/>
              <w:jc w:val="center"/>
              <w:rPr>
                <w:rFonts w:ascii="Calibri" w:hAnsi="Calibri" w:cs="Calibri"/>
                <w:color w:val="000000"/>
                <w:sz w:val="18"/>
                <w:szCs w:val="18"/>
                <w:lang w:val="en-US"/>
              </w:rPr>
            </w:pPr>
          </w:p>
        </w:tc>
        <w:tc>
          <w:tcPr>
            <w:tcW w:w="1275" w:type="dxa"/>
            <w:vMerge/>
            <w:tcBorders>
              <w:bottom w:val="single" w:sz="4" w:space="0" w:color="auto"/>
            </w:tcBorders>
            <w:textDirection w:val="btLr"/>
            <w:vAlign w:val="center"/>
          </w:tcPr>
          <w:p w14:paraId="5B22B6BC" w14:textId="77777777" w:rsidR="00EB16FD" w:rsidRPr="00AF6261" w:rsidRDefault="00EB16FD" w:rsidP="00EB16FD">
            <w:pPr>
              <w:ind w:left="113" w:right="113"/>
              <w:jc w:val="center"/>
              <w:rPr>
                <w:rFonts w:ascii="Calibri" w:hAnsi="Calibri" w:cs="Times New Roman"/>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5DC9301F" w14:textId="5F140B0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Steroidogenesis and steroid metabolism gene expression</w:t>
            </w:r>
          </w:p>
        </w:tc>
        <w:tc>
          <w:tcPr>
            <w:tcW w:w="1703" w:type="dxa"/>
            <w:tcBorders>
              <w:top w:val="single" w:sz="4" w:space="0" w:color="auto"/>
              <w:bottom w:val="single" w:sz="4" w:space="0" w:color="auto"/>
            </w:tcBorders>
            <w:shd w:val="clear" w:color="auto" w:fill="auto"/>
            <w:vAlign w:val="center"/>
          </w:tcPr>
          <w:p w14:paraId="0A480FB3"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Expression of Star,Cyp11a1, Hsd3b1 and Hsd17b3 by qPCR</w:t>
            </w:r>
          </w:p>
        </w:tc>
        <w:tc>
          <w:tcPr>
            <w:tcW w:w="2010" w:type="dxa"/>
            <w:tcBorders>
              <w:top w:val="single" w:sz="4" w:space="0" w:color="auto"/>
              <w:bottom w:val="single" w:sz="4" w:space="0" w:color="auto"/>
            </w:tcBorders>
            <w:shd w:val="clear" w:color="auto" w:fill="auto"/>
            <w:vAlign w:val="center"/>
          </w:tcPr>
          <w:p w14:paraId="098EF1DD"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Genes related to sper-matogenesis were down-regulated</w:t>
            </w:r>
          </w:p>
        </w:tc>
        <w:tc>
          <w:tcPr>
            <w:tcW w:w="2273" w:type="dxa"/>
            <w:vMerge/>
            <w:tcBorders>
              <w:bottom w:val="single" w:sz="4" w:space="0" w:color="auto"/>
            </w:tcBorders>
            <w:vAlign w:val="center"/>
          </w:tcPr>
          <w:p w14:paraId="4BE168BA" w14:textId="77777777" w:rsidR="00EB16FD" w:rsidRPr="00AF6261" w:rsidRDefault="00EB16FD" w:rsidP="007F1961">
            <w:pPr>
              <w:jc w:val="center"/>
              <w:rPr>
                <w:rFonts w:ascii="Calibri" w:hAnsi="Calibri"/>
                <w:color w:val="000000"/>
                <w:sz w:val="18"/>
                <w:szCs w:val="18"/>
                <w:lang w:val="en-US"/>
              </w:rPr>
            </w:pPr>
          </w:p>
        </w:tc>
        <w:tc>
          <w:tcPr>
            <w:tcW w:w="2386" w:type="dxa"/>
            <w:vMerge/>
            <w:tcBorders>
              <w:bottom w:val="single" w:sz="4" w:space="0" w:color="auto"/>
            </w:tcBorders>
            <w:shd w:val="clear" w:color="auto" w:fill="auto"/>
            <w:vAlign w:val="center"/>
          </w:tcPr>
          <w:p w14:paraId="217B7F50" w14:textId="77777777" w:rsidR="00EB16FD" w:rsidRPr="00AF6261" w:rsidRDefault="00EB16FD" w:rsidP="007F1961">
            <w:pPr>
              <w:jc w:val="center"/>
              <w:rPr>
                <w:rFonts w:ascii="Calibri" w:hAnsi="Calibri"/>
                <w:color w:val="000000"/>
                <w:sz w:val="18"/>
                <w:szCs w:val="18"/>
                <w:lang w:val="en-US"/>
              </w:rPr>
            </w:pPr>
          </w:p>
        </w:tc>
        <w:tc>
          <w:tcPr>
            <w:tcW w:w="851" w:type="dxa"/>
            <w:vMerge/>
            <w:tcBorders>
              <w:bottom w:val="single" w:sz="4" w:space="0" w:color="auto"/>
              <w:right w:val="single" w:sz="4" w:space="0" w:color="auto"/>
            </w:tcBorders>
          </w:tcPr>
          <w:p w14:paraId="19CFEE71"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713E0206" w14:textId="77777777" w:rsidTr="007F1961">
        <w:trPr>
          <w:trHeight w:val="60"/>
        </w:trPr>
        <w:tc>
          <w:tcPr>
            <w:tcW w:w="1408" w:type="dxa"/>
            <w:vMerge w:val="restart"/>
            <w:tcBorders>
              <w:left w:val="single" w:sz="4" w:space="0" w:color="auto"/>
            </w:tcBorders>
            <w:shd w:val="clear" w:color="auto" w:fill="auto"/>
            <w:textDirection w:val="btLr"/>
            <w:vAlign w:val="center"/>
          </w:tcPr>
          <w:p w14:paraId="7C0FBDDD" w14:textId="7CBB0A09" w:rsidR="00EB16FD" w:rsidRPr="00AF6261" w:rsidRDefault="00EB16FD" w:rsidP="00EB16FD">
            <w:pPr>
              <w:ind w:left="113" w:right="113"/>
              <w:jc w:val="center"/>
              <w:rPr>
                <w:rFonts w:ascii="Calibri" w:hAnsi="Calibri" w:cs="Calibri"/>
                <w:color w:val="000000"/>
                <w:sz w:val="18"/>
                <w:szCs w:val="18"/>
                <w:lang w:val="en-US"/>
              </w:rPr>
            </w:pPr>
            <w:r w:rsidRPr="00AF6261">
              <w:rPr>
                <w:rFonts w:ascii="Calibri" w:hAnsi="Calibri" w:cs="Calibri"/>
                <w:color w:val="000000"/>
                <w:sz w:val="18"/>
                <w:szCs w:val="18"/>
                <w:lang w:val="en-US"/>
              </w:rPr>
              <w:t>20 nm</w:t>
            </w:r>
          </w:p>
        </w:tc>
        <w:tc>
          <w:tcPr>
            <w:tcW w:w="1276" w:type="dxa"/>
            <w:vMerge w:val="restart"/>
            <w:shd w:val="clear" w:color="auto" w:fill="auto"/>
            <w:textDirection w:val="btLr"/>
            <w:vAlign w:val="center"/>
          </w:tcPr>
          <w:p w14:paraId="02F3C372" w14:textId="5BB4A6C9" w:rsidR="00EB16FD" w:rsidRPr="00AF6261" w:rsidRDefault="00EB16FD" w:rsidP="00EB16FD">
            <w:pPr>
              <w:ind w:left="113" w:right="113"/>
              <w:jc w:val="center"/>
              <w:rPr>
                <w:rFonts w:ascii="Calibri" w:hAnsi="Calibri" w:cs="Calibri"/>
                <w:color w:val="000000"/>
                <w:sz w:val="18"/>
                <w:szCs w:val="18"/>
                <w:lang w:val="en-US"/>
              </w:rPr>
            </w:pPr>
            <w:r w:rsidRPr="00AF6261">
              <w:rPr>
                <w:rFonts w:cstheme="minorHAnsi"/>
                <w:color w:val="000000"/>
                <w:sz w:val="18"/>
                <w:szCs w:val="18"/>
                <w:lang w:val="en-US"/>
              </w:rPr>
              <w:t xml:space="preserve">ICR Mice, </w:t>
            </w:r>
            <w:r w:rsidRPr="00AF6261">
              <w:rPr>
                <w:rFonts w:cstheme="minorHAnsi"/>
                <w:sz w:val="18"/>
                <w:szCs w:val="18"/>
                <w:lang w:val="en-US"/>
              </w:rPr>
              <w:t>intravenous</w:t>
            </w:r>
            <w:r w:rsidRPr="00AF6261">
              <w:rPr>
                <w:rFonts w:cstheme="minorHAnsi"/>
                <w:color w:val="000000"/>
                <w:sz w:val="18"/>
                <w:szCs w:val="18"/>
                <w:lang w:val="en-US"/>
              </w:rPr>
              <w:t xml:space="preserve"> </w:t>
            </w:r>
          </w:p>
        </w:tc>
        <w:tc>
          <w:tcPr>
            <w:tcW w:w="1275" w:type="dxa"/>
            <w:vMerge w:val="restart"/>
            <w:textDirection w:val="btLr"/>
            <w:vAlign w:val="center"/>
          </w:tcPr>
          <w:p w14:paraId="5C9D9F24" w14:textId="3C6F5060" w:rsidR="00EB16FD" w:rsidRPr="00AF6261" w:rsidRDefault="00EB16FD" w:rsidP="00EB16FD">
            <w:pPr>
              <w:ind w:left="113" w:right="113"/>
              <w:jc w:val="center"/>
              <w:rPr>
                <w:rFonts w:ascii="Calibri" w:hAnsi="Calibri" w:cs="Times New Roman"/>
                <w:color w:val="000000"/>
                <w:sz w:val="18"/>
                <w:szCs w:val="18"/>
                <w:lang w:val="en-US"/>
              </w:rPr>
            </w:pPr>
            <w:r w:rsidRPr="00AF6261">
              <w:rPr>
                <w:rFonts w:cstheme="minorHAnsi"/>
                <w:sz w:val="18"/>
                <w:szCs w:val="18"/>
                <w:lang w:val="en-US"/>
              </w:rPr>
              <w:t xml:space="preserve">0.5mg/kg and 1 mg/kg of AgNPs </w:t>
            </w:r>
          </w:p>
        </w:tc>
        <w:tc>
          <w:tcPr>
            <w:tcW w:w="1668" w:type="dxa"/>
            <w:tcBorders>
              <w:top w:val="single" w:sz="4" w:space="0" w:color="auto"/>
              <w:bottom w:val="single" w:sz="4" w:space="0" w:color="auto"/>
            </w:tcBorders>
            <w:shd w:val="clear" w:color="auto" w:fill="auto"/>
            <w:vAlign w:val="center"/>
          </w:tcPr>
          <w:p w14:paraId="25EF00CC" w14:textId="0282112B" w:rsidR="00EB16FD" w:rsidRPr="00AF6261" w:rsidRDefault="00EB16FD" w:rsidP="007F1961">
            <w:pPr>
              <w:jc w:val="center"/>
              <w:rPr>
                <w:rFonts w:ascii="Calibri" w:hAnsi="Calibri"/>
                <w:color w:val="000000"/>
                <w:sz w:val="18"/>
                <w:szCs w:val="18"/>
                <w:lang w:val="en-US"/>
              </w:rPr>
            </w:pPr>
            <w:r w:rsidRPr="00AF6261">
              <w:rPr>
                <w:rFonts w:cstheme="minorHAnsi"/>
                <w:sz w:val="18"/>
                <w:szCs w:val="18"/>
                <w:lang w:val="en-US"/>
              </w:rPr>
              <w:t>Expression of cytokines</w:t>
            </w:r>
          </w:p>
        </w:tc>
        <w:tc>
          <w:tcPr>
            <w:tcW w:w="1703" w:type="dxa"/>
            <w:tcBorders>
              <w:top w:val="single" w:sz="4" w:space="0" w:color="auto"/>
              <w:bottom w:val="single" w:sz="4" w:space="0" w:color="auto"/>
            </w:tcBorders>
            <w:shd w:val="clear" w:color="auto" w:fill="auto"/>
            <w:vAlign w:val="center"/>
          </w:tcPr>
          <w:p w14:paraId="5CFE5EFC" w14:textId="52D94489" w:rsidR="00EB16FD" w:rsidRPr="00AF6261" w:rsidRDefault="00EB16FD" w:rsidP="007F1961">
            <w:pPr>
              <w:jc w:val="center"/>
              <w:rPr>
                <w:rFonts w:ascii="Calibri" w:hAnsi="Calibri"/>
                <w:color w:val="000000"/>
                <w:sz w:val="18"/>
                <w:szCs w:val="18"/>
                <w:lang w:val="en-US"/>
              </w:rPr>
            </w:pPr>
            <w:r w:rsidRPr="00AF6261">
              <w:rPr>
                <w:rFonts w:cstheme="minorHAnsi"/>
                <w:sz w:val="18"/>
                <w:szCs w:val="18"/>
                <w:lang w:val="en-US"/>
              </w:rPr>
              <w:t>TNF-</w:t>
            </w:r>
            <w:r>
              <w:rPr>
                <w:rFonts w:cstheme="minorHAnsi"/>
                <w:sz w:val="18"/>
                <w:szCs w:val="18"/>
              </w:rPr>
              <w:t>α</w:t>
            </w:r>
            <w:r w:rsidRPr="00AF6261">
              <w:rPr>
                <w:rFonts w:cstheme="minorHAnsi"/>
                <w:sz w:val="18"/>
                <w:szCs w:val="18"/>
                <w:lang w:val="en-US"/>
              </w:rPr>
              <w:t>, IFN-</w:t>
            </w:r>
            <w:r>
              <w:rPr>
                <w:rFonts w:cstheme="minorHAnsi"/>
                <w:sz w:val="18"/>
                <w:szCs w:val="18"/>
              </w:rPr>
              <w:t>γ</w:t>
            </w:r>
            <w:r w:rsidRPr="00AF6261">
              <w:rPr>
                <w:rFonts w:cstheme="minorHAnsi"/>
                <w:sz w:val="18"/>
                <w:szCs w:val="18"/>
                <w:lang w:val="en-US"/>
              </w:rPr>
              <w:t>, IL-6, IL-1</w:t>
            </w:r>
            <w:r>
              <w:rPr>
                <w:rFonts w:ascii="Times New Roman" w:hAnsi="Times New Roman" w:cs="Times New Roman"/>
                <w:sz w:val="18"/>
                <w:szCs w:val="18"/>
              </w:rPr>
              <w:t>β</w:t>
            </w:r>
            <w:r w:rsidRPr="00AF6261">
              <w:rPr>
                <w:rFonts w:cstheme="minorHAnsi"/>
                <w:sz w:val="18"/>
                <w:szCs w:val="18"/>
                <w:lang w:val="en-US"/>
              </w:rPr>
              <w:t xml:space="preserve"> and MCP-1 genes expressions</w:t>
            </w:r>
          </w:p>
        </w:tc>
        <w:tc>
          <w:tcPr>
            <w:tcW w:w="2010" w:type="dxa"/>
            <w:tcBorders>
              <w:top w:val="single" w:sz="4" w:space="0" w:color="auto"/>
              <w:bottom w:val="single" w:sz="4" w:space="0" w:color="auto"/>
            </w:tcBorders>
            <w:shd w:val="clear" w:color="auto" w:fill="auto"/>
            <w:vAlign w:val="center"/>
          </w:tcPr>
          <w:p w14:paraId="258ED153" w14:textId="74271229" w:rsidR="00EB16FD" w:rsidRPr="00AF6261" w:rsidRDefault="00EB16FD" w:rsidP="007F1961">
            <w:pPr>
              <w:jc w:val="center"/>
              <w:rPr>
                <w:rFonts w:ascii="Calibri" w:hAnsi="Calibri"/>
                <w:color w:val="000000"/>
                <w:sz w:val="18"/>
                <w:szCs w:val="18"/>
                <w:lang w:val="en-US"/>
              </w:rPr>
            </w:pPr>
            <w:r w:rsidRPr="00AF6261">
              <w:rPr>
                <w:rFonts w:cstheme="minorHAnsi"/>
                <w:color w:val="000000"/>
                <w:sz w:val="18"/>
                <w:szCs w:val="18"/>
                <w:lang w:val="en-US"/>
              </w:rPr>
              <w:t xml:space="preserve">Increased </w:t>
            </w:r>
            <w:r w:rsidRPr="00AF6261">
              <w:rPr>
                <w:rFonts w:cstheme="minorHAnsi"/>
                <w:sz w:val="18"/>
                <w:szCs w:val="18"/>
                <w:lang w:val="en-US"/>
              </w:rPr>
              <w:t>TNF-</w:t>
            </w:r>
            <w:r>
              <w:rPr>
                <w:rFonts w:cstheme="minorHAnsi"/>
                <w:sz w:val="18"/>
                <w:szCs w:val="18"/>
              </w:rPr>
              <w:t>α</w:t>
            </w:r>
            <w:r w:rsidRPr="00AF6261">
              <w:rPr>
                <w:rFonts w:cstheme="minorHAnsi"/>
                <w:sz w:val="18"/>
                <w:szCs w:val="18"/>
                <w:lang w:val="en-US"/>
              </w:rPr>
              <w:t>, IFN-</w:t>
            </w:r>
            <w:r>
              <w:rPr>
                <w:rFonts w:cstheme="minorHAnsi"/>
                <w:sz w:val="18"/>
                <w:szCs w:val="18"/>
              </w:rPr>
              <w:t>γ</w:t>
            </w:r>
            <w:r w:rsidRPr="00AF6261">
              <w:rPr>
                <w:rFonts w:cstheme="minorHAnsi"/>
                <w:sz w:val="18"/>
                <w:szCs w:val="18"/>
                <w:lang w:val="en-US"/>
              </w:rPr>
              <w:t>, IL-6, IL-1</w:t>
            </w:r>
            <w:r>
              <w:rPr>
                <w:rFonts w:ascii="Times New Roman" w:hAnsi="Times New Roman" w:cs="Times New Roman"/>
                <w:sz w:val="18"/>
                <w:szCs w:val="18"/>
              </w:rPr>
              <w:t>β</w:t>
            </w:r>
            <w:r w:rsidRPr="00AF6261">
              <w:rPr>
                <w:rFonts w:cstheme="minorHAnsi"/>
                <w:sz w:val="18"/>
                <w:szCs w:val="18"/>
                <w:lang w:val="en-US"/>
              </w:rPr>
              <w:t xml:space="preserve"> and MCP-1 expression level</w:t>
            </w:r>
          </w:p>
        </w:tc>
        <w:tc>
          <w:tcPr>
            <w:tcW w:w="2273" w:type="dxa"/>
            <w:tcBorders>
              <w:bottom w:val="single" w:sz="4" w:space="0" w:color="auto"/>
            </w:tcBorders>
            <w:vAlign w:val="center"/>
          </w:tcPr>
          <w:p w14:paraId="73012694" w14:textId="19F0B04C" w:rsidR="00EB16FD" w:rsidRPr="00AF6261" w:rsidRDefault="00EB16FD" w:rsidP="007F1961">
            <w:pPr>
              <w:jc w:val="center"/>
              <w:rPr>
                <w:rFonts w:ascii="Calibri" w:hAnsi="Calibri"/>
                <w:color w:val="000000"/>
                <w:sz w:val="18"/>
                <w:szCs w:val="18"/>
                <w:lang w:val="en-US"/>
              </w:rPr>
            </w:pPr>
            <w:r w:rsidRPr="00AF6261">
              <w:rPr>
                <w:rFonts w:ascii="Calibri" w:hAnsi="Calibri" w:cstheme="minorHAnsi"/>
                <w:bCs/>
                <w:sz w:val="18"/>
                <w:szCs w:val="18"/>
                <w:lang w:val="en-US"/>
              </w:rPr>
              <w:t>Increased Pro-inflammatory mediators (</w:t>
            </w:r>
            <w:r w:rsidRPr="000C0945">
              <w:rPr>
                <w:rFonts w:cstheme="minorHAnsi"/>
                <w:bCs/>
                <w:sz w:val="18"/>
                <w:szCs w:val="18"/>
                <w:lang w:val="en-US"/>
              </w:rPr>
              <w:t>ID1493)</w:t>
            </w:r>
          </w:p>
        </w:tc>
        <w:tc>
          <w:tcPr>
            <w:tcW w:w="2386" w:type="dxa"/>
            <w:tcBorders>
              <w:bottom w:val="single" w:sz="4" w:space="0" w:color="auto"/>
            </w:tcBorders>
            <w:shd w:val="clear" w:color="auto" w:fill="auto"/>
            <w:vAlign w:val="center"/>
          </w:tcPr>
          <w:p w14:paraId="0E31FC45" w14:textId="41A821C3" w:rsidR="00EB16FD" w:rsidRPr="00AF6261" w:rsidRDefault="00EB16FD" w:rsidP="007F1961">
            <w:pPr>
              <w:jc w:val="center"/>
              <w:rPr>
                <w:rFonts w:ascii="Calibri" w:hAnsi="Calibri"/>
                <w:color w:val="000000"/>
                <w:sz w:val="18"/>
                <w:szCs w:val="18"/>
                <w:lang w:val="en-US"/>
              </w:rPr>
            </w:pPr>
            <w:r w:rsidRPr="00AF6261">
              <w:rPr>
                <w:rFonts w:ascii="Calibri" w:hAnsi="Calibri" w:cstheme="minorHAnsi"/>
                <w:sz w:val="18"/>
                <w:szCs w:val="18"/>
                <w:lang w:val="en-US"/>
              </w:rPr>
              <w:t>Inflammation (ID 149, 1087, 1633)</w:t>
            </w:r>
          </w:p>
        </w:tc>
        <w:tc>
          <w:tcPr>
            <w:tcW w:w="851" w:type="dxa"/>
            <w:vMerge w:val="restart"/>
            <w:tcBorders>
              <w:right w:val="single" w:sz="4" w:space="0" w:color="auto"/>
            </w:tcBorders>
            <w:vAlign w:val="center"/>
          </w:tcPr>
          <w:p w14:paraId="2EA7AA53" w14:textId="09CE09F1"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{"citationItems":[{"id":"ITEM-1","itemData":{"DOI":"10.3109/17435390.2015.1073396","ISSN":"17435404","PMID":"26470004","abstract":"Silver nanoparticles (AgNPs) are widely used as an antibiotic agent in textiles, wound dressings, medical devices, and a</w:instrText>
            </w:r>
            <w:r w:rsidR="007F3FC3">
              <w:rPr>
                <w:rFonts w:ascii="Calibri" w:eastAsia="Times New Roman" w:hAnsi="Calibri" w:cstheme="minorHAnsi"/>
                <w:color w:val="000000"/>
                <w:sz w:val="18"/>
                <w:szCs w:val="18"/>
                <w:lang w:eastAsia="fr-FR"/>
              </w:rPr>
              <w:instrText>ppliances such as refrigerators and washing machines. The increasing use of AgNPs has raised concerns about their potential risks to human health. Therefore, this study was aimed to determine the impact of AgNPs in germ cell specific complications in mice. The administration of AgNPs results in toxicity in mice; however, a more detailed understanding of the effects of AgNPs on germ cells remains poorly understood. Here, we demonstrate the effects of AgNPs (20 nm in diameter) in a mouse Sertoli and granulosa cells in vitro, and in male and female mice in vivo. Soluble silver ion (Ag+)-treated cells were used as a positive control. We found that excessive AgNP-treated cells exhibited cytotoxicity, the formation of autophagosomes and autolysosomes in Sertoli cells. Furthermore, an increase in mitochondrial-mediated apoptosis by cytochrome c release from mitochondria due to translocation of Bax to mitochondria was observed. In in vivo studies, the expression of pro-inflammatory cytokines, including tumor necrosis factor α, interferon-γ, -6, -1β, and monocyte chemoattractant protein-1 were significantly increased (p &lt; 0.05). Histopathological analysis of AgNP-treated mice shows that a significant loss of male and female germ cells. Taken together, these data suggest that AgNPs with an average size of 20 nm have negative impact on the reproduction.","author":[{"dropping-particle":"","family":"Han","given":"Jae Woong","non-dropping-particle":"","parse-names":false,"suffix":""},{"dropping-particle":"","family":"Jeong","given":"Jae Kyo","non-dropping-particle":"","parse-names":false,"suffix":""},{"dropping-particle":"","family":"Gurunathan","given":"Sangiliyandi","non-dropping-particle":"","parse-names":false,"suffix":""},{"dropping-particle":"","family":"Choi","g</w:instrText>
            </w:r>
            <w:r w:rsidR="007F3FC3" w:rsidRPr="00AF6261">
              <w:rPr>
                <w:rFonts w:ascii="Calibri" w:eastAsia="Times New Roman" w:hAnsi="Calibri" w:cstheme="minorHAnsi"/>
                <w:color w:val="000000"/>
                <w:sz w:val="18"/>
                <w:szCs w:val="18"/>
                <w:lang w:val="en-US" w:eastAsia="fr-FR"/>
              </w:rPr>
              <w:instrText>iven":"Yun Jung","non-dropping-particle":"","parse-names":false,"suffix":""},{"dropping-particle":"","family":"Das","given":"Joydeep","non-dropping-particle":"","parse-names":false,"suffix":""},{"dropping-particle":"","family":"Kwon","given":"Deug Nam","non-dropping-particle":"","parse-names":false,"suffix":""},{"dropping-particle":"","family":"Cho","given":"Ssang Goo","non-dropping-particle":"","parse-names":false,"suffix":""},{"dropping-particle":"","family":"Park","given":"Chankyu","non-dropping-particle":"","parse-names":false,"suffix":""},{"dropping-particle":"","family":"Seo","given":"Han Geuk","non-dropping-particle":"","parse-names":false,"suffix":""},{"dropping-particle":"","family":"Park","given":"Jin Ki","non-dropping-particle":"","parse-names":false,"suffix":""},{"dropping-particle":"","family":"Kim","given":"Jin Hoi","non-dropping-particle":"","parse-names":false,"suffix":""}],"container-title":"Nanotoxicology","id":"ITEM-1","issue":"3","issued":{"date-parts":[["2016"]]},"page":"361-373","title":"Male- and female-derived somatic and germ cell-specific toxicity of silver nanoparticles in mouse","type":"article-journal","volume":"10"},"uris":["http://www.mendeley.com/documents/?uuid=3b63f2ef-3c70-4201-b9f3-f78ea37702a4"]}],"mendeley":{"formattedCitation":"(24)","plainTextFormattedCitation":"(24)","previouslyFormattedCitation":"(Han et al. 2016)"},"properties":{"noteIndex":0},"schema":"https://github.com/citation-style-language/schema/raw/master/csl-citation.json"}</w:instrText>
            </w:r>
            <w:r>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(24)</w:t>
            </w:r>
            <w:r>
              <w:rPr>
                <w:rFonts w:ascii="Calibri" w:eastAsia="Times New Roman" w:hAnsi="Calibri" w:cstheme="minorHAnsi"/>
                <w:color w:val="000000"/>
                <w:sz w:val="18"/>
                <w:szCs w:val="18"/>
                <w:lang w:eastAsia="fr-FR"/>
              </w:rPr>
              <w:fldChar w:fldCharType="end"/>
            </w:r>
          </w:p>
        </w:tc>
      </w:tr>
      <w:tr w:rsidR="00EB16FD" w:rsidRPr="00DC5D76" w14:paraId="645F36D9" w14:textId="77777777" w:rsidTr="007F1961">
        <w:trPr>
          <w:trHeight w:val="60"/>
        </w:trPr>
        <w:tc>
          <w:tcPr>
            <w:tcW w:w="1408" w:type="dxa"/>
            <w:vMerge/>
            <w:tcBorders>
              <w:left w:val="single" w:sz="4" w:space="0" w:color="auto"/>
            </w:tcBorders>
            <w:shd w:val="clear" w:color="auto" w:fill="auto"/>
            <w:textDirection w:val="btLr"/>
            <w:vAlign w:val="center"/>
          </w:tcPr>
          <w:p w14:paraId="6B07A4EB" w14:textId="77777777" w:rsidR="00EB16FD" w:rsidRPr="00AF6261" w:rsidRDefault="00EB16FD" w:rsidP="00EB16FD">
            <w:pPr>
              <w:ind w:left="113" w:right="113"/>
              <w:jc w:val="center"/>
              <w:rPr>
                <w:rFonts w:ascii="Calibri" w:hAnsi="Calibri" w:cs="Calibri"/>
                <w:color w:val="000000"/>
                <w:sz w:val="18"/>
                <w:szCs w:val="18"/>
                <w:lang w:val="en-US"/>
              </w:rPr>
            </w:pPr>
          </w:p>
        </w:tc>
        <w:tc>
          <w:tcPr>
            <w:tcW w:w="1276" w:type="dxa"/>
            <w:vMerge/>
            <w:shd w:val="clear" w:color="auto" w:fill="auto"/>
            <w:textDirection w:val="btLr"/>
            <w:vAlign w:val="center"/>
          </w:tcPr>
          <w:p w14:paraId="1F4EBC24" w14:textId="77777777" w:rsidR="00EB16FD" w:rsidRPr="00AF6261" w:rsidRDefault="00EB16FD" w:rsidP="00EB16FD">
            <w:pPr>
              <w:ind w:left="113" w:right="113"/>
              <w:jc w:val="center"/>
              <w:rPr>
                <w:rFonts w:ascii="Calibri" w:hAnsi="Calibri" w:cs="Calibri"/>
                <w:color w:val="000000"/>
                <w:sz w:val="18"/>
                <w:szCs w:val="18"/>
                <w:lang w:val="en-US"/>
              </w:rPr>
            </w:pPr>
          </w:p>
        </w:tc>
        <w:tc>
          <w:tcPr>
            <w:tcW w:w="1275" w:type="dxa"/>
            <w:vMerge/>
            <w:textDirection w:val="btLr"/>
            <w:vAlign w:val="center"/>
          </w:tcPr>
          <w:p w14:paraId="2A9472CB" w14:textId="77777777" w:rsidR="00EB16FD" w:rsidRPr="00AF6261" w:rsidRDefault="00EB16FD" w:rsidP="00EB16FD">
            <w:pPr>
              <w:ind w:left="113" w:right="113"/>
              <w:jc w:val="center"/>
              <w:rPr>
                <w:rFonts w:ascii="Calibri" w:hAnsi="Calibri" w:cs="Times New Roman"/>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1C0494B0" w14:textId="35C16046" w:rsidR="00EB16FD" w:rsidRPr="00AF6261" w:rsidRDefault="00EB16FD" w:rsidP="007F1961">
            <w:pPr>
              <w:jc w:val="center"/>
              <w:rPr>
                <w:rFonts w:ascii="Calibri" w:hAnsi="Calibri"/>
                <w:color w:val="000000"/>
                <w:sz w:val="18"/>
                <w:szCs w:val="18"/>
                <w:lang w:val="en-US"/>
              </w:rPr>
            </w:pPr>
            <w:r w:rsidRPr="00AF6261">
              <w:rPr>
                <w:rFonts w:cstheme="minorHAnsi"/>
                <w:color w:val="000000"/>
                <w:sz w:val="18"/>
                <w:szCs w:val="18"/>
                <w:lang w:val="en-US"/>
              </w:rPr>
              <w:t>Apoptosis</w:t>
            </w:r>
          </w:p>
        </w:tc>
        <w:tc>
          <w:tcPr>
            <w:tcW w:w="1703" w:type="dxa"/>
            <w:tcBorders>
              <w:top w:val="single" w:sz="4" w:space="0" w:color="auto"/>
              <w:bottom w:val="single" w:sz="4" w:space="0" w:color="auto"/>
            </w:tcBorders>
            <w:shd w:val="clear" w:color="auto" w:fill="auto"/>
            <w:vAlign w:val="center"/>
          </w:tcPr>
          <w:p w14:paraId="76C8ED97" w14:textId="5697213D" w:rsidR="00EB16FD" w:rsidRPr="00AF6261" w:rsidRDefault="00EB16FD" w:rsidP="007F1961">
            <w:pPr>
              <w:jc w:val="center"/>
              <w:rPr>
                <w:rFonts w:ascii="Calibri" w:hAnsi="Calibri"/>
                <w:color w:val="000000"/>
                <w:sz w:val="18"/>
                <w:szCs w:val="18"/>
                <w:lang w:val="en-US"/>
              </w:rPr>
            </w:pPr>
            <w:r w:rsidRPr="00AF6261">
              <w:rPr>
                <w:rFonts w:cstheme="minorHAnsi"/>
                <w:color w:val="000000"/>
                <w:sz w:val="18"/>
                <w:szCs w:val="18"/>
                <w:lang w:val="en-US"/>
              </w:rPr>
              <w:t>Apoptosis on testes by TUNEL assay</w:t>
            </w:r>
          </w:p>
        </w:tc>
        <w:tc>
          <w:tcPr>
            <w:tcW w:w="2010" w:type="dxa"/>
            <w:tcBorders>
              <w:top w:val="single" w:sz="4" w:space="0" w:color="auto"/>
              <w:bottom w:val="single" w:sz="4" w:space="0" w:color="auto"/>
            </w:tcBorders>
            <w:shd w:val="clear" w:color="auto" w:fill="auto"/>
            <w:vAlign w:val="center"/>
          </w:tcPr>
          <w:p w14:paraId="7EE309C2" w14:textId="77777777" w:rsidR="00EB16FD" w:rsidRPr="00AF6261" w:rsidRDefault="00EB16FD" w:rsidP="007F1961">
            <w:pPr>
              <w:autoSpaceDE w:val="0"/>
              <w:autoSpaceDN w:val="0"/>
              <w:adjustRightInd w:val="0"/>
              <w:spacing w:after="0" w:line="240" w:lineRule="auto"/>
              <w:jc w:val="center"/>
              <w:rPr>
                <w:rFonts w:cstheme="minorHAnsi"/>
                <w:sz w:val="18"/>
                <w:szCs w:val="18"/>
                <w:lang w:val="en-US"/>
              </w:rPr>
            </w:pPr>
            <w:r w:rsidRPr="00AF6261">
              <w:rPr>
                <w:rFonts w:cstheme="minorHAnsi"/>
                <w:color w:val="000000"/>
                <w:sz w:val="18"/>
                <w:szCs w:val="18"/>
                <w:lang w:val="en-US"/>
              </w:rPr>
              <w:t xml:space="preserve">Total atrophy of all seminiferous tubules in the testis, </w:t>
            </w:r>
            <w:r w:rsidRPr="00AF6261">
              <w:rPr>
                <w:rFonts w:cstheme="minorHAnsi"/>
                <w:sz w:val="18"/>
                <w:szCs w:val="18"/>
                <w:lang w:val="en-US"/>
              </w:rPr>
              <w:t>apoptosis in</w:t>
            </w:r>
          </w:p>
          <w:p w14:paraId="154FA8E7" w14:textId="66FA4731" w:rsidR="00EB16FD" w:rsidRPr="00AF6261" w:rsidRDefault="00EB16FD" w:rsidP="007F1961">
            <w:pPr>
              <w:jc w:val="center"/>
              <w:rPr>
                <w:rFonts w:ascii="Calibri" w:hAnsi="Calibri"/>
                <w:color w:val="000000"/>
                <w:sz w:val="18"/>
                <w:szCs w:val="18"/>
                <w:lang w:val="en-US"/>
              </w:rPr>
            </w:pPr>
            <w:r w:rsidRPr="00AF6261">
              <w:rPr>
                <w:rFonts w:cstheme="minorHAnsi"/>
                <w:sz w:val="18"/>
                <w:szCs w:val="18"/>
                <w:lang w:val="en-US"/>
              </w:rPr>
              <w:t>spermatogonia including spermatocytes and spermatids</w:t>
            </w:r>
          </w:p>
        </w:tc>
        <w:tc>
          <w:tcPr>
            <w:tcW w:w="2273" w:type="dxa"/>
            <w:tcBorders>
              <w:bottom w:val="single" w:sz="4" w:space="0" w:color="auto"/>
            </w:tcBorders>
            <w:vAlign w:val="center"/>
          </w:tcPr>
          <w:p w14:paraId="2A8A1C69"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2C0F60E3" w14:textId="0F70BA6B" w:rsidR="00EB16FD" w:rsidRPr="00AF6261" w:rsidRDefault="00EB16FD" w:rsidP="007F1961">
            <w:pPr>
              <w:jc w:val="center"/>
              <w:rPr>
                <w:rFonts w:ascii="Calibri" w:hAnsi="Calibri"/>
                <w:color w:val="000000"/>
                <w:sz w:val="18"/>
                <w:szCs w:val="18"/>
                <w:lang w:val="en-US"/>
              </w:rPr>
            </w:pPr>
            <w:r w:rsidRPr="00AF6261">
              <w:rPr>
                <w:rFonts w:eastAsia="Times New Roman" w:cstheme="minorHAnsi"/>
                <w:sz w:val="18"/>
                <w:szCs w:val="18"/>
                <w:lang w:val="en-US" w:eastAsia="fr-FR"/>
              </w:rPr>
              <w:t>(ID1506)</w:t>
            </w:r>
          </w:p>
        </w:tc>
        <w:tc>
          <w:tcPr>
            <w:tcW w:w="2386" w:type="dxa"/>
            <w:tcBorders>
              <w:bottom w:val="single" w:sz="4" w:space="0" w:color="auto"/>
            </w:tcBorders>
            <w:shd w:val="clear" w:color="auto" w:fill="auto"/>
            <w:vAlign w:val="center"/>
          </w:tcPr>
          <w:p w14:paraId="72AC5F47" w14:textId="77777777" w:rsidR="00EB16FD" w:rsidRPr="00D04AA4" w:rsidRDefault="00EB16FD" w:rsidP="007F1961">
            <w:pPr>
              <w:spacing w:after="0" w:line="240" w:lineRule="auto"/>
              <w:jc w:val="center"/>
              <w:rPr>
                <w:rFonts w:eastAsia="Times New Roman" w:cstheme="minorHAnsi"/>
                <w:sz w:val="18"/>
                <w:szCs w:val="18"/>
                <w:lang w:val="en-US" w:eastAsia="fr-FR"/>
              </w:rPr>
            </w:pPr>
            <w:r w:rsidRPr="00D04AA4">
              <w:rPr>
                <w:rFonts w:eastAsia="Times New Roman" w:cstheme="minorHAnsi"/>
                <w:sz w:val="18"/>
                <w:szCs w:val="18"/>
                <w:lang w:val="en-US" w:eastAsia="fr-FR"/>
              </w:rPr>
              <w:t>Male reproductive tract malformations  (ID348)</w:t>
            </w:r>
          </w:p>
          <w:p w14:paraId="6504BC6E" w14:textId="59D020C6" w:rsidR="00EB16FD" w:rsidRPr="00AF6261" w:rsidRDefault="00EB16FD" w:rsidP="007F1961">
            <w:pPr>
              <w:jc w:val="center"/>
              <w:rPr>
                <w:rFonts w:ascii="Calibri" w:hAnsi="Calibri"/>
                <w:color w:val="000000"/>
                <w:sz w:val="18"/>
                <w:szCs w:val="18"/>
                <w:lang w:val="en-US"/>
              </w:rPr>
            </w:pPr>
            <w:r w:rsidRPr="00D04AA4">
              <w:rPr>
                <w:rFonts w:eastAsia="Times New Roman" w:cstheme="minorHAnsi"/>
                <w:sz w:val="18"/>
                <w:szCs w:val="18"/>
                <w:lang w:val="en-US" w:eastAsia="fr-FR"/>
              </w:rPr>
              <w:t>Reduced, Reproductive Success (ID675)</w:t>
            </w:r>
          </w:p>
        </w:tc>
        <w:tc>
          <w:tcPr>
            <w:tcW w:w="851" w:type="dxa"/>
            <w:vMerge/>
            <w:tcBorders>
              <w:right w:val="single" w:sz="4" w:space="0" w:color="auto"/>
            </w:tcBorders>
          </w:tcPr>
          <w:p w14:paraId="01BDAB3F"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75ACE3F7" w14:textId="77777777" w:rsidTr="007F1961">
        <w:trPr>
          <w:trHeight w:val="60"/>
        </w:trPr>
        <w:tc>
          <w:tcPr>
            <w:tcW w:w="1408" w:type="dxa"/>
            <w:vMerge/>
            <w:tcBorders>
              <w:left w:val="single" w:sz="4" w:space="0" w:color="auto"/>
              <w:bottom w:val="single" w:sz="4" w:space="0" w:color="auto"/>
            </w:tcBorders>
            <w:shd w:val="clear" w:color="auto" w:fill="auto"/>
            <w:textDirection w:val="btLr"/>
            <w:vAlign w:val="center"/>
          </w:tcPr>
          <w:p w14:paraId="5C2DF9CB" w14:textId="77777777" w:rsidR="00EB16FD" w:rsidRPr="00AF6261" w:rsidRDefault="00EB16FD" w:rsidP="00EB16FD">
            <w:pPr>
              <w:ind w:left="113" w:right="113"/>
              <w:jc w:val="center"/>
              <w:rPr>
                <w:rFonts w:ascii="Calibri" w:hAnsi="Calibri" w:cs="Calibri"/>
                <w:color w:val="000000"/>
                <w:sz w:val="18"/>
                <w:szCs w:val="18"/>
                <w:lang w:val="en-US"/>
              </w:rPr>
            </w:pPr>
          </w:p>
        </w:tc>
        <w:tc>
          <w:tcPr>
            <w:tcW w:w="1276" w:type="dxa"/>
            <w:vMerge/>
            <w:tcBorders>
              <w:bottom w:val="single" w:sz="4" w:space="0" w:color="auto"/>
            </w:tcBorders>
            <w:shd w:val="clear" w:color="auto" w:fill="auto"/>
            <w:textDirection w:val="btLr"/>
            <w:vAlign w:val="center"/>
          </w:tcPr>
          <w:p w14:paraId="6AD4D0E9" w14:textId="77777777" w:rsidR="00EB16FD" w:rsidRPr="00AF6261" w:rsidRDefault="00EB16FD" w:rsidP="00EB16FD">
            <w:pPr>
              <w:ind w:left="113" w:right="113"/>
              <w:jc w:val="center"/>
              <w:rPr>
                <w:rFonts w:ascii="Calibri" w:hAnsi="Calibri" w:cs="Calibri"/>
                <w:color w:val="000000"/>
                <w:sz w:val="18"/>
                <w:szCs w:val="18"/>
                <w:lang w:val="en-US"/>
              </w:rPr>
            </w:pPr>
          </w:p>
        </w:tc>
        <w:tc>
          <w:tcPr>
            <w:tcW w:w="1275" w:type="dxa"/>
            <w:vMerge/>
            <w:tcBorders>
              <w:bottom w:val="single" w:sz="4" w:space="0" w:color="auto"/>
            </w:tcBorders>
            <w:textDirection w:val="btLr"/>
            <w:vAlign w:val="center"/>
          </w:tcPr>
          <w:p w14:paraId="015F77A1" w14:textId="77777777" w:rsidR="00EB16FD" w:rsidRPr="00AF6261" w:rsidRDefault="00EB16FD" w:rsidP="00EB16FD">
            <w:pPr>
              <w:ind w:left="113" w:right="113"/>
              <w:jc w:val="center"/>
              <w:rPr>
                <w:rFonts w:ascii="Calibri" w:hAnsi="Calibri" w:cs="Times New Roman"/>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467D0E11" w14:textId="7206B3E2" w:rsidR="00EB16FD" w:rsidRPr="00AF6261" w:rsidRDefault="00EB16FD" w:rsidP="007F1961">
            <w:pPr>
              <w:jc w:val="center"/>
              <w:rPr>
                <w:rFonts w:ascii="Calibri" w:hAnsi="Calibri"/>
                <w:color w:val="000000"/>
                <w:sz w:val="18"/>
                <w:szCs w:val="18"/>
                <w:lang w:val="en-US"/>
              </w:rPr>
            </w:pPr>
            <w:r w:rsidRPr="00AF6261">
              <w:rPr>
                <w:rFonts w:cstheme="minorHAnsi"/>
                <w:color w:val="000000"/>
                <w:sz w:val="18"/>
                <w:szCs w:val="18"/>
                <w:lang w:val="en-US"/>
              </w:rPr>
              <w:t>Steroidogenesis and steroid metabolism gene expression</w:t>
            </w:r>
          </w:p>
        </w:tc>
        <w:tc>
          <w:tcPr>
            <w:tcW w:w="1703" w:type="dxa"/>
            <w:tcBorders>
              <w:top w:val="single" w:sz="4" w:space="0" w:color="auto"/>
              <w:bottom w:val="single" w:sz="4" w:space="0" w:color="auto"/>
            </w:tcBorders>
            <w:shd w:val="clear" w:color="auto" w:fill="auto"/>
            <w:vAlign w:val="center"/>
          </w:tcPr>
          <w:p w14:paraId="46916CF5" w14:textId="062FD340" w:rsidR="00EB16FD" w:rsidRPr="00AF6261" w:rsidRDefault="00EB16FD" w:rsidP="007F1961">
            <w:pPr>
              <w:jc w:val="center"/>
              <w:rPr>
                <w:rFonts w:ascii="Calibri" w:hAnsi="Calibri"/>
                <w:color w:val="000000"/>
                <w:sz w:val="18"/>
                <w:szCs w:val="18"/>
                <w:lang w:val="en-US"/>
              </w:rPr>
            </w:pPr>
            <w:r w:rsidRPr="00AF6261">
              <w:rPr>
                <w:rFonts w:cstheme="minorHAnsi"/>
                <w:color w:val="000000"/>
                <w:sz w:val="18"/>
                <w:szCs w:val="18"/>
                <w:lang w:val="en-US"/>
              </w:rPr>
              <w:t xml:space="preserve">3 </w:t>
            </w:r>
            <w:r w:rsidRPr="00D04AA4">
              <w:rPr>
                <w:rFonts w:cstheme="minorHAnsi"/>
                <w:color w:val="000000"/>
                <w:sz w:val="18"/>
                <w:szCs w:val="18"/>
              </w:rPr>
              <w:t>β</w:t>
            </w:r>
            <w:r w:rsidRPr="00AF6261">
              <w:rPr>
                <w:rFonts w:cstheme="minorHAnsi"/>
                <w:color w:val="000000"/>
                <w:sz w:val="18"/>
                <w:szCs w:val="18"/>
                <w:lang w:val="en-US"/>
              </w:rPr>
              <w:t>-hsd, and 17</w:t>
            </w:r>
            <w:r w:rsidRPr="00D04AA4">
              <w:rPr>
                <w:rFonts w:cstheme="minorHAnsi"/>
                <w:color w:val="000000"/>
                <w:sz w:val="18"/>
                <w:szCs w:val="18"/>
              </w:rPr>
              <w:t>β</w:t>
            </w:r>
            <w:r w:rsidRPr="00AF6261">
              <w:rPr>
                <w:rFonts w:cstheme="minorHAnsi"/>
                <w:color w:val="000000"/>
                <w:sz w:val="18"/>
                <w:szCs w:val="18"/>
                <w:lang w:val="en-US"/>
              </w:rPr>
              <w:t>-hsd, Cyp17a1 and Cyp19a1 expression</w:t>
            </w:r>
          </w:p>
        </w:tc>
        <w:tc>
          <w:tcPr>
            <w:tcW w:w="2010" w:type="dxa"/>
            <w:tcBorders>
              <w:top w:val="single" w:sz="4" w:space="0" w:color="auto"/>
              <w:bottom w:val="single" w:sz="4" w:space="0" w:color="auto"/>
            </w:tcBorders>
            <w:shd w:val="clear" w:color="auto" w:fill="auto"/>
            <w:vAlign w:val="center"/>
          </w:tcPr>
          <w:p w14:paraId="540DBC95" w14:textId="1EF80155" w:rsidR="00EB16FD" w:rsidRPr="00AF6261" w:rsidRDefault="00EB16FD" w:rsidP="007F1961">
            <w:pPr>
              <w:jc w:val="center"/>
              <w:rPr>
                <w:rFonts w:ascii="Calibri" w:hAnsi="Calibri"/>
                <w:color w:val="000000"/>
                <w:sz w:val="18"/>
                <w:szCs w:val="18"/>
                <w:lang w:val="en-US"/>
              </w:rPr>
            </w:pPr>
            <w:r w:rsidRPr="00AF6261">
              <w:rPr>
                <w:rFonts w:cstheme="minorHAnsi"/>
                <w:color w:val="000000"/>
                <w:sz w:val="18"/>
                <w:szCs w:val="18"/>
                <w:lang w:val="en-US"/>
              </w:rPr>
              <w:t>Decreased the expression levels of 3</w:t>
            </w:r>
            <w:r w:rsidRPr="00D04AA4">
              <w:rPr>
                <w:rFonts w:cstheme="minorHAnsi"/>
                <w:color w:val="000000"/>
                <w:sz w:val="18"/>
                <w:szCs w:val="18"/>
              </w:rPr>
              <w:t>β</w:t>
            </w:r>
            <w:r w:rsidRPr="00AF6261">
              <w:rPr>
                <w:rFonts w:cstheme="minorHAnsi"/>
                <w:color w:val="000000"/>
                <w:sz w:val="18"/>
                <w:szCs w:val="18"/>
                <w:lang w:val="en-US"/>
              </w:rPr>
              <w:t>-hsd, and 17</w:t>
            </w:r>
            <w:r w:rsidRPr="00D04AA4">
              <w:rPr>
                <w:rFonts w:cstheme="minorHAnsi"/>
                <w:color w:val="000000"/>
                <w:sz w:val="18"/>
                <w:szCs w:val="18"/>
              </w:rPr>
              <w:t>β</w:t>
            </w:r>
            <w:r w:rsidRPr="00AF6261">
              <w:rPr>
                <w:rFonts w:cstheme="minorHAnsi"/>
                <w:color w:val="000000"/>
                <w:sz w:val="18"/>
                <w:szCs w:val="18"/>
                <w:lang w:val="en-US"/>
              </w:rPr>
              <w:t>-hsd, Cyp17a1 and Cyp19a1</w:t>
            </w:r>
          </w:p>
        </w:tc>
        <w:tc>
          <w:tcPr>
            <w:tcW w:w="2273" w:type="dxa"/>
            <w:tcBorders>
              <w:bottom w:val="single" w:sz="4" w:space="0" w:color="auto"/>
            </w:tcBorders>
            <w:vAlign w:val="center"/>
          </w:tcPr>
          <w:p w14:paraId="2E088835" w14:textId="58A83D35" w:rsidR="00EB16FD" w:rsidRPr="00AF6261" w:rsidRDefault="00EB16FD" w:rsidP="007F1961">
            <w:pPr>
              <w:jc w:val="center"/>
              <w:rPr>
                <w:rFonts w:ascii="Calibri" w:hAnsi="Calibri"/>
                <w:color w:val="000000"/>
                <w:sz w:val="18"/>
                <w:szCs w:val="18"/>
                <w:lang w:val="en-US"/>
              </w:rPr>
            </w:pPr>
            <w:r w:rsidRPr="00AF6261">
              <w:rPr>
                <w:rFonts w:eastAsia="Times New Roman" w:cstheme="minorHAnsi"/>
                <w:sz w:val="18"/>
                <w:szCs w:val="18"/>
                <w:lang w:val="en-US" w:eastAsia="fr-FR"/>
              </w:rPr>
              <w:t>Inhibition the synthesis of male steroid hormones</w:t>
            </w:r>
          </w:p>
        </w:tc>
        <w:tc>
          <w:tcPr>
            <w:tcW w:w="2386" w:type="dxa"/>
            <w:tcBorders>
              <w:bottom w:val="single" w:sz="4" w:space="0" w:color="auto"/>
            </w:tcBorders>
            <w:shd w:val="clear" w:color="auto" w:fill="auto"/>
            <w:vAlign w:val="center"/>
          </w:tcPr>
          <w:p w14:paraId="185E1832" w14:textId="4940F930" w:rsidR="00EB16FD" w:rsidRPr="00AF6261" w:rsidRDefault="00EB16FD" w:rsidP="007F1961">
            <w:pPr>
              <w:jc w:val="center"/>
              <w:rPr>
                <w:rFonts w:ascii="Calibri" w:hAnsi="Calibri"/>
                <w:color w:val="000000"/>
                <w:sz w:val="18"/>
                <w:szCs w:val="18"/>
                <w:lang w:val="en-US"/>
              </w:rPr>
            </w:pPr>
            <w:r w:rsidRPr="00D04AA4">
              <w:rPr>
                <w:rFonts w:cstheme="minorHAnsi"/>
                <w:sz w:val="18"/>
                <w:szCs w:val="18"/>
                <w:lang w:val="en-US"/>
              </w:rPr>
              <w:t>Reduction, testosterone level (ID1613, ID1689, ID1612)</w:t>
            </w:r>
          </w:p>
        </w:tc>
        <w:tc>
          <w:tcPr>
            <w:tcW w:w="851" w:type="dxa"/>
            <w:vMerge/>
            <w:tcBorders>
              <w:bottom w:val="single" w:sz="4" w:space="0" w:color="auto"/>
              <w:right w:val="single" w:sz="4" w:space="0" w:color="auto"/>
            </w:tcBorders>
          </w:tcPr>
          <w:p w14:paraId="6CD2FFD1"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912134" w14:paraId="76ACAD23" w14:textId="77777777" w:rsidTr="007F1961">
        <w:trPr>
          <w:trHeight w:val="195"/>
        </w:trPr>
        <w:tc>
          <w:tcPr>
            <w:tcW w:w="1408" w:type="dxa"/>
            <w:vMerge w:val="restart"/>
            <w:tcBorders>
              <w:top w:val="single" w:sz="4" w:space="0" w:color="auto"/>
              <w:left w:val="single" w:sz="4" w:space="0" w:color="auto"/>
              <w:bottom w:val="single" w:sz="4" w:space="0" w:color="auto"/>
            </w:tcBorders>
            <w:shd w:val="clear" w:color="auto" w:fill="auto"/>
            <w:textDirection w:val="btLr"/>
            <w:vAlign w:val="center"/>
          </w:tcPr>
          <w:p w14:paraId="33E304F9"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PVP-coated AgNPs Size:</w:t>
            </w:r>
            <w:r w:rsidRPr="00AF6261">
              <w:rPr>
                <w:rFonts w:ascii="Calibri" w:hAnsi="Calibri" w:cs="Calibri"/>
                <w:color w:val="000000"/>
                <w:sz w:val="18"/>
                <w:szCs w:val="18"/>
                <w:lang w:val="en-US"/>
              </w:rPr>
              <w:t xml:space="preserve"> </w:t>
            </w:r>
            <w:r w:rsidRPr="00AF6261">
              <w:rPr>
                <w:rFonts w:ascii="Calibri" w:hAnsi="Calibri"/>
                <w:color w:val="000000"/>
                <w:sz w:val="18"/>
                <w:szCs w:val="18"/>
                <w:lang w:val="en-US"/>
              </w:rPr>
              <w:t>20-30  nm  Shape:Spherical</w:t>
            </w:r>
          </w:p>
        </w:tc>
        <w:tc>
          <w:tcPr>
            <w:tcW w:w="1276" w:type="dxa"/>
            <w:vMerge w:val="restart"/>
            <w:tcBorders>
              <w:top w:val="single" w:sz="4" w:space="0" w:color="auto"/>
              <w:left w:val="nil"/>
            </w:tcBorders>
            <w:shd w:val="clear" w:color="auto" w:fill="auto"/>
            <w:textDirection w:val="btLr"/>
            <w:vAlign w:val="center"/>
          </w:tcPr>
          <w:p w14:paraId="2742A617"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SD rats, oral gavage</w:t>
            </w:r>
          </w:p>
        </w:tc>
        <w:tc>
          <w:tcPr>
            <w:tcW w:w="1275" w:type="dxa"/>
            <w:vMerge w:val="restart"/>
            <w:tcBorders>
              <w:top w:val="single" w:sz="4" w:space="0" w:color="auto"/>
            </w:tcBorders>
            <w:textDirection w:val="btLr"/>
            <w:vAlign w:val="center"/>
          </w:tcPr>
          <w:p w14:paraId="42EA8DD5"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0, 50, 100 and 200 mg/kg bw  90 days, daily dose</w:t>
            </w:r>
          </w:p>
        </w:tc>
        <w:tc>
          <w:tcPr>
            <w:tcW w:w="1668" w:type="dxa"/>
            <w:tcBorders>
              <w:top w:val="single" w:sz="4" w:space="0" w:color="auto"/>
              <w:bottom w:val="single" w:sz="4" w:space="0" w:color="auto"/>
            </w:tcBorders>
            <w:shd w:val="clear" w:color="auto" w:fill="auto"/>
            <w:vAlign w:val="center"/>
          </w:tcPr>
          <w:p w14:paraId="3B4FF72D"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05CA482D"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Count, Motility, Morphology, Viability by ofeosin–nigrosin staining</w:t>
            </w:r>
          </w:p>
        </w:tc>
        <w:tc>
          <w:tcPr>
            <w:tcW w:w="2010" w:type="dxa"/>
            <w:tcBorders>
              <w:top w:val="single" w:sz="4" w:space="0" w:color="auto"/>
              <w:bottom w:val="single" w:sz="4" w:space="0" w:color="auto"/>
            </w:tcBorders>
            <w:shd w:val="clear" w:color="auto" w:fill="auto"/>
            <w:vAlign w:val="center"/>
          </w:tcPr>
          <w:p w14:paraId="3C3F9D1F"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No change motiliy, count and viability , increase in abnormal sperm formations, being significant at 100 mg/kg.</w:t>
            </w:r>
          </w:p>
        </w:tc>
        <w:tc>
          <w:tcPr>
            <w:tcW w:w="2273" w:type="dxa"/>
            <w:tcBorders>
              <w:top w:val="single" w:sz="4" w:space="0" w:color="auto"/>
              <w:bottom w:val="single" w:sz="4" w:space="0" w:color="auto"/>
            </w:tcBorders>
            <w:vAlign w:val="center"/>
          </w:tcPr>
          <w:p w14:paraId="6F7B7FA2" w14:textId="77777777" w:rsidR="00EB16FD" w:rsidRPr="00AF6261" w:rsidRDefault="00EB16FD" w:rsidP="007F1961">
            <w:pPr>
              <w:jc w:val="center"/>
              <w:rPr>
                <w:rFonts w:ascii="Calibri" w:hAnsi="Calibri"/>
                <w:b/>
                <w:bCs/>
                <w:color w:val="000000"/>
                <w:sz w:val="18"/>
                <w:szCs w:val="18"/>
                <w:lang w:val="en-US"/>
              </w:rPr>
            </w:pPr>
            <w:r w:rsidRPr="00AF6261">
              <w:rPr>
                <w:rFonts w:ascii="Calibri" w:hAnsi="Calibri"/>
                <w:b/>
                <w:bCs/>
                <w:color w:val="000000"/>
                <w:sz w:val="18"/>
                <w:szCs w:val="18"/>
                <w:lang w:val="en-US"/>
              </w:rPr>
              <w:t>-</w:t>
            </w:r>
          </w:p>
        </w:tc>
        <w:tc>
          <w:tcPr>
            <w:tcW w:w="2386" w:type="dxa"/>
            <w:tcBorders>
              <w:top w:val="single" w:sz="4" w:space="0" w:color="auto"/>
              <w:bottom w:val="single" w:sz="4" w:space="0" w:color="auto"/>
            </w:tcBorders>
            <w:shd w:val="clear" w:color="auto" w:fill="auto"/>
            <w:vAlign w:val="center"/>
          </w:tcPr>
          <w:p w14:paraId="6FDC4DBA" w14:textId="77777777" w:rsidR="00EB16FD" w:rsidRPr="00AF6261" w:rsidRDefault="00EB16FD" w:rsidP="007F1961">
            <w:pPr>
              <w:jc w:val="center"/>
              <w:rPr>
                <w:rFonts w:ascii="Calibri" w:hAnsi="Calibri"/>
                <w:b/>
                <w:bCs/>
                <w:color w:val="000000"/>
                <w:sz w:val="18"/>
                <w:szCs w:val="18"/>
                <w:lang w:val="en-US"/>
              </w:rPr>
            </w:pPr>
            <w:r w:rsidRPr="00AF6261">
              <w:rPr>
                <w:rFonts w:ascii="Calibri" w:hAnsi="Calibri"/>
                <w:b/>
                <w:bCs/>
                <w:color w:val="000000"/>
                <w:sz w:val="18"/>
                <w:szCs w:val="18"/>
                <w:lang w:val="en-US"/>
              </w:rPr>
              <w:t>-</w:t>
            </w:r>
          </w:p>
        </w:tc>
        <w:tc>
          <w:tcPr>
            <w:tcW w:w="851" w:type="dxa"/>
            <w:vMerge w:val="restart"/>
            <w:tcBorders>
              <w:top w:val="single" w:sz="4" w:space="0" w:color="auto"/>
              <w:left w:val="nil"/>
              <w:right w:val="single" w:sz="4" w:space="0" w:color="auto"/>
            </w:tcBorders>
            <w:vAlign w:val="center"/>
          </w:tcPr>
          <w:p w14:paraId="719EDDB7" w14:textId="04F14295"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{"citationItems":[{"id":"ITEM-1","itemData":{"DOI":"10.1016/j.reprotox.2016.02.007","ISSN":"18731708","PMID":"26900051","abstract":"It has been demonstrated that exposure to silver nanoparticles (AgNPs) can induce toxicological effects in rodents. In this study, we investigated whether sub-chronic oral exposure to different doses of polyvinil pyrrolidone (PVP)-coated AgNPs (PVP-AgNPs) (50, 100 and 200 mg/kg/day) could induce harmful effects on epididymal sperm rat parameters. Sperm motility, viability and morphology were examined. Moreover, a histological eval</w:instrText>
            </w:r>
            <w:r w:rsidR="007F3FC3">
              <w:rPr>
                <w:rFonts w:ascii="Calibri" w:eastAsia="Times New Roman" w:hAnsi="Calibri" w:cstheme="minorHAnsi"/>
                <w:color w:val="000000"/>
                <w:sz w:val="18"/>
                <w:szCs w:val="18"/>
                <w:lang w:eastAsia="fr-FR"/>
              </w:rPr>
              <w:instrText>uation of testis and epididymis was also performed. High doses of PVP-AgNPs showed higher sperm morphology abnormalities, while a progressive, but not significant effect, was observed in other sperm parameters. The current results suggest that oral sub-chronic exposure to PVP-AgNPs induces slight toxicological effects in sperm rat parameters.","author":[{"dropping-particle":"","family":"Lafuente","given":"D.","non-dropping-particle":"","parse-names":false,"suffix":""},{"dropping-particle":"","family":"Garcia","given":"T.","non-dropping-particle":"","parse-names":false,"suffix":""},{"dropping-particle":"","family":"Blanco","given":"J.","non-dropping-particle":"","parse-names":false,"suffix":""},{"dropping-particle":"","family":"Sánchez","given":"D. J.","non-dropping-particle":"","parse-names":false,"suffix":""},{"dropping-particle":"","family":"Sirvent","given":"J. J.","non-dropping-particle":"","parse-names":false,"suffix":""},{"dropping-particle":"","family":"Domingo","given":"J. L.","non-dropping-particle":"","parse-names":false,"suffix":""},{"dropping-particle":"","family":"Gómez","given":"M.","non-dropping-particle":"","parse-names":false,"suffix":""}],"container-title":"Reproductive Toxicology","id":"ITEM-1","issued":{"date-parts":[["2016"]]},"page":"133-139","publisher":"Elsevier Inc.","title":"Effects of oral exposure to silver nanoparticles on the sperm of rats","type":"article-journal","volume":"60"},"uris":["http://www.mendeley.com/documents/?uuid=8ac4ab69-961b-40f6-9b29-989507a39dcd"]}],"mendeley":{"formattedCitation":"(25)","plainTextFormattedCitation":"(25)","previouslyFormattedCitation":"(Lafuente et al. 2016)"},"properties":{"noteIndex":0},"schema":"https://github.com/citation-style-language/schema/raw/master/csl-citation.json"}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(25)</w:t>
            </w:r>
            <w:r w:rsidRPr="00912134">
              <w:rPr>
                <w:rFonts w:ascii="Calibri" w:eastAsia="Times New Roman" w:hAnsi="Calibri" w:cstheme="minorHAnsi"/>
                <w:color w:val="000000"/>
                <w:sz w:val="18"/>
                <w:szCs w:val="18"/>
                <w:lang w:eastAsia="fr-FR"/>
              </w:rPr>
              <w:fldChar w:fldCharType="end"/>
            </w:r>
          </w:p>
        </w:tc>
      </w:tr>
      <w:tr w:rsidR="00EB16FD" w:rsidRPr="00912134" w14:paraId="74B84C6C"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597B1B10" w14:textId="77777777" w:rsidR="00EB16FD" w:rsidRPr="00912134" w:rsidRDefault="00EB16FD" w:rsidP="00EB16FD">
            <w:pPr>
              <w:ind w:left="113" w:right="113"/>
              <w:jc w:val="center"/>
              <w:rPr>
                <w:rFonts w:ascii="Calibri" w:hAnsi="Calibri"/>
                <w:b/>
                <w:bCs/>
                <w:color w:val="000000"/>
                <w:sz w:val="18"/>
                <w:szCs w:val="18"/>
              </w:rPr>
            </w:pPr>
          </w:p>
        </w:tc>
        <w:tc>
          <w:tcPr>
            <w:tcW w:w="1276" w:type="dxa"/>
            <w:vMerge/>
            <w:tcBorders>
              <w:left w:val="nil"/>
              <w:bottom w:val="single" w:sz="4" w:space="0" w:color="auto"/>
            </w:tcBorders>
            <w:shd w:val="clear" w:color="auto" w:fill="auto"/>
            <w:textDirection w:val="btLr"/>
            <w:vAlign w:val="center"/>
          </w:tcPr>
          <w:p w14:paraId="62CA1EAF" w14:textId="77777777" w:rsidR="00EB16FD" w:rsidRPr="00912134" w:rsidRDefault="00EB16FD" w:rsidP="00EB16FD">
            <w:pPr>
              <w:ind w:left="113" w:right="113"/>
              <w:jc w:val="center"/>
              <w:rPr>
                <w:rFonts w:ascii="Calibri" w:hAnsi="Calibri"/>
                <w:sz w:val="18"/>
                <w:szCs w:val="18"/>
              </w:rPr>
            </w:pPr>
          </w:p>
        </w:tc>
        <w:tc>
          <w:tcPr>
            <w:tcW w:w="1275" w:type="dxa"/>
            <w:vMerge/>
            <w:tcBorders>
              <w:bottom w:val="single" w:sz="4" w:space="0" w:color="auto"/>
            </w:tcBorders>
            <w:textDirection w:val="btLr"/>
            <w:vAlign w:val="center"/>
          </w:tcPr>
          <w:p w14:paraId="7F0812A9" w14:textId="77777777" w:rsidR="00EB16FD" w:rsidRPr="00912134" w:rsidRDefault="00EB16FD" w:rsidP="00EB16FD">
            <w:pPr>
              <w:ind w:left="113" w:right="113"/>
              <w:jc w:val="center"/>
              <w:rPr>
                <w:rFonts w:ascii="Calibri" w:hAnsi="Calibri"/>
                <w:sz w:val="18"/>
                <w:szCs w:val="18"/>
              </w:rPr>
            </w:pPr>
          </w:p>
        </w:tc>
        <w:tc>
          <w:tcPr>
            <w:tcW w:w="1668" w:type="dxa"/>
            <w:tcBorders>
              <w:top w:val="single" w:sz="4" w:space="0" w:color="auto"/>
              <w:bottom w:val="single" w:sz="4" w:space="0" w:color="auto"/>
            </w:tcBorders>
            <w:shd w:val="clear" w:color="auto" w:fill="auto"/>
            <w:vAlign w:val="center"/>
          </w:tcPr>
          <w:p w14:paraId="73C0DD98" w14:textId="77777777"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Histological parametres</w:t>
            </w:r>
          </w:p>
        </w:tc>
        <w:tc>
          <w:tcPr>
            <w:tcW w:w="1703" w:type="dxa"/>
            <w:tcBorders>
              <w:top w:val="single" w:sz="4" w:space="0" w:color="auto"/>
              <w:bottom w:val="single" w:sz="4" w:space="0" w:color="auto"/>
            </w:tcBorders>
            <w:shd w:val="clear" w:color="auto" w:fill="auto"/>
            <w:vAlign w:val="center"/>
          </w:tcPr>
          <w:p w14:paraId="49020854"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Epididymal and testicular, leydig cells by HE staining</w:t>
            </w:r>
          </w:p>
        </w:tc>
        <w:tc>
          <w:tcPr>
            <w:tcW w:w="2010" w:type="dxa"/>
            <w:tcBorders>
              <w:top w:val="single" w:sz="4" w:space="0" w:color="auto"/>
              <w:bottom w:val="single" w:sz="4" w:space="0" w:color="auto"/>
            </w:tcBorders>
            <w:shd w:val="clear" w:color="auto" w:fill="auto"/>
            <w:vAlign w:val="center"/>
          </w:tcPr>
          <w:p w14:paraId="6E065EF2"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No significant changes in testes morphology</w:t>
            </w:r>
          </w:p>
          <w:p w14:paraId="0575615B" w14:textId="2B57E209"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 xml:space="preserve">No significant alterations of epididymal ducts, vacuolization on </w:t>
            </w:r>
            <w:r w:rsidRPr="00AF6261">
              <w:rPr>
                <w:rFonts w:ascii="Calibri" w:hAnsi="Calibri"/>
                <w:color w:val="000000"/>
                <w:sz w:val="18"/>
                <w:szCs w:val="18"/>
                <w:lang w:val="en-US"/>
              </w:rPr>
              <w:lastRenderedPageBreak/>
              <w:t>epithelium,or cell alterations</w:t>
            </w:r>
          </w:p>
        </w:tc>
        <w:tc>
          <w:tcPr>
            <w:tcW w:w="2273" w:type="dxa"/>
            <w:tcBorders>
              <w:top w:val="single" w:sz="4" w:space="0" w:color="auto"/>
              <w:bottom w:val="single" w:sz="4" w:space="0" w:color="auto"/>
            </w:tcBorders>
            <w:vAlign w:val="center"/>
          </w:tcPr>
          <w:p w14:paraId="032481DB" w14:textId="77777777" w:rsidR="00EB16FD" w:rsidRPr="00C9282D" w:rsidRDefault="00EB16FD" w:rsidP="007F1961">
            <w:pPr>
              <w:spacing w:after="0" w:line="240" w:lineRule="auto"/>
              <w:jc w:val="center"/>
              <w:rPr>
                <w:rFonts w:ascii="Calibri" w:eastAsia="Times New Roman" w:hAnsi="Calibri" w:cstheme="minorHAnsi"/>
                <w:b/>
                <w:color w:val="7030A0"/>
                <w:sz w:val="18"/>
                <w:szCs w:val="18"/>
                <w:lang w:eastAsia="fr-FR"/>
              </w:rPr>
            </w:pPr>
            <w:r>
              <w:rPr>
                <w:rFonts w:ascii="Calibri" w:eastAsia="Times New Roman" w:hAnsi="Calibri" w:cstheme="minorHAnsi"/>
                <w:b/>
                <w:color w:val="7030A0"/>
                <w:sz w:val="18"/>
                <w:szCs w:val="18"/>
                <w:lang w:eastAsia="fr-FR"/>
              </w:rPr>
              <w:lastRenderedPageBreak/>
              <w:t>-</w:t>
            </w:r>
          </w:p>
        </w:tc>
        <w:tc>
          <w:tcPr>
            <w:tcW w:w="2386" w:type="dxa"/>
            <w:tcBorders>
              <w:top w:val="single" w:sz="4" w:space="0" w:color="auto"/>
              <w:bottom w:val="single" w:sz="4" w:space="0" w:color="auto"/>
            </w:tcBorders>
            <w:shd w:val="clear" w:color="auto" w:fill="auto"/>
            <w:vAlign w:val="center"/>
          </w:tcPr>
          <w:p w14:paraId="2A965EF7" w14:textId="77777777" w:rsidR="00EB16FD" w:rsidRPr="00C9282D" w:rsidRDefault="00EB16FD" w:rsidP="007F1961">
            <w:pPr>
              <w:spacing w:after="0" w:line="240" w:lineRule="auto"/>
              <w:jc w:val="center"/>
              <w:rPr>
                <w:rFonts w:ascii="Calibri" w:eastAsia="Times New Roman" w:hAnsi="Calibri" w:cstheme="minorHAnsi"/>
                <w:b/>
                <w:color w:val="000000"/>
                <w:sz w:val="18"/>
                <w:szCs w:val="18"/>
                <w:lang w:eastAsia="fr-FR"/>
              </w:rPr>
            </w:pPr>
            <w:r>
              <w:rPr>
                <w:rFonts w:ascii="Calibri" w:eastAsia="Times New Roman" w:hAnsi="Calibri" w:cstheme="minorHAnsi"/>
                <w:b/>
                <w:color w:val="000000"/>
                <w:sz w:val="18"/>
                <w:szCs w:val="18"/>
                <w:lang w:eastAsia="fr-FR"/>
              </w:rPr>
              <w:t>-</w:t>
            </w:r>
          </w:p>
        </w:tc>
        <w:tc>
          <w:tcPr>
            <w:tcW w:w="851" w:type="dxa"/>
            <w:vMerge/>
            <w:tcBorders>
              <w:left w:val="nil"/>
              <w:bottom w:val="single" w:sz="4" w:space="0" w:color="auto"/>
              <w:right w:val="single" w:sz="4" w:space="0" w:color="auto"/>
            </w:tcBorders>
          </w:tcPr>
          <w:p w14:paraId="65C5EA3E"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DC5D76" w14:paraId="42B044CE" w14:textId="77777777" w:rsidTr="007F1961">
        <w:trPr>
          <w:trHeight w:val="2057"/>
        </w:trPr>
        <w:tc>
          <w:tcPr>
            <w:tcW w:w="1408" w:type="dxa"/>
            <w:vMerge w:val="restart"/>
            <w:tcBorders>
              <w:top w:val="single" w:sz="4" w:space="0" w:color="auto"/>
              <w:left w:val="single" w:sz="4" w:space="0" w:color="auto"/>
            </w:tcBorders>
            <w:shd w:val="clear" w:color="auto" w:fill="auto"/>
            <w:textDirection w:val="btLr"/>
            <w:vAlign w:val="center"/>
          </w:tcPr>
          <w:p w14:paraId="5D58CDC2" w14:textId="77777777" w:rsidR="00EB16FD" w:rsidRPr="00912134" w:rsidRDefault="00EB16FD" w:rsidP="00EB16FD">
            <w:pPr>
              <w:ind w:left="113" w:right="113"/>
              <w:jc w:val="center"/>
              <w:rPr>
                <w:rFonts w:ascii="Calibri" w:hAnsi="Calibri"/>
                <w:color w:val="000000"/>
                <w:sz w:val="18"/>
                <w:szCs w:val="18"/>
              </w:rPr>
            </w:pPr>
            <w:r w:rsidRPr="00912134">
              <w:rPr>
                <w:rFonts w:ascii="Calibri" w:hAnsi="Calibri"/>
                <w:color w:val="000000"/>
                <w:sz w:val="18"/>
                <w:szCs w:val="18"/>
              </w:rPr>
              <w:t>Size:</w:t>
            </w:r>
            <w:r w:rsidRPr="00912134">
              <w:rPr>
                <w:rFonts w:ascii="Calibri" w:hAnsi="Calibri" w:cs="Calibri"/>
                <w:color w:val="000000"/>
                <w:sz w:val="18"/>
                <w:szCs w:val="18"/>
              </w:rPr>
              <w:t xml:space="preserve"> 60 nm</w:t>
            </w:r>
          </w:p>
        </w:tc>
        <w:tc>
          <w:tcPr>
            <w:tcW w:w="1276" w:type="dxa"/>
            <w:vMerge w:val="restart"/>
            <w:tcBorders>
              <w:top w:val="single" w:sz="4" w:space="0" w:color="auto"/>
            </w:tcBorders>
            <w:shd w:val="clear" w:color="auto" w:fill="auto"/>
            <w:textDirection w:val="btLr"/>
            <w:vAlign w:val="center"/>
          </w:tcPr>
          <w:p w14:paraId="32DA7580"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Weaned male Wistar rats</w:t>
            </w:r>
          </w:p>
          <w:p w14:paraId="01DA8A2B"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Oral gavage</w:t>
            </w:r>
          </w:p>
        </w:tc>
        <w:tc>
          <w:tcPr>
            <w:tcW w:w="1275" w:type="dxa"/>
            <w:vMerge w:val="restart"/>
            <w:tcBorders>
              <w:top w:val="single" w:sz="4" w:space="0" w:color="auto"/>
            </w:tcBorders>
            <w:textDirection w:val="btLr"/>
            <w:vAlign w:val="center"/>
          </w:tcPr>
          <w:p w14:paraId="37F33EDB"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 xml:space="preserve">15 or 50 </w:t>
            </w:r>
            <w:r w:rsidRPr="00912134">
              <w:rPr>
                <w:rFonts w:ascii="Calibri" w:hAnsi="Calibri"/>
                <w:color w:val="000000"/>
                <w:sz w:val="18"/>
                <w:szCs w:val="18"/>
              </w:rPr>
              <w:t>μ</w:t>
            </w:r>
            <w:r w:rsidRPr="00AF6261">
              <w:rPr>
                <w:rFonts w:ascii="Calibri" w:hAnsi="Calibri"/>
                <w:color w:val="000000"/>
                <w:sz w:val="18"/>
                <w:szCs w:val="18"/>
                <w:lang w:val="en-US"/>
              </w:rPr>
              <w:t>g/kg/day PNDs 23–58 exposure, PND 102 observation</w:t>
            </w:r>
          </w:p>
        </w:tc>
        <w:tc>
          <w:tcPr>
            <w:tcW w:w="1668" w:type="dxa"/>
            <w:tcBorders>
              <w:top w:val="single" w:sz="4" w:space="0" w:color="auto"/>
            </w:tcBorders>
            <w:shd w:val="clear" w:color="auto" w:fill="auto"/>
            <w:vAlign w:val="center"/>
          </w:tcPr>
          <w:p w14:paraId="09BF29FC" w14:textId="77777777"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Sperm evaluation</w:t>
            </w:r>
          </w:p>
        </w:tc>
        <w:tc>
          <w:tcPr>
            <w:tcW w:w="1703" w:type="dxa"/>
            <w:tcBorders>
              <w:top w:val="single" w:sz="4" w:space="0" w:color="auto"/>
            </w:tcBorders>
            <w:shd w:val="clear" w:color="auto" w:fill="auto"/>
            <w:vAlign w:val="center"/>
          </w:tcPr>
          <w:p w14:paraId="05BA6B89"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function: acrosome integrity  plasma membrane integrity, mitochondrial activity by Cytochrome c oxidase</w:t>
            </w:r>
          </w:p>
        </w:tc>
        <w:tc>
          <w:tcPr>
            <w:tcW w:w="2010" w:type="dxa"/>
            <w:tcBorders>
              <w:top w:val="single" w:sz="4" w:space="0" w:color="auto"/>
            </w:tcBorders>
            <w:shd w:val="clear" w:color="auto" w:fill="auto"/>
            <w:vAlign w:val="center"/>
          </w:tcPr>
          <w:p w14:paraId="5BBC2914" w14:textId="65874A09" w:rsidR="00EB16FD" w:rsidRPr="00912134" w:rsidRDefault="00EB16FD" w:rsidP="007F1961">
            <w:pPr>
              <w:jc w:val="center"/>
              <w:rPr>
                <w:rFonts w:ascii="Calibri" w:hAnsi="Calibri"/>
                <w:color w:val="000000"/>
                <w:sz w:val="18"/>
                <w:szCs w:val="18"/>
              </w:rPr>
            </w:pPr>
            <w:r w:rsidRPr="00AF6261">
              <w:rPr>
                <w:rFonts w:ascii="Calibri" w:hAnsi="Calibri"/>
                <w:color w:val="000000"/>
                <w:sz w:val="18"/>
                <w:szCs w:val="18"/>
                <w:lang w:val="en-US"/>
              </w:rPr>
              <w:t xml:space="preserve">Reduced acrosome and plasma membrane integrity, increased sperm abnormalities. </w:t>
            </w:r>
            <w:r>
              <w:rPr>
                <w:rFonts w:ascii="Calibri" w:hAnsi="Calibri" w:cs="Arial"/>
                <w:color w:val="333333"/>
                <w:sz w:val="18"/>
                <w:szCs w:val="18"/>
              </w:rPr>
              <w:t>R</w:t>
            </w:r>
            <w:r w:rsidRPr="00912134">
              <w:rPr>
                <w:rFonts w:ascii="Calibri" w:hAnsi="Calibri" w:cs="Arial"/>
                <w:color w:val="333333"/>
                <w:sz w:val="18"/>
                <w:szCs w:val="18"/>
              </w:rPr>
              <w:t>educed mitochondrial activity</w:t>
            </w:r>
          </w:p>
        </w:tc>
        <w:tc>
          <w:tcPr>
            <w:tcW w:w="2273" w:type="dxa"/>
            <w:tcBorders>
              <w:top w:val="single" w:sz="4" w:space="0" w:color="auto"/>
            </w:tcBorders>
            <w:vAlign w:val="center"/>
          </w:tcPr>
          <w:p w14:paraId="5C80DAF3"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tcBorders>
            <w:shd w:val="clear" w:color="auto" w:fill="auto"/>
            <w:vAlign w:val="center"/>
          </w:tcPr>
          <w:p w14:paraId="565C91B0"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Impaired fertility</w:t>
            </w:r>
          </w:p>
          <w:p w14:paraId="384DFEFB"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(ID330 , ID406)</w:t>
            </w:r>
          </w:p>
        </w:tc>
        <w:tc>
          <w:tcPr>
            <w:tcW w:w="851" w:type="dxa"/>
            <w:vMerge w:val="restart"/>
            <w:tcBorders>
              <w:top w:val="single" w:sz="4" w:space="0" w:color="auto"/>
              <w:left w:val="nil"/>
              <w:right w:val="single" w:sz="4" w:space="0" w:color="auto"/>
            </w:tcBorders>
            <w:vAlign w:val="center"/>
          </w:tcPr>
          <w:p w14:paraId="233BA832" w14:textId="517B6C5D"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{"citationItems":[{"id":"ITEM-1","itemData":{"DOI":"10.3109/17435390.2014.889237","ISSN":"17435404","PMID":"24533579","abstract":"As silver nanoparticles (AgNPs) have antimicrobial properties and potentiate the activity of some antibiotics, they are broadly used in both medical and nonmedical applications. In this study, prepubertal male Wistar rats were orally treated with 15 or 30 μg/kg/day AgNPs from postnatal day 23 (PND23) to PND58 and sacrificed at PND102. The acrosome integrity, plasma membrane integrity, mitochondrial activity and morphological alterations of the sperm were analyzed. Sexual partner preference, sexual behavior and the serum concentrations of FSH, LH, testosterone and estradiol were also recorded. The results were evaluated following the appropriate statistical analyses, and differences among the groups were considered significant when p &lt; 0.05. AgNPs reduced the acrosome and plasma membrane integrities, reduced the mitochondrial activity and increased the abnormalities of the sperm in both treatment groups. AgNP exposure also delayed the onset of puberty, although no changes in body growth were observed in either treatment group. The animals did not show changes in sexual behavior or serum hormone concentrations. This study shows for the first time that prepubertal exposure to AgNPs causes alterations in adult sperm parameters. Importantly, the sperm appeared to be more sensitive to the toxic effects of AgNPs and demonstrated adverse effects following exposure to lower doses. Consequently, the effects of AgNPs on sperm should be considered in order to establish safety limits for the use of these particles.","author":[{"dropping-particle":"","family":"Mathias","given":"Francielle T.","non-dropping-particle":"","parse-names":false,"suffix":""},{"dropping-particle":"","fa</w:instrText>
            </w:r>
            <w:r w:rsidR="007F3FC3" w:rsidRPr="00AF6261">
              <w:rPr>
                <w:rFonts w:ascii="Calibri" w:eastAsia="Times New Roman" w:hAnsi="Calibri" w:cstheme="minorHAnsi"/>
                <w:color w:val="000000"/>
                <w:sz w:val="18"/>
                <w:szCs w:val="18"/>
                <w:lang w:val="en-US" w:eastAsia="fr-FR"/>
              </w:rPr>
              <w:instrText>mily":"Romano","given":"Renata M.","non-dropping-particle":"","parse-names":false,"suffix":""},{"dropping-particle":"","family":"Kizys","given":"Marina M.L.","non-dropping-particle":"","parse-names":false,"suffix":""},{"dropping-particle":"","family":"Kasamatsu","given":"Teresa","non-dropping-particle":"","parse-names":false,"suffix":""},{"dropping-particle":"","family":"Giannocco","given":"Giselle","non-dropping-particle":"","parse-names":false,"suffix":""},{"dropping-particle":"","family":"Chiamolera","given":"Maria I.","non-dropping-particle":"","parse-names":false,"suffix":""},{"dropping-particle":"","family":"Dias-Da-Silva","given":"Magnus R.","non-dropping-particle":"","parse-names":false,"suffix":""},{"dropping-particle":"","family":"Romano","given":"Marco A.","non-dropping-particle":"","parse-names":false,"suffix":""}],"container-title":"Nanotoxicology","id":"ITEM-1","issue":"1","issued":{"date-parts":[["2015","2","1"]]},"page":"64-70","publisher":"Informa Healthcare","title":"Daily exposure to silver nanoparticles during prepubertal development decreases adult sperm and reproductive parameters","type":"article-journal","volume":"9"},"uris":["http://www.mendeley.com/documents/?uuid=c83e8768-b323-3bea-a5f3-8ff4073d0846"]}],"mendeley":{"formattedCitation":"(26)","plainTextFormattedCitation":"(26)","previouslyFormattedCitation":"(Mathias et al. 2015)"},"properties":{"noteIndex":0},"schema":"https://github.com/citation-style-language/schema/raw/master/csl-citation.json"}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(26)</w:t>
            </w:r>
            <w:r w:rsidRPr="00912134">
              <w:rPr>
                <w:rFonts w:ascii="Calibri" w:eastAsia="Times New Roman" w:hAnsi="Calibri" w:cstheme="minorHAnsi"/>
                <w:color w:val="000000"/>
                <w:sz w:val="18"/>
                <w:szCs w:val="18"/>
                <w:lang w:eastAsia="fr-FR"/>
              </w:rPr>
              <w:fldChar w:fldCharType="end"/>
            </w:r>
          </w:p>
        </w:tc>
      </w:tr>
      <w:tr w:rsidR="00EB16FD" w:rsidRPr="00DC5D76" w14:paraId="6AD048AD"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7F4C66FA" w14:textId="77777777" w:rsidR="00EB16FD" w:rsidRPr="00AF6261" w:rsidRDefault="00EB16FD" w:rsidP="00EB16FD">
            <w:pPr>
              <w:ind w:left="113" w:right="113"/>
              <w:jc w:val="center"/>
              <w:rPr>
                <w:rFonts w:ascii="Calibri" w:hAnsi="Calibri" w:cs="Times New Roman"/>
                <w:color w:val="000000"/>
                <w:sz w:val="18"/>
                <w:szCs w:val="18"/>
                <w:lang w:val="en-US"/>
              </w:rPr>
            </w:pPr>
          </w:p>
        </w:tc>
        <w:tc>
          <w:tcPr>
            <w:tcW w:w="1276" w:type="dxa"/>
            <w:vMerge/>
            <w:tcBorders>
              <w:bottom w:val="single" w:sz="4" w:space="0" w:color="auto"/>
            </w:tcBorders>
            <w:shd w:val="clear" w:color="auto" w:fill="auto"/>
            <w:textDirection w:val="btLr"/>
            <w:vAlign w:val="center"/>
          </w:tcPr>
          <w:p w14:paraId="31178459" w14:textId="77777777" w:rsidR="00EB16FD" w:rsidRPr="00AF6261" w:rsidRDefault="00EB16FD" w:rsidP="00EB16FD">
            <w:pPr>
              <w:ind w:left="113" w:right="113"/>
              <w:jc w:val="center"/>
              <w:rPr>
                <w:rFonts w:ascii="Calibri" w:hAnsi="Calibri"/>
                <w:color w:val="000000"/>
                <w:sz w:val="18"/>
                <w:szCs w:val="18"/>
                <w:lang w:val="en-US"/>
              </w:rPr>
            </w:pPr>
          </w:p>
        </w:tc>
        <w:tc>
          <w:tcPr>
            <w:tcW w:w="1275" w:type="dxa"/>
            <w:vMerge/>
            <w:tcBorders>
              <w:bottom w:val="single" w:sz="4" w:space="0" w:color="auto"/>
            </w:tcBorders>
            <w:textDirection w:val="btLr"/>
            <w:vAlign w:val="center"/>
          </w:tcPr>
          <w:p w14:paraId="6E3D2A2A" w14:textId="77777777" w:rsidR="00EB16FD" w:rsidRPr="00AF6261" w:rsidRDefault="00EB16FD" w:rsidP="00EB16FD">
            <w:pPr>
              <w:ind w:left="113" w:right="113"/>
              <w:jc w:val="center"/>
              <w:rPr>
                <w:rFonts w:ascii="Calibri" w:hAnsi="Calibri"/>
                <w:sz w:val="18"/>
                <w:szCs w:val="18"/>
                <w:lang w:val="en-US"/>
              </w:rPr>
            </w:pPr>
          </w:p>
        </w:tc>
        <w:tc>
          <w:tcPr>
            <w:tcW w:w="1668" w:type="dxa"/>
            <w:tcBorders>
              <w:top w:val="single" w:sz="4" w:space="0" w:color="auto"/>
              <w:bottom w:val="single" w:sz="4" w:space="0" w:color="auto"/>
            </w:tcBorders>
            <w:shd w:val="clear" w:color="auto" w:fill="auto"/>
            <w:vAlign w:val="center"/>
          </w:tcPr>
          <w:p w14:paraId="3B877350" w14:textId="77777777" w:rsidR="00EB16FD" w:rsidRPr="00AF6261" w:rsidRDefault="00EB16FD" w:rsidP="007F1961">
            <w:pPr>
              <w:jc w:val="center"/>
              <w:rPr>
                <w:rFonts w:ascii="Calibri" w:hAnsi="Calibri" w:cs="Calibri"/>
                <w:color w:val="000000"/>
                <w:sz w:val="18"/>
                <w:szCs w:val="18"/>
                <w:lang w:val="en-US"/>
              </w:rPr>
            </w:pPr>
            <w:r w:rsidRPr="00AF6261">
              <w:rPr>
                <w:rFonts w:ascii="Calibri" w:hAnsi="Calibri" w:cs="Calibri"/>
                <w:color w:val="000000"/>
                <w:sz w:val="18"/>
                <w:szCs w:val="18"/>
                <w:lang w:val="en-US"/>
              </w:rPr>
              <w:t>Hormonal Assessment</w:t>
            </w:r>
          </w:p>
        </w:tc>
        <w:tc>
          <w:tcPr>
            <w:tcW w:w="1703" w:type="dxa"/>
            <w:tcBorders>
              <w:top w:val="single" w:sz="4" w:space="0" w:color="auto"/>
              <w:bottom w:val="single" w:sz="4" w:space="0" w:color="auto"/>
            </w:tcBorders>
            <w:shd w:val="clear" w:color="auto" w:fill="auto"/>
            <w:vAlign w:val="center"/>
          </w:tcPr>
          <w:p w14:paraId="565F86D3" w14:textId="77777777" w:rsidR="00EB16FD" w:rsidRPr="00AF6261" w:rsidRDefault="00EB16FD" w:rsidP="007F1961">
            <w:pPr>
              <w:jc w:val="center"/>
              <w:rPr>
                <w:rFonts w:ascii="Calibri" w:hAnsi="Calibri" w:cs="Arial"/>
                <w:color w:val="333333"/>
                <w:sz w:val="18"/>
                <w:szCs w:val="18"/>
                <w:lang w:val="en-US"/>
              </w:rPr>
            </w:pPr>
            <w:r w:rsidRPr="00AF6261">
              <w:rPr>
                <w:rFonts w:ascii="Calibri" w:hAnsi="Calibri" w:cs="Arial"/>
                <w:color w:val="333333"/>
                <w:sz w:val="18"/>
                <w:szCs w:val="18"/>
                <w:lang w:val="en-US"/>
              </w:rPr>
              <w:t>FSH, LH, testosterone and estradiol</w:t>
            </w:r>
          </w:p>
        </w:tc>
        <w:tc>
          <w:tcPr>
            <w:tcW w:w="2010" w:type="dxa"/>
            <w:tcBorders>
              <w:top w:val="single" w:sz="4" w:space="0" w:color="auto"/>
              <w:bottom w:val="single" w:sz="4" w:space="0" w:color="auto"/>
            </w:tcBorders>
            <w:shd w:val="clear" w:color="auto" w:fill="auto"/>
            <w:vAlign w:val="center"/>
          </w:tcPr>
          <w:p w14:paraId="29C4206D" w14:textId="77777777" w:rsidR="00EB16FD" w:rsidRPr="00AF6261" w:rsidRDefault="00EB16FD" w:rsidP="007F1961">
            <w:pPr>
              <w:jc w:val="center"/>
              <w:rPr>
                <w:rFonts w:ascii="Calibri" w:hAnsi="Calibri" w:cs="Calibri"/>
                <w:color w:val="000000"/>
                <w:sz w:val="18"/>
                <w:szCs w:val="18"/>
                <w:lang w:val="en-US"/>
              </w:rPr>
            </w:pPr>
            <w:r w:rsidRPr="00AF6261">
              <w:rPr>
                <w:rFonts w:ascii="Calibri" w:hAnsi="Calibri" w:cs="Calibri"/>
                <w:color w:val="000000"/>
                <w:sz w:val="18"/>
                <w:szCs w:val="18"/>
                <w:lang w:val="en-US"/>
              </w:rPr>
              <w:t>No differences vs. control</w:t>
            </w:r>
          </w:p>
        </w:tc>
        <w:tc>
          <w:tcPr>
            <w:tcW w:w="2273" w:type="dxa"/>
            <w:tcBorders>
              <w:top w:val="single" w:sz="4" w:space="0" w:color="auto"/>
              <w:bottom w:val="single" w:sz="4" w:space="0" w:color="auto"/>
            </w:tcBorders>
            <w:vAlign w:val="center"/>
          </w:tcPr>
          <w:p w14:paraId="641CABEB" w14:textId="77777777" w:rsidR="00EB16FD" w:rsidRPr="00AF6261" w:rsidRDefault="00EB16FD" w:rsidP="007F1961">
            <w:pPr>
              <w:jc w:val="center"/>
              <w:rPr>
                <w:rFonts w:ascii="Calibri" w:hAnsi="Calibri" w:cs="Times New Roman"/>
                <w:color w:val="000000"/>
                <w:sz w:val="18"/>
                <w:szCs w:val="18"/>
                <w:lang w:val="en-US"/>
              </w:rPr>
            </w:pPr>
            <w:r w:rsidRPr="00AF6261">
              <w:rPr>
                <w:rFonts w:ascii="Calibri" w:hAnsi="Calibri" w:cs="Times New Roman"/>
                <w:color w:val="000000"/>
                <w:sz w:val="18"/>
                <w:szCs w:val="18"/>
                <w:lang w:val="en-US"/>
              </w:rPr>
              <w:t>-</w:t>
            </w:r>
          </w:p>
        </w:tc>
        <w:tc>
          <w:tcPr>
            <w:tcW w:w="2386" w:type="dxa"/>
            <w:tcBorders>
              <w:top w:val="single" w:sz="4" w:space="0" w:color="auto"/>
              <w:bottom w:val="single" w:sz="4" w:space="0" w:color="auto"/>
            </w:tcBorders>
            <w:shd w:val="clear" w:color="auto" w:fill="auto"/>
            <w:vAlign w:val="center"/>
          </w:tcPr>
          <w:p w14:paraId="3AFC4AA9" w14:textId="77777777" w:rsidR="00EB16FD" w:rsidRPr="00AF6261" w:rsidRDefault="00EB16FD" w:rsidP="007F1961">
            <w:pPr>
              <w:jc w:val="center"/>
              <w:rPr>
                <w:rFonts w:ascii="Calibri" w:hAnsi="Calibri" w:cs="Times New Roman"/>
                <w:color w:val="000000"/>
                <w:sz w:val="18"/>
                <w:szCs w:val="18"/>
                <w:lang w:val="en-US"/>
              </w:rPr>
            </w:pPr>
            <w:r w:rsidRPr="00AF6261">
              <w:rPr>
                <w:rFonts w:ascii="Calibri" w:hAnsi="Calibri" w:cs="Times New Roman"/>
                <w:color w:val="000000"/>
                <w:sz w:val="18"/>
                <w:szCs w:val="18"/>
                <w:lang w:val="en-US"/>
              </w:rPr>
              <w:t>-</w:t>
            </w:r>
          </w:p>
        </w:tc>
        <w:tc>
          <w:tcPr>
            <w:tcW w:w="851" w:type="dxa"/>
            <w:vMerge/>
            <w:tcBorders>
              <w:left w:val="nil"/>
              <w:bottom w:val="single" w:sz="4" w:space="0" w:color="auto"/>
              <w:right w:val="single" w:sz="4" w:space="0" w:color="auto"/>
            </w:tcBorders>
          </w:tcPr>
          <w:p w14:paraId="7BC90BA2"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4EB079F7" w14:textId="77777777" w:rsidTr="007F1961">
        <w:trPr>
          <w:cantSplit/>
          <w:trHeight w:val="1134"/>
        </w:trPr>
        <w:tc>
          <w:tcPr>
            <w:tcW w:w="1408" w:type="dxa"/>
            <w:vMerge w:val="restart"/>
            <w:tcBorders>
              <w:top w:val="single" w:sz="4" w:space="0" w:color="auto"/>
              <w:left w:val="single" w:sz="4" w:space="0" w:color="auto"/>
            </w:tcBorders>
            <w:shd w:val="clear" w:color="auto" w:fill="auto"/>
            <w:textDirection w:val="btLr"/>
            <w:vAlign w:val="center"/>
          </w:tcPr>
          <w:p w14:paraId="5380F461" w14:textId="77777777" w:rsidR="00EB16FD" w:rsidRPr="00AF6261" w:rsidRDefault="00EB16FD" w:rsidP="00EB16FD">
            <w:pPr>
              <w:ind w:left="113" w:right="113"/>
              <w:jc w:val="center"/>
              <w:rPr>
                <w:rFonts w:ascii="Calibri" w:hAnsi="Calibri"/>
                <w:sz w:val="18"/>
                <w:szCs w:val="18"/>
                <w:lang w:val="en-US"/>
              </w:rPr>
            </w:pPr>
            <w:r w:rsidRPr="00AF6261">
              <w:rPr>
                <w:rFonts w:ascii="Calibri" w:hAnsi="Calibri"/>
                <w:sz w:val="18"/>
                <w:szCs w:val="18"/>
                <w:lang w:val="en-US"/>
              </w:rPr>
              <w:t>Size:50-60 nm, Shape: Spherical, Hydrodynamic size :113.4±12.1 nm, Zeta potential: −12.30 ± 0.4 mV</w:t>
            </w:r>
          </w:p>
        </w:tc>
        <w:tc>
          <w:tcPr>
            <w:tcW w:w="1276" w:type="dxa"/>
            <w:vMerge w:val="restart"/>
            <w:tcBorders>
              <w:top w:val="single" w:sz="4" w:space="0" w:color="auto"/>
            </w:tcBorders>
            <w:shd w:val="clear" w:color="auto" w:fill="auto"/>
            <w:textDirection w:val="btLr"/>
            <w:vAlign w:val="center"/>
          </w:tcPr>
          <w:p w14:paraId="152C1DDC" w14:textId="77777777" w:rsidR="00EB16FD" w:rsidRPr="00AF6261" w:rsidRDefault="00EB16FD" w:rsidP="00EB16FD">
            <w:pPr>
              <w:ind w:left="113" w:right="113"/>
              <w:jc w:val="center"/>
              <w:rPr>
                <w:rFonts w:ascii="Calibri" w:hAnsi="Calibri"/>
                <w:sz w:val="18"/>
                <w:szCs w:val="18"/>
                <w:lang w:val="en-US"/>
              </w:rPr>
            </w:pPr>
            <w:r w:rsidRPr="00AF6261">
              <w:rPr>
                <w:rFonts w:ascii="Calibri" w:hAnsi="Calibri"/>
                <w:sz w:val="18"/>
                <w:szCs w:val="18"/>
                <w:lang w:val="en-US"/>
              </w:rPr>
              <w:t>Albino mice intraperitoneal</w:t>
            </w:r>
          </w:p>
        </w:tc>
        <w:tc>
          <w:tcPr>
            <w:tcW w:w="1275" w:type="dxa"/>
            <w:vMerge w:val="restart"/>
            <w:tcBorders>
              <w:top w:val="single" w:sz="4" w:space="0" w:color="auto"/>
            </w:tcBorders>
            <w:textDirection w:val="btLr"/>
            <w:vAlign w:val="center"/>
          </w:tcPr>
          <w:p w14:paraId="5882349F"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0.5, 1, 5 mg/kg bw 35 days</w:t>
            </w:r>
          </w:p>
        </w:tc>
        <w:tc>
          <w:tcPr>
            <w:tcW w:w="1668" w:type="dxa"/>
            <w:tcBorders>
              <w:top w:val="single" w:sz="4" w:space="0" w:color="auto"/>
              <w:bottom w:val="single" w:sz="4" w:space="0" w:color="auto"/>
            </w:tcBorders>
            <w:shd w:val="clear" w:color="auto" w:fill="auto"/>
            <w:vAlign w:val="center"/>
          </w:tcPr>
          <w:p w14:paraId="16299E57"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55AC3CA1"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Motility, and count, chromatin condensation by Eosin–nigrosin and aniline-blue staining</w:t>
            </w:r>
          </w:p>
        </w:tc>
        <w:tc>
          <w:tcPr>
            <w:tcW w:w="2010" w:type="dxa"/>
            <w:tcBorders>
              <w:top w:val="single" w:sz="4" w:space="0" w:color="auto"/>
              <w:bottom w:val="single" w:sz="4" w:space="0" w:color="auto"/>
            </w:tcBorders>
            <w:shd w:val="clear" w:color="auto" w:fill="auto"/>
            <w:vAlign w:val="center"/>
          </w:tcPr>
          <w:p w14:paraId="4B9EE233"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Decrease sperm count, sperm chromatin condensations, motility</w:t>
            </w:r>
          </w:p>
        </w:tc>
        <w:tc>
          <w:tcPr>
            <w:tcW w:w="2273" w:type="dxa"/>
            <w:tcBorders>
              <w:top w:val="single" w:sz="4" w:space="0" w:color="auto"/>
              <w:bottom w:val="single" w:sz="4" w:space="0" w:color="auto"/>
            </w:tcBorders>
            <w:vAlign w:val="center"/>
          </w:tcPr>
          <w:p w14:paraId="2958A614"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48E82827"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0D5946AC"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val="restart"/>
            <w:tcBorders>
              <w:top w:val="single" w:sz="4" w:space="0" w:color="auto"/>
              <w:left w:val="nil"/>
              <w:right w:val="single" w:sz="4" w:space="0" w:color="auto"/>
            </w:tcBorders>
            <w:vAlign w:val="center"/>
          </w:tcPr>
          <w:p w14:paraId="34F8FA8B" w14:textId="01346F4E"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 xml:space="preserve">ADDIN CSL_CITATION {"citationItems":[{"id":"ITEM-1","itemData":{"DOI":"10.1016/j.etap.2015.08.024","ISSN":"18727077","PMID":"26363132","abstract":"Lastly, there are growing evidences that nanosilver (NS) particles highly induce cytotoxic impacts in vitro and in vivo. Here, we analyzed the dose dependent effect of NS on histological changes, biochemical alterations and endocrine statuses, sperm parameters as well as chaperone Hsp70-2 expression. NS particles (50-60. nm) were administrated in 3 doses of 0.5, 1 and 5. mg/kg, intraperitoneally, for 35 days. The 0.3. mL normal saline was administrated in control-sham group. Histological alterations, sperm parameters, serum levels of LH, FSH and testosterone were evaluated. Germinal and Leydig cells RNA damage, Leydig cells steroidogenic foci, the testicular and sperm total antioxidant capacity (TAC), malondialdehyde (MDA), nitric oxide (NO) levels, immunohistochemical (IHC) expression and mRNA </w:instrText>
            </w:r>
            <w:r w:rsidR="007F3FC3">
              <w:rPr>
                <w:rFonts w:ascii="Calibri" w:eastAsia="Times New Roman" w:hAnsi="Calibri" w:cstheme="minorHAnsi"/>
                <w:color w:val="000000"/>
                <w:sz w:val="18"/>
                <w:szCs w:val="18"/>
                <w:lang w:eastAsia="fr-FR"/>
              </w:rPr>
              <w:instrText>level of Hsp70-2 were analyzed. The NS, dose dependently, resulted in enhanced germinal cells degeneration, necrosis, seminiferous tubules atrophy and decreased serum levels of LH, FSH and testosterone. Elevated germinal and Leydig cells RNA damage associated with increased sperm abnormalities were observed in NS-treated groups. Expression of Hsp70-2 was up-regulated in 0.5. mg/kg, while its expression was decreased in 1 and 5. mg/kg NS-treated groups. Testicular and sperm TAC levels reduced. However, the MDA and NO levels significantly (P&lt;. 0.05) increased in all NS-treated groups. No histological and biochemical changes were detected in contro</w:instrText>
            </w:r>
            <w:r w:rsidR="007F3FC3" w:rsidRPr="00AF6261">
              <w:rPr>
                <w:rFonts w:ascii="Calibri" w:eastAsia="Times New Roman" w:hAnsi="Calibri" w:cstheme="minorHAnsi"/>
                <w:color w:val="000000"/>
                <w:sz w:val="18"/>
                <w:szCs w:val="18"/>
                <w:lang w:val="en-US" w:eastAsia="fr-FR"/>
              </w:rPr>
              <w:instrText>l-sham group. In conclusion, the NS particles exert their pathological impact via affecting testicular antioxidant and endocrine statuses, which in turn lead to diminished expression of Hsp70-2. Ultimately, by this mechanism NS particles adversely impact the cellular RNA, DNA and protein contents.","author":[{"dropping-particle":"","family":"Rezazadeh-Reyhani","given":"Zari","non-dropping-particle":"","parse-names":false,"suffix":""},{"dropping-particle":"","family":"Razi","given":"Mazdak","non-dropping-particle":"","parse-names":false,"suffix":""},{"dropping-particle":"","family":"Malekinejad","given":"Hassan","non-dropping-particle":"","parse-names":false,"suffix":""},{"dropping-particle":"","family":"Sadrkhanlou","given":"Rajabali","non-dropping-particle":"","parse-names":false,"suffix":""}],"container-title":"Environmental Toxicology and Pharmacology","id":"ITEM-1","issue":"2","issued":{"date-parts":[["2015"]]},"page":"626-638","publisher":"Elsevier B.V.","title":"Cytotoxic effect of nanosilver particles on testicular tissue: Evidence for biochemical stress and Hsp70-2 protein expression","type":"article-journal","volume":"40"},"uris":["http://www.mendeley.com/documents/?uuid=71ef2ba6-594e-4d68-9cf7-f309441e02c4"]}],"mendeley":{"formattedCitation":"(27)","plainTextFormattedCitation":"(27)","previouslyFormattedCitation":"(Rezazadeh-Reyhani et al. 2015)"},"properties":{"noteIndex":0},"schema":"https://github.com/citation-style-language/schema/raw/master/csl-citation.json"}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(27)</w:t>
            </w:r>
            <w:r w:rsidRPr="00912134">
              <w:rPr>
                <w:rFonts w:ascii="Calibri" w:eastAsia="Times New Roman" w:hAnsi="Calibri" w:cstheme="minorHAnsi"/>
                <w:color w:val="000000"/>
                <w:sz w:val="18"/>
                <w:szCs w:val="18"/>
                <w:lang w:eastAsia="fr-FR"/>
              </w:rPr>
              <w:fldChar w:fldCharType="end"/>
            </w:r>
          </w:p>
        </w:tc>
      </w:tr>
      <w:tr w:rsidR="00EB16FD" w:rsidRPr="00DC5D76" w14:paraId="5C89FCDF" w14:textId="77777777" w:rsidTr="007F1961">
        <w:trPr>
          <w:trHeight w:val="195"/>
        </w:trPr>
        <w:tc>
          <w:tcPr>
            <w:tcW w:w="1408" w:type="dxa"/>
            <w:vMerge/>
            <w:tcBorders>
              <w:left w:val="single" w:sz="4" w:space="0" w:color="auto"/>
            </w:tcBorders>
            <w:shd w:val="clear" w:color="auto" w:fill="auto"/>
            <w:textDirection w:val="btLr"/>
            <w:vAlign w:val="center"/>
          </w:tcPr>
          <w:p w14:paraId="6343DFE8" w14:textId="77777777" w:rsidR="00EB16FD" w:rsidRPr="00AF6261" w:rsidRDefault="00EB16FD" w:rsidP="00EB16FD">
            <w:pPr>
              <w:ind w:left="113" w:right="113"/>
              <w:jc w:val="center"/>
              <w:rPr>
                <w:rFonts w:ascii="Calibri" w:hAnsi="Calibri"/>
                <w:color w:val="000000"/>
                <w:sz w:val="18"/>
                <w:szCs w:val="18"/>
                <w:lang w:val="en-US"/>
              </w:rPr>
            </w:pPr>
          </w:p>
        </w:tc>
        <w:tc>
          <w:tcPr>
            <w:tcW w:w="1276" w:type="dxa"/>
            <w:vMerge/>
            <w:shd w:val="clear" w:color="auto" w:fill="auto"/>
            <w:textDirection w:val="btLr"/>
            <w:vAlign w:val="center"/>
          </w:tcPr>
          <w:p w14:paraId="3DF1A5B1" w14:textId="77777777" w:rsidR="00EB16FD" w:rsidRPr="00AF6261" w:rsidRDefault="00EB16FD" w:rsidP="00EB16FD">
            <w:pPr>
              <w:ind w:left="113" w:right="113"/>
              <w:jc w:val="center"/>
              <w:rPr>
                <w:rFonts w:ascii="Calibri" w:hAnsi="Calibri"/>
                <w:color w:val="000000"/>
                <w:sz w:val="18"/>
                <w:szCs w:val="18"/>
                <w:lang w:val="en-US"/>
              </w:rPr>
            </w:pPr>
          </w:p>
        </w:tc>
        <w:tc>
          <w:tcPr>
            <w:tcW w:w="1275" w:type="dxa"/>
            <w:vMerge/>
            <w:textDirection w:val="btLr"/>
            <w:vAlign w:val="center"/>
          </w:tcPr>
          <w:p w14:paraId="7A6E4C0B" w14:textId="77777777" w:rsidR="00EB16FD" w:rsidRPr="00AF6261" w:rsidRDefault="00EB16FD" w:rsidP="00EB16FD">
            <w:pPr>
              <w:ind w:left="113" w:right="113"/>
              <w:jc w:val="center"/>
              <w:rPr>
                <w:rFonts w:ascii="Calibri" w:hAnsi="Calibri"/>
                <w:sz w:val="18"/>
                <w:szCs w:val="18"/>
                <w:lang w:val="en-US"/>
              </w:rPr>
            </w:pPr>
          </w:p>
        </w:tc>
        <w:tc>
          <w:tcPr>
            <w:tcW w:w="1668" w:type="dxa"/>
            <w:tcBorders>
              <w:top w:val="single" w:sz="4" w:space="0" w:color="auto"/>
              <w:bottom w:val="single" w:sz="4" w:space="0" w:color="auto"/>
            </w:tcBorders>
            <w:shd w:val="clear" w:color="auto" w:fill="auto"/>
            <w:vAlign w:val="center"/>
          </w:tcPr>
          <w:p w14:paraId="74682C8B" w14:textId="12302226"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Oxidative Status</w:t>
            </w:r>
          </w:p>
        </w:tc>
        <w:tc>
          <w:tcPr>
            <w:tcW w:w="1703" w:type="dxa"/>
            <w:tcBorders>
              <w:top w:val="single" w:sz="4" w:space="0" w:color="auto"/>
              <w:bottom w:val="single" w:sz="4" w:space="0" w:color="auto"/>
            </w:tcBorders>
            <w:shd w:val="clear" w:color="auto" w:fill="auto"/>
            <w:vAlign w:val="center"/>
          </w:tcPr>
          <w:p w14:paraId="5B81B5B9"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TAOC by ferric reduction antioxidant power (FRAP) assay and MDA by thethiobarbituric acid (TBA) reaction assay in testicular tissue</w:t>
            </w:r>
          </w:p>
        </w:tc>
        <w:tc>
          <w:tcPr>
            <w:tcW w:w="2010" w:type="dxa"/>
            <w:tcBorders>
              <w:top w:val="single" w:sz="4" w:space="0" w:color="auto"/>
              <w:bottom w:val="single" w:sz="4" w:space="0" w:color="auto"/>
            </w:tcBorders>
            <w:shd w:val="clear" w:color="auto" w:fill="auto"/>
            <w:vAlign w:val="center"/>
          </w:tcPr>
          <w:p w14:paraId="1A256356" w14:textId="5B9ACE5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Decreased TAOC level, increased MDA content,</w:t>
            </w:r>
          </w:p>
        </w:tc>
        <w:tc>
          <w:tcPr>
            <w:tcW w:w="2273" w:type="dxa"/>
            <w:tcBorders>
              <w:top w:val="single" w:sz="4" w:space="0" w:color="auto"/>
              <w:bottom w:val="single" w:sz="4" w:space="0" w:color="auto"/>
            </w:tcBorders>
            <w:vAlign w:val="center"/>
          </w:tcPr>
          <w:p w14:paraId="276087A7"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3D40C7FE"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79452932" w14:textId="5CEAC4D5"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Oxidative Damage</w:t>
            </w:r>
          </w:p>
          <w:p w14:paraId="6D4A5FC4"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(ID356)</w:t>
            </w:r>
          </w:p>
        </w:tc>
        <w:tc>
          <w:tcPr>
            <w:tcW w:w="851" w:type="dxa"/>
            <w:vMerge/>
            <w:tcBorders>
              <w:left w:val="nil"/>
              <w:right w:val="single" w:sz="4" w:space="0" w:color="auto"/>
            </w:tcBorders>
          </w:tcPr>
          <w:p w14:paraId="5948E51A"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54568CCF" w14:textId="77777777" w:rsidTr="007F1961">
        <w:trPr>
          <w:trHeight w:val="1506"/>
        </w:trPr>
        <w:tc>
          <w:tcPr>
            <w:tcW w:w="1408" w:type="dxa"/>
            <w:vMerge/>
            <w:tcBorders>
              <w:left w:val="single" w:sz="4" w:space="0" w:color="auto"/>
            </w:tcBorders>
            <w:shd w:val="clear" w:color="auto" w:fill="auto"/>
            <w:textDirection w:val="btLr"/>
            <w:vAlign w:val="center"/>
          </w:tcPr>
          <w:p w14:paraId="34B6DC77" w14:textId="77777777" w:rsidR="00EB16FD" w:rsidRPr="00AF6261" w:rsidRDefault="00EB16FD" w:rsidP="00EB16FD">
            <w:pPr>
              <w:ind w:left="113" w:right="113"/>
              <w:jc w:val="center"/>
              <w:rPr>
                <w:rFonts w:ascii="Calibri" w:hAnsi="Calibri"/>
                <w:color w:val="000000"/>
                <w:sz w:val="18"/>
                <w:szCs w:val="18"/>
                <w:lang w:val="en-US"/>
              </w:rPr>
            </w:pPr>
          </w:p>
        </w:tc>
        <w:tc>
          <w:tcPr>
            <w:tcW w:w="1276" w:type="dxa"/>
            <w:vMerge/>
            <w:shd w:val="clear" w:color="auto" w:fill="auto"/>
            <w:textDirection w:val="btLr"/>
            <w:vAlign w:val="center"/>
          </w:tcPr>
          <w:p w14:paraId="663498D2" w14:textId="77777777" w:rsidR="00EB16FD" w:rsidRPr="00AF6261" w:rsidRDefault="00EB16FD" w:rsidP="00EB16FD">
            <w:pPr>
              <w:ind w:left="113" w:right="113"/>
              <w:jc w:val="center"/>
              <w:rPr>
                <w:rFonts w:ascii="Calibri" w:hAnsi="Calibri"/>
                <w:color w:val="000000"/>
                <w:sz w:val="18"/>
                <w:szCs w:val="18"/>
                <w:lang w:val="en-US"/>
              </w:rPr>
            </w:pPr>
          </w:p>
        </w:tc>
        <w:tc>
          <w:tcPr>
            <w:tcW w:w="1275" w:type="dxa"/>
            <w:vMerge/>
            <w:textDirection w:val="btLr"/>
            <w:vAlign w:val="center"/>
          </w:tcPr>
          <w:p w14:paraId="0AD79718" w14:textId="77777777" w:rsidR="00EB16FD" w:rsidRPr="00AF6261" w:rsidRDefault="00EB16FD" w:rsidP="00EB16FD">
            <w:pPr>
              <w:ind w:left="113" w:right="113"/>
              <w:jc w:val="center"/>
              <w:rPr>
                <w:rFonts w:ascii="Calibri" w:hAnsi="Calibri"/>
                <w:sz w:val="18"/>
                <w:szCs w:val="18"/>
                <w:lang w:val="en-US"/>
              </w:rPr>
            </w:pPr>
          </w:p>
        </w:tc>
        <w:tc>
          <w:tcPr>
            <w:tcW w:w="1668" w:type="dxa"/>
            <w:tcBorders>
              <w:top w:val="single" w:sz="4" w:space="0" w:color="auto"/>
            </w:tcBorders>
            <w:shd w:val="clear" w:color="auto" w:fill="auto"/>
            <w:vAlign w:val="center"/>
          </w:tcPr>
          <w:p w14:paraId="0BCC2F4A"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Hormonal Assessment</w:t>
            </w:r>
          </w:p>
        </w:tc>
        <w:tc>
          <w:tcPr>
            <w:tcW w:w="1703" w:type="dxa"/>
            <w:tcBorders>
              <w:top w:val="single" w:sz="4" w:space="0" w:color="auto"/>
            </w:tcBorders>
            <w:shd w:val="clear" w:color="auto" w:fill="auto"/>
            <w:vAlign w:val="center"/>
          </w:tcPr>
          <w:p w14:paraId="333EECDF"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Serum testosterone, LH and FSH by Radioimmunoassay kit</w:t>
            </w:r>
          </w:p>
        </w:tc>
        <w:tc>
          <w:tcPr>
            <w:tcW w:w="2010" w:type="dxa"/>
            <w:tcBorders>
              <w:top w:val="single" w:sz="4" w:space="0" w:color="auto"/>
            </w:tcBorders>
            <w:shd w:val="clear" w:color="auto" w:fill="auto"/>
            <w:vAlign w:val="center"/>
          </w:tcPr>
          <w:p w14:paraId="1011E954"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Reduction, testosterone level LH  and FSH level</w:t>
            </w:r>
          </w:p>
        </w:tc>
        <w:tc>
          <w:tcPr>
            <w:tcW w:w="2273" w:type="dxa"/>
            <w:tcBorders>
              <w:top w:val="single" w:sz="4" w:space="0" w:color="auto"/>
            </w:tcBorders>
            <w:vAlign w:val="center"/>
          </w:tcPr>
          <w:p w14:paraId="1A30E57A" w14:textId="77777777" w:rsidR="00EB16FD" w:rsidRPr="002B72F1" w:rsidRDefault="00EB16FD" w:rsidP="007F1961">
            <w:pPr>
              <w:jc w:val="center"/>
              <w:rPr>
                <w:sz w:val="18"/>
                <w:szCs w:val="18"/>
                <w:lang w:val="en-US"/>
              </w:rPr>
            </w:pPr>
            <w:r w:rsidRPr="000270BA">
              <w:rPr>
                <w:sz w:val="18"/>
                <w:szCs w:val="18"/>
                <w:lang w:val="en-US"/>
              </w:rPr>
              <w:t>Reduction, testosterone</w:t>
            </w:r>
            <w:r>
              <w:rPr>
                <w:sz w:val="18"/>
                <w:szCs w:val="18"/>
                <w:lang w:val="en-US"/>
              </w:rPr>
              <w:t xml:space="preserve"> level (ID1613, ID1689, ID1612)</w:t>
            </w:r>
          </w:p>
        </w:tc>
        <w:tc>
          <w:tcPr>
            <w:tcW w:w="2386" w:type="dxa"/>
            <w:tcBorders>
              <w:top w:val="single" w:sz="4" w:space="0" w:color="auto"/>
            </w:tcBorders>
            <w:shd w:val="clear" w:color="auto" w:fill="auto"/>
            <w:vAlign w:val="center"/>
          </w:tcPr>
          <w:p w14:paraId="60E0485E" w14:textId="24E630C4"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Decreased sperm quantity or quality in the adult, Decreased fertility</w:t>
            </w:r>
          </w:p>
        </w:tc>
        <w:tc>
          <w:tcPr>
            <w:tcW w:w="851" w:type="dxa"/>
            <w:vMerge/>
            <w:tcBorders>
              <w:left w:val="nil"/>
              <w:right w:val="single" w:sz="4" w:space="0" w:color="auto"/>
            </w:tcBorders>
          </w:tcPr>
          <w:p w14:paraId="17453031"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2EA5376D"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1764C635" w14:textId="77777777" w:rsidR="00EB16FD" w:rsidRPr="00AF6261" w:rsidRDefault="00EB16FD" w:rsidP="00EB16FD">
            <w:pPr>
              <w:ind w:left="113" w:right="113"/>
              <w:jc w:val="center"/>
              <w:rPr>
                <w:rFonts w:ascii="Calibri" w:hAnsi="Calibri" w:cs="Calibri"/>
                <w:color w:val="000000"/>
                <w:sz w:val="18"/>
                <w:szCs w:val="18"/>
                <w:lang w:val="en-US"/>
              </w:rPr>
            </w:pPr>
          </w:p>
        </w:tc>
        <w:tc>
          <w:tcPr>
            <w:tcW w:w="1276" w:type="dxa"/>
            <w:vMerge/>
            <w:tcBorders>
              <w:bottom w:val="single" w:sz="4" w:space="0" w:color="auto"/>
            </w:tcBorders>
            <w:shd w:val="clear" w:color="auto" w:fill="auto"/>
            <w:textDirection w:val="btLr"/>
            <w:vAlign w:val="center"/>
          </w:tcPr>
          <w:p w14:paraId="10148D0A" w14:textId="77777777" w:rsidR="00EB16FD" w:rsidRPr="00AF6261" w:rsidRDefault="00EB16FD" w:rsidP="00EB16FD">
            <w:pPr>
              <w:ind w:left="113" w:right="113"/>
              <w:jc w:val="center"/>
              <w:rPr>
                <w:rFonts w:ascii="Calibri" w:hAnsi="Calibri" w:cs="Calibri"/>
                <w:color w:val="000000"/>
                <w:sz w:val="18"/>
                <w:szCs w:val="18"/>
                <w:lang w:val="en-US"/>
              </w:rPr>
            </w:pPr>
          </w:p>
        </w:tc>
        <w:tc>
          <w:tcPr>
            <w:tcW w:w="1275" w:type="dxa"/>
            <w:vMerge/>
            <w:tcBorders>
              <w:bottom w:val="single" w:sz="4" w:space="0" w:color="auto"/>
            </w:tcBorders>
            <w:textDirection w:val="btLr"/>
            <w:vAlign w:val="center"/>
          </w:tcPr>
          <w:p w14:paraId="7F736B6E" w14:textId="77777777" w:rsidR="00EB16FD" w:rsidRPr="00AF6261" w:rsidRDefault="00EB16FD" w:rsidP="00EB16FD">
            <w:pPr>
              <w:ind w:left="113" w:right="113"/>
              <w:jc w:val="center"/>
              <w:rPr>
                <w:rFonts w:ascii="Calibri" w:hAnsi="Calibri"/>
                <w:sz w:val="18"/>
                <w:szCs w:val="18"/>
                <w:lang w:val="en-US"/>
              </w:rPr>
            </w:pPr>
          </w:p>
        </w:tc>
        <w:tc>
          <w:tcPr>
            <w:tcW w:w="1668" w:type="dxa"/>
            <w:tcBorders>
              <w:top w:val="single" w:sz="4" w:space="0" w:color="auto"/>
              <w:bottom w:val="single" w:sz="4" w:space="0" w:color="auto"/>
            </w:tcBorders>
            <w:shd w:val="clear" w:color="auto" w:fill="auto"/>
            <w:vAlign w:val="center"/>
          </w:tcPr>
          <w:p w14:paraId="09ED6103" w14:textId="77777777" w:rsidR="00EB16FD" w:rsidRPr="00AF6261" w:rsidRDefault="00EB16FD" w:rsidP="007F1961">
            <w:pPr>
              <w:jc w:val="center"/>
              <w:rPr>
                <w:rFonts w:ascii="Calibri" w:hAnsi="Calibri"/>
                <w:sz w:val="18"/>
                <w:szCs w:val="18"/>
                <w:lang w:val="en-US"/>
              </w:rPr>
            </w:pPr>
            <w:r w:rsidRPr="00AF6261">
              <w:rPr>
                <w:rFonts w:ascii="Calibri" w:hAnsi="Calibri"/>
                <w:color w:val="000000"/>
                <w:sz w:val="18"/>
                <w:szCs w:val="18"/>
                <w:lang w:val="en-US"/>
              </w:rPr>
              <w:t>Histological parametres</w:t>
            </w:r>
          </w:p>
        </w:tc>
        <w:tc>
          <w:tcPr>
            <w:tcW w:w="1703" w:type="dxa"/>
            <w:tcBorders>
              <w:top w:val="single" w:sz="4" w:space="0" w:color="auto"/>
              <w:bottom w:val="single" w:sz="4" w:space="0" w:color="auto"/>
            </w:tcBorders>
            <w:shd w:val="clear" w:color="auto" w:fill="auto"/>
            <w:vAlign w:val="center"/>
          </w:tcPr>
          <w:p w14:paraId="72AF61EA" w14:textId="77777777" w:rsidR="00EB16FD" w:rsidRPr="00AF6261" w:rsidRDefault="00EB16FD" w:rsidP="007F1961">
            <w:pPr>
              <w:jc w:val="center"/>
              <w:rPr>
                <w:rFonts w:ascii="Calibri" w:hAnsi="Calibri"/>
                <w:sz w:val="18"/>
                <w:szCs w:val="18"/>
                <w:lang w:val="en-US"/>
              </w:rPr>
            </w:pPr>
            <w:r w:rsidRPr="00AF6261">
              <w:rPr>
                <w:rFonts w:ascii="Calibri" w:hAnsi="Calibri"/>
                <w:color w:val="000000"/>
                <w:sz w:val="18"/>
                <w:szCs w:val="18"/>
                <w:lang w:val="en-US"/>
              </w:rPr>
              <w:t>Histological parametres of testes</w:t>
            </w:r>
          </w:p>
        </w:tc>
        <w:tc>
          <w:tcPr>
            <w:tcW w:w="2010" w:type="dxa"/>
            <w:tcBorders>
              <w:top w:val="single" w:sz="4" w:space="0" w:color="auto"/>
              <w:bottom w:val="single" w:sz="4" w:space="0" w:color="auto"/>
            </w:tcBorders>
            <w:shd w:val="clear" w:color="auto" w:fill="auto"/>
            <w:vAlign w:val="center"/>
          </w:tcPr>
          <w:p w14:paraId="4D4C4631" w14:textId="77777777" w:rsidR="00EB16FD" w:rsidRPr="00AF6261" w:rsidRDefault="00EB16FD" w:rsidP="007F1961">
            <w:pPr>
              <w:jc w:val="center"/>
              <w:rPr>
                <w:rFonts w:ascii="Calibri" w:hAnsi="Calibri" w:cs="Calibri"/>
                <w:color w:val="000000"/>
                <w:sz w:val="18"/>
                <w:szCs w:val="18"/>
                <w:lang w:val="en-US"/>
              </w:rPr>
            </w:pPr>
            <w:r w:rsidRPr="00AF6261">
              <w:rPr>
                <w:rFonts w:ascii="Calibri" w:hAnsi="Calibri" w:cs="Calibri"/>
                <w:color w:val="000000"/>
                <w:sz w:val="18"/>
                <w:szCs w:val="18"/>
                <w:lang w:val="en-US"/>
              </w:rPr>
              <w:t>Reduction in Leydig cells distribution. Increased the percentage of hypertrophied Leydig cells, Decreased testis index, seminiferous tubules atrophy</w:t>
            </w:r>
          </w:p>
        </w:tc>
        <w:tc>
          <w:tcPr>
            <w:tcW w:w="2273" w:type="dxa"/>
            <w:tcBorders>
              <w:top w:val="single" w:sz="4" w:space="0" w:color="auto"/>
              <w:bottom w:val="single" w:sz="4" w:space="0" w:color="auto"/>
            </w:tcBorders>
            <w:vAlign w:val="center"/>
          </w:tcPr>
          <w:p w14:paraId="022DAD22"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2D5790F9"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(ID1506)</w:t>
            </w:r>
          </w:p>
        </w:tc>
        <w:tc>
          <w:tcPr>
            <w:tcW w:w="2386" w:type="dxa"/>
            <w:tcBorders>
              <w:top w:val="single" w:sz="4" w:space="0" w:color="auto"/>
              <w:bottom w:val="single" w:sz="4" w:space="0" w:color="auto"/>
            </w:tcBorders>
            <w:shd w:val="clear" w:color="auto" w:fill="auto"/>
            <w:vAlign w:val="center"/>
          </w:tcPr>
          <w:p w14:paraId="13616CF7"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1B9DF54F"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left w:val="nil"/>
              <w:bottom w:val="single" w:sz="4" w:space="0" w:color="auto"/>
              <w:right w:val="single" w:sz="4" w:space="0" w:color="auto"/>
            </w:tcBorders>
          </w:tcPr>
          <w:p w14:paraId="15D8864F"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0F9A8D61" w14:textId="77777777" w:rsidTr="007F1961">
        <w:trPr>
          <w:cantSplit/>
          <w:trHeight w:val="1134"/>
        </w:trPr>
        <w:tc>
          <w:tcPr>
            <w:tcW w:w="1408" w:type="dxa"/>
            <w:vMerge w:val="restart"/>
            <w:tcBorders>
              <w:top w:val="single" w:sz="4" w:space="0" w:color="auto"/>
              <w:left w:val="single" w:sz="4" w:space="0" w:color="auto"/>
            </w:tcBorders>
            <w:shd w:val="clear" w:color="auto" w:fill="auto"/>
            <w:textDirection w:val="btLr"/>
            <w:vAlign w:val="center"/>
          </w:tcPr>
          <w:p w14:paraId="134C2951"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Size: 20 and 200 nm, Shape: Spherical, Hydrodynamic size :158.5 ± 2.2, 326.4 ± 5.5</w:t>
            </w:r>
          </w:p>
          <w:p w14:paraId="6BD9BE4C" w14:textId="77777777" w:rsidR="00EB16FD" w:rsidRPr="00AF6261" w:rsidRDefault="00EB16FD" w:rsidP="00EB16FD">
            <w:pPr>
              <w:ind w:left="113" w:right="113"/>
              <w:jc w:val="center"/>
              <w:rPr>
                <w:rFonts w:ascii="Calibri" w:hAnsi="Calibri"/>
                <w:color w:val="000000"/>
                <w:sz w:val="18"/>
                <w:szCs w:val="18"/>
                <w:lang w:val="en-US"/>
              </w:rPr>
            </w:pPr>
          </w:p>
          <w:p w14:paraId="1B665A74" w14:textId="77777777" w:rsidR="00EB16FD" w:rsidRPr="00AF6261" w:rsidRDefault="00EB16FD" w:rsidP="00EB16FD">
            <w:pPr>
              <w:ind w:left="113" w:right="113"/>
              <w:jc w:val="center"/>
              <w:rPr>
                <w:rFonts w:ascii="Calibri" w:hAnsi="Calibri"/>
                <w:color w:val="000000"/>
                <w:sz w:val="18"/>
                <w:szCs w:val="18"/>
                <w:lang w:val="en-US"/>
              </w:rPr>
            </w:pPr>
          </w:p>
        </w:tc>
        <w:tc>
          <w:tcPr>
            <w:tcW w:w="1276" w:type="dxa"/>
            <w:vMerge w:val="restart"/>
            <w:tcBorders>
              <w:top w:val="single" w:sz="4" w:space="0" w:color="auto"/>
            </w:tcBorders>
            <w:shd w:val="clear" w:color="auto" w:fill="auto"/>
            <w:textDirection w:val="btLr"/>
            <w:vAlign w:val="center"/>
          </w:tcPr>
          <w:p w14:paraId="40A8DCE5"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Male  8-oxoguanine  DNA  glycosylase  knockout  mice  (Ogg1 / KO</w:t>
            </w:r>
            <w:r w:rsidRPr="00AF6261">
              <w:rPr>
                <w:rFonts w:ascii="Calibri" w:hAnsi="Calibri"/>
                <w:color w:val="000000"/>
                <w:sz w:val="18"/>
                <w:szCs w:val="18"/>
                <w:vertAlign w:val="superscript"/>
                <w:lang w:val="en-US"/>
              </w:rPr>
              <w:t>-1-</w:t>
            </w:r>
            <w:r w:rsidRPr="00AF6261">
              <w:rPr>
                <w:rFonts w:ascii="Calibri" w:hAnsi="Calibri"/>
                <w:color w:val="000000"/>
                <w:sz w:val="18"/>
                <w:szCs w:val="18"/>
                <w:lang w:val="en-US"/>
              </w:rPr>
              <w:t>), intravenous</w:t>
            </w:r>
          </w:p>
        </w:tc>
        <w:tc>
          <w:tcPr>
            <w:tcW w:w="1275" w:type="dxa"/>
            <w:vMerge w:val="restart"/>
            <w:tcBorders>
              <w:top w:val="single" w:sz="4" w:space="0" w:color="auto"/>
            </w:tcBorders>
            <w:textDirection w:val="btLr"/>
            <w:vAlign w:val="center"/>
          </w:tcPr>
          <w:p w14:paraId="292F2558"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5 mg/kg BW, 1 to 7 days</w:t>
            </w:r>
          </w:p>
        </w:tc>
        <w:tc>
          <w:tcPr>
            <w:tcW w:w="1668" w:type="dxa"/>
            <w:tcBorders>
              <w:top w:val="single" w:sz="4" w:space="0" w:color="auto"/>
              <w:bottom w:val="single" w:sz="4" w:space="0" w:color="auto"/>
            </w:tcBorders>
            <w:shd w:val="clear" w:color="auto" w:fill="auto"/>
            <w:vAlign w:val="center"/>
          </w:tcPr>
          <w:p w14:paraId="10B866E1"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0D4F8B46"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chromatin structure assay</w:t>
            </w:r>
          </w:p>
        </w:tc>
        <w:tc>
          <w:tcPr>
            <w:tcW w:w="2010" w:type="dxa"/>
            <w:tcBorders>
              <w:top w:val="single" w:sz="4" w:space="0" w:color="auto"/>
              <w:bottom w:val="single" w:sz="4" w:space="0" w:color="auto"/>
            </w:tcBorders>
            <w:shd w:val="clear" w:color="auto" w:fill="auto"/>
            <w:vAlign w:val="center"/>
          </w:tcPr>
          <w:p w14:paraId="3F9EC57C"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No  significant  change  in  sperm  DNA fragmentation</w:t>
            </w:r>
          </w:p>
        </w:tc>
        <w:tc>
          <w:tcPr>
            <w:tcW w:w="2273" w:type="dxa"/>
            <w:tcBorders>
              <w:top w:val="single" w:sz="4" w:space="0" w:color="auto"/>
              <w:bottom w:val="single" w:sz="4" w:space="0" w:color="auto"/>
            </w:tcBorders>
            <w:vAlign w:val="center"/>
          </w:tcPr>
          <w:p w14:paraId="490B03B5"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w:t>
            </w:r>
          </w:p>
        </w:tc>
        <w:tc>
          <w:tcPr>
            <w:tcW w:w="2386" w:type="dxa"/>
            <w:tcBorders>
              <w:top w:val="single" w:sz="4" w:space="0" w:color="auto"/>
              <w:bottom w:val="single" w:sz="4" w:space="0" w:color="auto"/>
            </w:tcBorders>
            <w:shd w:val="clear" w:color="auto" w:fill="auto"/>
            <w:vAlign w:val="center"/>
          </w:tcPr>
          <w:p w14:paraId="469A128A"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w:t>
            </w:r>
          </w:p>
        </w:tc>
        <w:tc>
          <w:tcPr>
            <w:tcW w:w="851" w:type="dxa"/>
            <w:vMerge w:val="restart"/>
            <w:tcBorders>
              <w:top w:val="single" w:sz="4" w:space="0" w:color="auto"/>
              <w:left w:val="nil"/>
              <w:right w:val="single" w:sz="4" w:space="0" w:color="auto"/>
            </w:tcBorders>
            <w:vAlign w:val="center"/>
          </w:tcPr>
          <w:p w14:paraId="1FC62588" w14:textId="66F568F1"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{"citationItems":[{"id":"ITEM-1","itemData":{"DOI":"10.3109/17435390.2015.1071443","ISSN":"17435404","PMID":"26923343","abstract":"Recently, we showed that silver nanoparticles (AgNPs) caused apoptosis, necrosis and DNA s</w:instrText>
            </w:r>
            <w:r w:rsidR="007F3FC3">
              <w:rPr>
                <w:rFonts w:ascii="Calibri" w:eastAsia="Times New Roman" w:hAnsi="Calibri" w:cstheme="minorHAnsi"/>
                <w:color w:val="000000"/>
                <w:sz w:val="18"/>
                <w:szCs w:val="18"/>
                <w:lang w:eastAsia="fr-FR"/>
              </w:rPr>
              <w:instrText>trand breaks in different cell models in vitro. These findings warranted analyses of their relevance in vivo. We investigated the genotoxic potential and gene expression profiles of silver particles of nano- (Ag20, 20 nm) and submicron- (Ag200, 200 nm) size and titanium dioxide nanoparticles (TiO2-NPs, 21 nm) in selected tissues from exposed male mice including the gonades. A single dose of 5 mg/kg bw nanoparticles was administered intravenously to male mice derived from C57BL6 (WT) and 8-oxoguanine DNA glycosylase knock-out (Ogg1-/- KO). Testis, lung and liver were harvested one and seven days post-exposure and analyzed for DNA strand breaks and oxidized purines employing the Comet assay with Formamidopyrimidine DNA glycosylase (Fpg) treatment, and sperm DNA fragmentation by the sperm chromatin structure assay (SCSA). Based on an initial screening of a panel of 21 genes, seven genes were selected and their expression levels were analyzed in all lung and testis tissues sampled from all animals (n = 6 mice/treatment group) using qPCR. AgNPs, in particular Ag200, caused significantly increased levels of DNA strand breaks and alkali labile sites in lung, seven days post-exposure. Fpg-sensitive lesions were significantly induced in both testis and lung. The transcript level of some key genes; Atm, Rad51, Sod1, Fos and Mmp3, were significantly induced compared to controls, particularly in lung samples from Ag200-exposed KO mice. We conclude that the Ag200 causes genotoxicity and distinct gene expression patterns in selected DNA damage response and repair related genes.","author":[{"dropping-particle":"","family":"Asare","given":"Nana.","non-dropping-particle":"","parse-names":false,"suffix":""},{"dropping-particle":"","family":"Duale","given":"Nur","non-dropping-particle":"","parse-names":false,"suffix":""},{"dropping-particle":"","family":"Slagsvold","given":"Hege H","non-dropping-particle":"","parse-names"</w:instrText>
            </w:r>
            <w:r w:rsidR="007F3FC3" w:rsidRPr="00AF6261">
              <w:rPr>
                <w:rFonts w:ascii="Calibri" w:eastAsia="Times New Roman" w:hAnsi="Calibri" w:cstheme="minorHAnsi"/>
                <w:color w:val="000000"/>
                <w:sz w:val="18"/>
                <w:szCs w:val="18"/>
                <w:lang w:val="en-US" w:eastAsia="fr-FR"/>
              </w:rPr>
              <w:instrText>:false,"suffix":""},{"dropping-particle":"","family":"Lindeman","given":"Birgitte","non-dropping-particle":"","parse-names":false,"suffix":""},{"dropping-particle":"","family":"Olsen","given":"Ann Karin","non-dropping-particle":"","parse-names":false,"suffix":""},{"dropping-particle":"","family":"Gromadzka-Ostrowska","given":"Joanna","non-dropping-particle":"","parse-names":false,"suffix":""},{"dropping-particle":"","family":"Meczynska-Wielgosz","given":"Sylwia","non-dropping-particle":"","parse-names":false,"suffix":""},{"dropping-particle":"","family":"Kruszewski","given":"Marcin","non-dropping-particle":"","parse-names":false,"suffix":""},{"dropping-particle":"","family":"Brunborg","given":"Gunnar","non-dropping-particle":"","parse-names":false,"suffix":""},{"dropping-particle":"","family":"Instanes","given":"Christine","non-dropping-particle":"","parse-names":false,"suffix":""}],"container-title":"Nanotoxicology","id":"ITEM-1","issue":"3","issued":{"date-parts":[["2016"]]},"page":"312-321","title":"Genotoxicity and gene expression modulation of silver and titanium dioxide nanoparticles in mice","type":"article-journal","volume":"10"},"uris":["http://www.mendeley.com/documents/?uuid=f045d174-60e2-3419-a1e2-4d236b5ce3d8"]}],"mendeley":{"formattedCitation":"(28)","plainTextFormattedCitation":"(28)","previouslyFormattedCitation":"(Nana. Asare et al. 2016)"},"properties":{"noteIndex":0},"schema":"https://github.com/citation-style-language/schema/raw/master/csl-citation.json"}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(28)</w:t>
            </w:r>
            <w:r w:rsidRPr="00912134">
              <w:rPr>
                <w:rFonts w:ascii="Calibri" w:eastAsia="Times New Roman" w:hAnsi="Calibri" w:cstheme="minorHAnsi"/>
                <w:color w:val="000000"/>
                <w:sz w:val="18"/>
                <w:szCs w:val="18"/>
                <w:lang w:eastAsia="fr-FR"/>
              </w:rPr>
              <w:fldChar w:fldCharType="end"/>
            </w:r>
          </w:p>
        </w:tc>
      </w:tr>
      <w:tr w:rsidR="00EB16FD" w:rsidRPr="00DC5D76" w14:paraId="7B614552" w14:textId="77777777" w:rsidTr="007F1961">
        <w:trPr>
          <w:trHeight w:val="195"/>
        </w:trPr>
        <w:tc>
          <w:tcPr>
            <w:tcW w:w="1408" w:type="dxa"/>
            <w:vMerge/>
            <w:tcBorders>
              <w:left w:val="single" w:sz="4" w:space="0" w:color="auto"/>
            </w:tcBorders>
            <w:shd w:val="clear" w:color="auto" w:fill="auto"/>
            <w:textDirection w:val="btLr"/>
            <w:vAlign w:val="center"/>
          </w:tcPr>
          <w:p w14:paraId="372E73D7" w14:textId="77777777" w:rsidR="00EB16FD" w:rsidRPr="00AF6261" w:rsidRDefault="00EB16FD" w:rsidP="00EB16FD">
            <w:pPr>
              <w:ind w:left="113" w:right="113"/>
              <w:jc w:val="center"/>
              <w:rPr>
                <w:rFonts w:ascii="Calibri" w:hAnsi="Calibri"/>
                <w:color w:val="000000"/>
                <w:sz w:val="18"/>
                <w:szCs w:val="18"/>
                <w:lang w:val="en-US"/>
              </w:rPr>
            </w:pPr>
          </w:p>
        </w:tc>
        <w:tc>
          <w:tcPr>
            <w:tcW w:w="1276" w:type="dxa"/>
            <w:vMerge/>
            <w:shd w:val="clear" w:color="auto" w:fill="auto"/>
            <w:textDirection w:val="btLr"/>
            <w:vAlign w:val="center"/>
          </w:tcPr>
          <w:p w14:paraId="0C1EE264" w14:textId="77777777" w:rsidR="00EB16FD" w:rsidRPr="00AF6261" w:rsidRDefault="00EB16FD" w:rsidP="00EB16FD">
            <w:pPr>
              <w:ind w:left="113" w:right="113"/>
              <w:jc w:val="center"/>
              <w:rPr>
                <w:rFonts w:ascii="Calibri" w:hAnsi="Calibri"/>
                <w:color w:val="000000"/>
                <w:sz w:val="18"/>
                <w:szCs w:val="18"/>
                <w:lang w:val="en-US"/>
              </w:rPr>
            </w:pPr>
          </w:p>
        </w:tc>
        <w:tc>
          <w:tcPr>
            <w:tcW w:w="1275" w:type="dxa"/>
            <w:vMerge/>
            <w:textDirection w:val="btLr"/>
            <w:vAlign w:val="center"/>
          </w:tcPr>
          <w:p w14:paraId="17DFBD4B" w14:textId="77777777" w:rsidR="00EB16FD" w:rsidRPr="00AF6261" w:rsidRDefault="00EB16FD" w:rsidP="00EB16FD">
            <w:pPr>
              <w:ind w:left="113" w:right="113"/>
              <w:jc w:val="center"/>
              <w:rPr>
                <w:rFonts w:ascii="Calibri" w:hAnsi="Calibri"/>
                <w:color w:val="000000"/>
                <w:sz w:val="18"/>
                <w:szCs w:val="18"/>
                <w:lang w:val="en-US"/>
              </w:rPr>
            </w:pPr>
          </w:p>
        </w:tc>
        <w:tc>
          <w:tcPr>
            <w:tcW w:w="1668" w:type="dxa"/>
            <w:vMerge w:val="restart"/>
            <w:tcBorders>
              <w:top w:val="single" w:sz="4" w:space="0" w:color="auto"/>
            </w:tcBorders>
            <w:shd w:val="clear" w:color="auto" w:fill="auto"/>
            <w:vAlign w:val="center"/>
          </w:tcPr>
          <w:p w14:paraId="7D6DAB1A"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DNA damage</w:t>
            </w:r>
          </w:p>
        </w:tc>
        <w:tc>
          <w:tcPr>
            <w:tcW w:w="1703" w:type="dxa"/>
            <w:tcBorders>
              <w:top w:val="single" w:sz="4" w:space="0" w:color="auto"/>
            </w:tcBorders>
            <w:shd w:val="clear" w:color="auto" w:fill="auto"/>
            <w:vAlign w:val="center"/>
          </w:tcPr>
          <w:p w14:paraId="734A01DF" w14:textId="2DE989A6"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Comet assay in testicular tissue</w:t>
            </w:r>
          </w:p>
        </w:tc>
        <w:tc>
          <w:tcPr>
            <w:tcW w:w="2010" w:type="dxa"/>
            <w:tcBorders>
              <w:top w:val="single" w:sz="4" w:space="0" w:color="auto"/>
            </w:tcBorders>
            <w:shd w:val="clear" w:color="auto" w:fill="auto"/>
            <w:vAlign w:val="center"/>
          </w:tcPr>
          <w:p w14:paraId="7936CAE9"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Increased DNA damage (on 7th day)</w:t>
            </w:r>
          </w:p>
        </w:tc>
        <w:tc>
          <w:tcPr>
            <w:tcW w:w="2273" w:type="dxa"/>
            <w:vMerge w:val="restart"/>
            <w:tcBorders>
              <w:top w:val="single" w:sz="4" w:space="0" w:color="auto"/>
            </w:tcBorders>
            <w:vAlign w:val="center"/>
          </w:tcPr>
          <w:p w14:paraId="46133312"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DNA damage (ID 1468)</w:t>
            </w:r>
          </w:p>
        </w:tc>
        <w:tc>
          <w:tcPr>
            <w:tcW w:w="2386" w:type="dxa"/>
            <w:vMerge w:val="restart"/>
            <w:tcBorders>
              <w:top w:val="single" w:sz="4" w:space="0" w:color="auto"/>
            </w:tcBorders>
            <w:shd w:val="clear" w:color="auto" w:fill="auto"/>
            <w:vAlign w:val="center"/>
          </w:tcPr>
          <w:p w14:paraId="699B1F11" w14:textId="77777777" w:rsidR="00EB16FD" w:rsidRPr="00AF6261" w:rsidRDefault="00EB16FD" w:rsidP="007F1961">
            <w:pPr>
              <w:jc w:val="center"/>
              <w:rPr>
                <w:rFonts w:ascii="Calibri" w:hAnsi="Calibri"/>
                <w:color w:val="000000"/>
                <w:sz w:val="18"/>
                <w:szCs w:val="18"/>
                <w:lang w:val="en-US"/>
              </w:rPr>
            </w:pPr>
          </w:p>
          <w:p w14:paraId="7F03ADBB"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Apoptosis (ID 1365)</w:t>
            </w:r>
          </w:p>
          <w:p w14:paraId="4B2CE7FA" w14:textId="77777777" w:rsidR="00EB16FD" w:rsidRPr="00AF6261" w:rsidRDefault="00EB16FD" w:rsidP="007F1961">
            <w:pPr>
              <w:jc w:val="center"/>
              <w:rPr>
                <w:rFonts w:ascii="Calibri" w:hAnsi="Calibri"/>
                <w:color w:val="000000"/>
                <w:sz w:val="18"/>
                <w:szCs w:val="18"/>
                <w:lang w:val="en-US"/>
              </w:rPr>
            </w:pPr>
          </w:p>
        </w:tc>
        <w:tc>
          <w:tcPr>
            <w:tcW w:w="851" w:type="dxa"/>
            <w:vMerge/>
            <w:tcBorders>
              <w:left w:val="nil"/>
              <w:right w:val="single" w:sz="4" w:space="0" w:color="auto"/>
            </w:tcBorders>
          </w:tcPr>
          <w:p w14:paraId="14CC4434"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06C8DDAE"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5DAD5119" w14:textId="77777777" w:rsidR="00EB16FD" w:rsidRPr="00AF6261" w:rsidRDefault="00EB16FD" w:rsidP="00EB16FD">
            <w:pPr>
              <w:ind w:left="113" w:right="113"/>
              <w:jc w:val="center"/>
              <w:rPr>
                <w:rFonts w:ascii="Calibri" w:hAnsi="Calibri"/>
                <w:color w:val="000000"/>
                <w:sz w:val="18"/>
                <w:szCs w:val="18"/>
                <w:lang w:val="en-US"/>
              </w:rPr>
            </w:pPr>
          </w:p>
        </w:tc>
        <w:tc>
          <w:tcPr>
            <w:tcW w:w="1276" w:type="dxa"/>
            <w:vMerge/>
            <w:tcBorders>
              <w:bottom w:val="single" w:sz="4" w:space="0" w:color="auto"/>
            </w:tcBorders>
            <w:shd w:val="clear" w:color="auto" w:fill="auto"/>
            <w:textDirection w:val="btLr"/>
            <w:vAlign w:val="center"/>
          </w:tcPr>
          <w:p w14:paraId="5D0D2517" w14:textId="77777777" w:rsidR="00EB16FD" w:rsidRPr="00AF6261" w:rsidRDefault="00EB16FD" w:rsidP="00EB16FD">
            <w:pPr>
              <w:ind w:left="113" w:right="113"/>
              <w:jc w:val="center"/>
              <w:rPr>
                <w:rFonts w:ascii="Calibri" w:hAnsi="Calibri"/>
                <w:color w:val="000000"/>
                <w:sz w:val="18"/>
                <w:szCs w:val="18"/>
                <w:lang w:val="en-US"/>
              </w:rPr>
            </w:pPr>
          </w:p>
        </w:tc>
        <w:tc>
          <w:tcPr>
            <w:tcW w:w="1275" w:type="dxa"/>
            <w:vMerge/>
            <w:tcBorders>
              <w:bottom w:val="single" w:sz="4" w:space="0" w:color="auto"/>
            </w:tcBorders>
            <w:textDirection w:val="btLr"/>
            <w:vAlign w:val="center"/>
          </w:tcPr>
          <w:p w14:paraId="5C54CA9B" w14:textId="77777777" w:rsidR="00EB16FD" w:rsidRPr="00AF6261" w:rsidRDefault="00EB16FD" w:rsidP="00EB16FD">
            <w:pPr>
              <w:ind w:left="113" w:right="113"/>
              <w:jc w:val="center"/>
              <w:rPr>
                <w:rFonts w:ascii="Calibri" w:hAnsi="Calibri"/>
                <w:sz w:val="18"/>
                <w:szCs w:val="18"/>
                <w:lang w:val="en-US"/>
              </w:rPr>
            </w:pPr>
          </w:p>
        </w:tc>
        <w:tc>
          <w:tcPr>
            <w:tcW w:w="1668" w:type="dxa"/>
            <w:vMerge/>
            <w:tcBorders>
              <w:bottom w:val="single" w:sz="4" w:space="0" w:color="auto"/>
            </w:tcBorders>
            <w:shd w:val="clear" w:color="auto" w:fill="auto"/>
            <w:vAlign w:val="center"/>
          </w:tcPr>
          <w:p w14:paraId="3BED81B0" w14:textId="77777777" w:rsidR="00EB16FD" w:rsidRPr="00AF6261" w:rsidRDefault="00EB16FD" w:rsidP="007F1961">
            <w:pPr>
              <w:jc w:val="center"/>
              <w:rPr>
                <w:rFonts w:ascii="Calibri" w:hAnsi="Calibri"/>
                <w:color w:val="000000"/>
                <w:sz w:val="18"/>
                <w:szCs w:val="18"/>
                <w:lang w:val="en-US"/>
              </w:rPr>
            </w:pPr>
          </w:p>
        </w:tc>
        <w:tc>
          <w:tcPr>
            <w:tcW w:w="1703" w:type="dxa"/>
            <w:tcBorders>
              <w:bottom w:val="single" w:sz="4" w:space="0" w:color="auto"/>
            </w:tcBorders>
            <w:shd w:val="clear" w:color="auto" w:fill="auto"/>
            <w:vAlign w:val="center"/>
          </w:tcPr>
          <w:p w14:paraId="21950D90"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21 gene expression in DNA damage response, DNA repair, antioxidant enzymes by qPCR</w:t>
            </w:r>
          </w:p>
        </w:tc>
        <w:tc>
          <w:tcPr>
            <w:tcW w:w="2010" w:type="dxa"/>
            <w:tcBorders>
              <w:bottom w:val="single" w:sz="4" w:space="0" w:color="auto"/>
            </w:tcBorders>
            <w:shd w:val="clear" w:color="auto" w:fill="auto"/>
            <w:vAlign w:val="center"/>
          </w:tcPr>
          <w:p w14:paraId="6E3611DF"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Up-regulation of genes in DNA damage response/repair pathway, in antioxidant response</w:t>
            </w:r>
          </w:p>
        </w:tc>
        <w:tc>
          <w:tcPr>
            <w:tcW w:w="2273" w:type="dxa"/>
            <w:vMerge/>
            <w:tcBorders>
              <w:bottom w:val="single" w:sz="4" w:space="0" w:color="auto"/>
            </w:tcBorders>
            <w:vAlign w:val="center"/>
          </w:tcPr>
          <w:p w14:paraId="2B587992" w14:textId="77777777" w:rsidR="00EB16FD" w:rsidRPr="00AF6261" w:rsidRDefault="00EB16FD" w:rsidP="007F1961">
            <w:pPr>
              <w:jc w:val="center"/>
              <w:rPr>
                <w:rFonts w:ascii="Calibri" w:hAnsi="Calibri"/>
                <w:color w:val="000000"/>
                <w:sz w:val="18"/>
                <w:szCs w:val="18"/>
                <w:lang w:val="en-US"/>
              </w:rPr>
            </w:pPr>
          </w:p>
        </w:tc>
        <w:tc>
          <w:tcPr>
            <w:tcW w:w="2386" w:type="dxa"/>
            <w:vMerge/>
            <w:tcBorders>
              <w:bottom w:val="single" w:sz="4" w:space="0" w:color="auto"/>
            </w:tcBorders>
            <w:shd w:val="clear" w:color="auto" w:fill="auto"/>
            <w:vAlign w:val="center"/>
          </w:tcPr>
          <w:p w14:paraId="7C3C9CB1" w14:textId="77777777" w:rsidR="00EB16FD" w:rsidRPr="00AF6261" w:rsidRDefault="00EB16FD" w:rsidP="007F1961">
            <w:pPr>
              <w:jc w:val="center"/>
              <w:rPr>
                <w:rFonts w:ascii="Calibri" w:hAnsi="Calibri"/>
                <w:color w:val="000000"/>
                <w:sz w:val="18"/>
                <w:szCs w:val="18"/>
                <w:lang w:val="en-US"/>
              </w:rPr>
            </w:pPr>
          </w:p>
        </w:tc>
        <w:tc>
          <w:tcPr>
            <w:tcW w:w="851" w:type="dxa"/>
            <w:vMerge/>
            <w:tcBorders>
              <w:left w:val="nil"/>
              <w:bottom w:val="single" w:sz="4" w:space="0" w:color="auto"/>
              <w:right w:val="single" w:sz="4" w:space="0" w:color="auto"/>
            </w:tcBorders>
          </w:tcPr>
          <w:p w14:paraId="3C543D85"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6836FA2A" w14:textId="77777777" w:rsidTr="007F1961">
        <w:trPr>
          <w:cantSplit/>
          <w:trHeight w:val="2851"/>
        </w:trPr>
        <w:tc>
          <w:tcPr>
            <w:tcW w:w="1408" w:type="dxa"/>
            <w:tcBorders>
              <w:top w:val="single" w:sz="4" w:space="0" w:color="auto"/>
              <w:left w:val="single" w:sz="4" w:space="0" w:color="auto"/>
            </w:tcBorders>
            <w:shd w:val="clear" w:color="auto" w:fill="auto"/>
            <w:textDirection w:val="btLr"/>
            <w:vAlign w:val="center"/>
          </w:tcPr>
          <w:p w14:paraId="62ECFED3" w14:textId="77777777" w:rsidR="00EB16FD" w:rsidRPr="00AF6261" w:rsidRDefault="00EB16FD" w:rsidP="00EB16FD">
            <w:pPr>
              <w:ind w:left="113" w:right="113"/>
              <w:jc w:val="center"/>
              <w:rPr>
                <w:rFonts w:ascii="Calibri" w:hAnsi="Calibri"/>
                <w:color w:val="000000"/>
                <w:sz w:val="18"/>
                <w:szCs w:val="20"/>
                <w:lang w:val="en-US"/>
              </w:rPr>
            </w:pPr>
            <w:r w:rsidRPr="00AF6261">
              <w:rPr>
                <w:rFonts w:ascii="Calibri" w:hAnsi="Calibri"/>
                <w:i/>
                <w:iCs/>
                <w:color w:val="000000"/>
                <w:sz w:val="18"/>
                <w:szCs w:val="20"/>
                <w:lang w:val="en-US"/>
              </w:rPr>
              <w:lastRenderedPageBreak/>
              <w:t>Sythesized method : from Bacillus funiculus</w:t>
            </w:r>
            <w:r w:rsidRPr="00AF6261">
              <w:rPr>
                <w:rFonts w:ascii="Calibri" w:hAnsi="Calibri"/>
                <w:color w:val="000000"/>
                <w:sz w:val="18"/>
                <w:szCs w:val="20"/>
                <w:lang w:val="en-US"/>
              </w:rPr>
              <w:t>, Size 15 nm, Shape:Spherical</w:t>
            </w:r>
          </w:p>
        </w:tc>
        <w:tc>
          <w:tcPr>
            <w:tcW w:w="1276" w:type="dxa"/>
            <w:tcBorders>
              <w:top w:val="single" w:sz="4" w:space="0" w:color="auto"/>
              <w:bottom w:val="single" w:sz="4" w:space="0" w:color="auto"/>
            </w:tcBorders>
            <w:shd w:val="clear" w:color="auto" w:fill="auto"/>
            <w:textDirection w:val="btLr"/>
            <w:vAlign w:val="center"/>
          </w:tcPr>
          <w:p w14:paraId="38F8E1B5" w14:textId="77777777" w:rsidR="00EB16FD" w:rsidRPr="00AF6261" w:rsidRDefault="00EB16FD" w:rsidP="00EB16FD">
            <w:pPr>
              <w:ind w:left="113" w:right="113"/>
              <w:jc w:val="center"/>
              <w:rPr>
                <w:rFonts w:ascii="Calibri" w:hAnsi="Calibri"/>
                <w:color w:val="000000"/>
                <w:sz w:val="18"/>
                <w:szCs w:val="20"/>
                <w:lang w:val="en-US"/>
              </w:rPr>
            </w:pPr>
            <w:r w:rsidRPr="00AF6261">
              <w:rPr>
                <w:rFonts w:ascii="Calibri" w:hAnsi="Calibri"/>
                <w:color w:val="000000"/>
                <w:sz w:val="18"/>
                <w:szCs w:val="20"/>
                <w:lang w:val="en-US"/>
              </w:rPr>
              <w:t xml:space="preserve">Eight-day-old </w:t>
            </w:r>
            <w:r w:rsidRPr="00AF6261">
              <w:rPr>
                <w:rFonts w:cs="Times New Roman PS"/>
                <w:color w:val="000000"/>
                <w:sz w:val="18"/>
                <w:szCs w:val="20"/>
                <w:lang w:val="en-US"/>
              </w:rPr>
              <w:t>(PND8) male mice abdominal sub</w:t>
            </w:r>
            <w:r w:rsidRPr="00AF6261">
              <w:rPr>
                <w:rFonts w:cs="Times New Roman PS"/>
                <w:color w:val="000000"/>
                <w:sz w:val="18"/>
                <w:szCs w:val="20"/>
                <w:lang w:val="en-US"/>
              </w:rPr>
              <w:softHyphen/>
              <w:t>cutaneous injection</w:t>
            </w:r>
          </w:p>
        </w:tc>
        <w:tc>
          <w:tcPr>
            <w:tcW w:w="1275" w:type="dxa"/>
            <w:tcBorders>
              <w:top w:val="single" w:sz="4" w:space="0" w:color="auto"/>
              <w:bottom w:val="single" w:sz="4" w:space="0" w:color="auto"/>
            </w:tcBorders>
            <w:shd w:val="clear" w:color="auto" w:fill="auto"/>
            <w:textDirection w:val="btLr"/>
            <w:vAlign w:val="center"/>
          </w:tcPr>
          <w:p w14:paraId="3EF7BCAA" w14:textId="77777777" w:rsidR="00EB16FD" w:rsidRPr="00AF6261" w:rsidRDefault="00EB16FD" w:rsidP="00EB16FD">
            <w:pPr>
              <w:ind w:left="113" w:right="113"/>
              <w:jc w:val="center"/>
              <w:rPr>
                <w:rFonts w:ascii="Calibri" w:hAnsi="Calibri"/>
                <w:sz w:val="18"/>
                <w:szCs w:val="20"/>
                <w:lang w:val="en-US"/>
              </w:rPr>
            </w:pPr>
            <w:r w:rsidRPr="00AF6261">
              <w:rPr>
                <w:rFonts w:ascii="Calibri" w:hAnsi="Calibri"/>
                <w:color w:val="000000"/>
                <w:sz w:val="18"/>
                <w:szCs w:val="20"/>
                <w:lang w:val="en-US"/>
              </w:rPr>
              <w:t>13 days (from PND8 to PND21) at 1 and 5 mg/kg per dose. Observation : PND28, PND42, PND63, and PND100</w:t>
            </w:r>
          </w:p>
        </w:tc>
        <w:tc>
          <w:tcPr>
            <w:tcW w:w="1668" w:type="dxa"/>
            <w:tcBorders>
              <w:top w:val="single" w:sz="4" w:space="0" w:color="auto"/>
            </w:tcBorders>
            <w:shd w:val="clear" w:color="auto" w:fill="auto"/>
            <w:vAlign w:val="center"/>
          </w:tcPr>
          <w:p w14:paraId="410D8C6A" w14:textId="77777777" w:rsidR="00EB16FD" w:rsidRPr="00AF6261" w:rsidRDefault="00EB16FD" w:rsidP="007F1961">
            <w:pPr>
              <w:jc w:val="center"/>
              <w:rPr>
                <w:rFonts w:ascii="Calibri" w:hAnsi="Calibri"/>
                <w:color w:val="000000"/>
                <w:sz w:val="18"/>
                <w:szCs w:val="20"/>
                <w:lang w:val="en-US"/>
              </w:rPr>
            </w:pPr>
            <w:r w:rsidRPr="00AF6261">
              <w:rPr>
                <w:rFonts w:ascii="Calibri" w:hAnsi="Calibri"/>
                <w:color w:val="000000"/>
                <w:sz w:val="18"/>
                <w:szCs w:val="20"/>
                <w:lang w:val="en-US"/>
              </w:rPr>
              <w:t>Sperm evaluation</w:t>
            </w:r>
          </w:p>
        </w:tc>
        <w:tc>
          <w:tcPr>
            <w:tcW w:w="1703" w:type="dxa"/>
            <w:tcBorders>
              <w:top w:val="single" w:sz="4" w:space="0" w:color="auto"/>
            </w:tcBorders>
            <w:shd w:val="clear" w:color="auto" w:fill="auto"/>
            <w:vAlign w:val="center"/>
          </w:tcPr>
          <w:p w14:paraId="3FD0A35D" w14:textId="77777777" w:rsidR="00EB16FD" w:rsidRPr="00AF6261" w:rsidRDefault="00EB16FD" w:rsidP="007F1961">
            <w:pPr>
              <w:jc w:val="center"/>
              <w:rPr>
                <w:rFonts w:ascii="Calibri" w:hAnsi="Calibri"/>
                <w:color w:val="000000"/>
                <w:sz w:val="18"/>
                <w:szCs w:val="20"/>
                <w:lang w:val="en-US"/>
              </w:rPr>
            </w:pPr>
            <w:r w:rsidRPr="00AF6261">
              <w:rPr>
                <w:rFonts w:ascii="Calibri" w:hAnsi="Calibri"/>
                <w:color w:val="000000"/>
                <w:sz w:val="18"/>
                <w:szCs w:val="20"/>
                <w:lang w:val="en-US"/>
              </w:rPr>
              <w:t>Morphology and concentration</w:t>
            </w:r>
          </w:p>
          <w:p w14:paraId="4217ECFE" w14:textId="77777777" w:rsidR="00EB16FD" w:rsidRPr="00AF6261" w:rsidRDefault="00EB16FD" w:rsidP="007F1961">
            <w:pPr>
              <w:jc w:val="center"/>
              <w:rPr>
                <w:rFonts w:ascii="Calibri" w:hAnsi="Calibri"/>
                <w:color w:val="000000"/>
                <w:sz w:val="18"/>
                <w:szCs w:val="20"/>
                <w:lang w:val="en-US"/>
              </w:rPr>
            </w:pPr>
            <w:r w:rsidRPr="00AF6261">
              <w:rPr>
                <w:rFonts w:ascii="Calibri" w:hAnsi="Calibri"/>
                <w:color w:val="000000"/>
                <w:sz w:val="18"/>
                <w:szCs w:val="20"/>
                <w:lang w:val="en-US"/>
              </w:rPr>
              <w:t xml:space="preserve">Sperm quality associated  </w:t>
            </w:r>
            <w:r w:rsidRPr="00AF6261">
              <w:rPr>
                <w:rFonts w:ascii="Calibri" w:hAnsi="Calibri"/>
                <w:i/>
                <w:iCs/>
                <w:color w:val="000000"/>
                <w:sz w:val="18"/>
                <w:szCs w:val="20"/>
                <w:lang w:val="en-US"/>
              </w:rPr>
              <w:t xml:space="preserve">DDx3Y </w:t>
            </w:r>
            <w:r w:rsidRPr="00AF6261">
              <w:rPr>
                <w:rFonts w:ascii="Calibri" w:hAnsi="Calibri"/>
                <w:color w:val="000000"/>
                <w:sz w:val="18"/>
                <w:szCs w:val="20"/>
                <w:lang w:val="en-US"/>
              </w:rPr>
              <w:t xml:space="preserve">and </w:t>
            </w:r>
            <w:r w:rsidRPr="00AF6261">
              <w:rPr>
                <w:rFonts w:ascii="Calibri" w:hAnsi="Calibri"/>
                <w:i/>
                <w:iCs/>
                <w:color w:val="000000"/>
                <w:sz w:val="18"/>
                <w:szCs w:val="20"/>
                <w:lang w:val="en-US"/>
              </w:rPr>
              <w:t xml:space="preserve">E1F1AY </w:t>
            </w:r>
            <w:r w:rsidRPr="00AF6261">
              <w:rPr>
                <w:rFonts w:ascii="Calibri" w:hAnsi="Calibri"/>
                <w:color w:val="000000"/>
                <w:sz w:val="18"/>
                <w:szCs w:val="20"/>
                <w:lang w:val="en-US"/>
              </w:rPr>
              <w:t>genes expressions by RT-PCR</w:t>
            </w:r>
          </w:p>
        </w:tc>
        <w:tc>
          <w:tcPr>
            <w:tcW w:w="2010" w:type="dxa"/>
            <w:tcBorders>
              <w:top w:val="single" w:sz="4" w:space="0" w:color="auto"/>
            </w:tcBorders>
            <w:shd w:val="clear" w:color="auto" w:fill="auto"/>
            <w:vAlign w:val="center"/>
          </w:tcPr>
          <w:p w14:paraId="2AEBADAF" w14:textId="77777777" w:rsidR="00EB16FD" w:rsidRPr="00AF6261" w:rsidRDefault="00EB16FD" w:rsidP="007F1961">
            <w:pPr>
              <w:jc w:val="center"/>
              <w:rPr>
                <w:rFonts w:cs="Times New Roman PS"/>
                <w:color w:val="000000"/>
                <w:sz w:val="18"/>
                <w:szCs w:val="20"/>
                <w:lang w:val="en-US"/>
              </w:rPr>
            </w:pPr>
            <w:r w:rsidRPr="00AF6261">
              <w:rPr>
                <w:rFonts w:cs="Times New Roman PS"/>
                <w:color w:val="000000"/>
                <w:sz w:val="18"/>
                <w:szCs w:val="20"/>
                <w:lang w:val="en-US"/>
              </w:rPr>
              <w:t>Abnormal sperm morphology at PND42, PND60, and PND100</w:t>
            </w:r>
          </w:p>
          <w:p w14:paraId="2E72CB25" w14:textId="77777777" w:rsidR="00EB16FD" w:rsidRPr="00AF6261" w:rsidRDefault="00EB16FD" w:rsidP="007F1961">
            <w:pPr>
              <w:jc w:val="center"/>
              <w:rPr>
                <w:rFonts w:cs="Times New Roman PS"/>
                <w:color w:val="000000"/>
                <w:sz w:val="18"/>
                <w:szCs w:val="20"/>
                <w:lang w:val="en-US"/>
              </w:rPr>
            </w:pPr>
            <w:r w:rsidRPr="00AF6261">
              <w:rPr>
                <w:rFonts w:cs="Times New Roman PS"/>
                <w:color w:val="000000"/>
                <w:sz w:val="18"/>
                <w:szCs w:val="20"/>
                <w:lang w:val="en-US"/>
              </w:rPr>
              <w:t>Reduced sperm concentration at 5 mg/kg at PND100</w:t>
            </w:r>
          </w:p>
          <w:p w14:paraId="04E8299B" w14:textId="77777777" w:rsidR="00EB16FD" w:rsidRPr="00AF6261" w:rsidRDefault="00EB16FD" w:rsidP="007F1961">
            <w:pPr>
              <w:jc w:val="center"/>
              <w:rPr>
                <w:rFonts w:ascii="Calibri" w:hAnsi="Calibri"/>
                <w:color w:val="000000"/>
                <w:sz w:val="18"/>
                <w:szCs w:val="20"/>
                <w:lang w:val="en-US"/>
              </w:rPr>
            </w:pPr>
            <w:r w:rsidRPr="00AF6261">
              <w:rPr>
                <w:rFonts w:ascii="Calibri" w:hAnsi="Calibri"/>
                <w:color w:val="000000"/>
                <w:sz w:val="18"/>
                <w:szCs w:val="20"/>
                <w:lang w:val="en-US"/>
              </w:rPr>
              <w:t xml:space="preserve">The </w:t>
            </w:r>
            <w:r w:rsidRPr="00AF6261">
              <w:rPr>
                <w:rFonts w:ascii="Calibri" w:hAnsi="Calibri"/>
                <w:i/>
                <w:iCs/>
                <w:color w:val="000000"/>
                <w:sz w:val="18"/>
                <w:szCs w:val="20"/>
                <w:lang w:val="en-US"/>
              </w:rPr>
              <w:t xml:space="preserve">DDx3Y </w:t>
            </w:r>
            <w:r w:rsidRPr="00AF6261">
              <w:rPr>
                <w:rFonts w:ascii="Calibri" w:hAnsi="Calibri"/>
                <w:color w:val="000000"/>
                <w:sz w:val="18"/>
                <w:szCs w:val="20"/>
                <w:lang w:val="en-US"/>
              </w:rPr>
              <w:t xml:space="preserve">and </w:t>
            </w:r>
            <w:r w:rsidRPr="00AF6261">
              <w:rPr>
                <w:rFonts w:ascii="Calibri" w:hAnsi="Calibri"/>
                <w:i/>
                <w:iCs/>
                <w:color w:val="000000"/>
                <w:sz w:val="18"/>
                <w:szCs w:val="20"/>
                <w:lang w:val="en-US"/>
              </w:rPr>
              <w:t xml:space="preserve">E1F1AY </w:t>
            </w:r>
            <w:r w:rsidRPr="00AF6261">
              <w:rPr>
                <w:rFonts w:ascii="Calibri" w:hAnsi="Calibri"/>
                <w:color w:val="000000"/>
                <w:sz w:val="18"/>
                <w:szCs w:val="20"/>
                <w:lang w:val="en-US"/>
              </w:rPr>
              <w:t>genes  were up-regulated at PND28 and PND42 but not at PND60</w:t>
            </w:r>
          </w:p>
        </w:tc>
        <w:tc>
          <w:tcPr>
            <w:tcW w:w="2273" w:type="dxa"/>
            <w:tcBorders>
              <w:top w:val="single" w:sz="4" w:space="0" w:color="auto"/>
            </w:tcBorders>
            <w:shd w:val="clear" w:color="auto" w:fill="auto"/>
            <w:vAlign w:val="center"/>
          </w:tcPr>
          <w:p w14:paraId="5990C6A5"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tcBorders>
            <w:shd w:val="clear" w:color="auto" w:fill="auto"/>
            <w:vAlign w:val="center"/>
          </w:tcPr>
          <w:p w14:paraId="22218FA5"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7C906F66"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tcBorders>
              <w:top w:val="single" w:sz="4" w:space="0" w:color="auto"/>
              <w:bottom w:val="single" w:sz="4" w:space="0" w:color="auto"/>
              <w:right w:val="single" w:sz="4" w:space="0" w:color="auto"/>
            </w:tcBorders>
            <w:shd w:val="clear" w:color="auto" w:fill="auto"/>
            <w:vAlign w:val="center"/>
          </w:tcPr>
          <w:p w14:paraId="4C0EA0AD" w14:textId="0B2F6FE9"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{"citationItems":[{"id":"ITEM-1","itemData":{"DOI":"10.2147/IJN.S90733","ISSN":"11782013","PMID":"26491295","abstract":"Background: Metal nanoparticles (MNPs) play an important role in consumer products. An increasing use of MNPs has raised concerns about potential risks for human health. Therefore, in vivo tests of MNPs are urgently required. Using mice as a model animal, the aim of the present study was designed to investigate the effect of biologically synthesized silver nanoparticles (AgNPs) on sper</w:instrText>
            </w:r>
            <w:r w:rsidR="007F3FC3">
              <w:rPr>
                <w:rFonts w:ascii="Calibri" w:eastAsia="Times New Roman" w:hAnsi="Calibri" w:cstheme="minorHAnsi"/>
                <w:color w:val="000000"/>
                <w:sz w:val="18"/>
                <w:szCs w:val="18"/>
                <w:lang w:eastAsia="fr-FR"/>
              </w:rPr>
              <w:instrText>matogenesis in neonatal mice. Methods: AgNPs were synthesized using Bacillus funiculus. The prepared nanoparticles were characterized using various analytical techniques such as UV-visible spectroscopy, X-ray diffraction, Fourier transform-infrared spectroscopy, and transmission electron microscopy. The prepared AgNPs were used to investigate testis development in neonatal mice. Institute of Cancer Research neonatal male mice were used in all experiments and were treated with different doses (0, 1, and 5 mg/kg) of AgNPs five times (interval of 3 days from postnatal day [PND] 8-21) by abdominal subcutaneous injection. Results: The results showed that the sperm abnormalities such as quality and quantity were significantly increased by the synthesized AgNPs. The diameter of the convoluted tubules shrank significantly in mice treated with AgNPs on PND28 and PND42. The results of reverse transcription-quantitative polymerase chain reaction indicated that the Elflay, Gsta4, and Fdxl genes were up-regulated, and the Amh, Cx43, and Claudin-11 genes we</w:instrText>
            </w:r>
            <w:r w:rsidR="007F3FC3" w:rsidRPr="00AF6261">
              <w:rPr>
                <w:rFonts w:ascii="Calibri" w:eastAsia="Times New Roman" w:hAnsi="Calibri" w:cstheme="minorHAnsi"/>
                <w:color w:val="000000"/>
                <w:sz w:val="18"/>
                <w:szCs w:val="18"/>
                <w:lang w:val="en-US" w:eastAsia="fr-FR"/>
              </w:rPr>
              <w:instrText>re down-regulated in response to AgNPs exposure on PND28; however, these genes recovered at PND60. AgNPs had no effect on the recombination levels of chromosomes in germ cells. Conclusion: These results demonstrated the adverse effects of AgNPs on the male reproductive tract, particularly spermatogenesis and the quality of sperm. This study suggests that the development of nanomaterials should be safer and non-toxic to the living organisms and the potential reprotoxicity of AgNPs should be investigated more carefully.","author":[{"dropping-particle":"","family":"Zhang","given":"Xi-Feng","non-dropping-particle":"","parse-names":false,"suffix":""},{"dropping-particle":"","family":"Gurunathan","given":"Sangiliyandi","non-dropping-particle":"","parse-names":false,"suffix":""},{"dropping-particle":"","family":"Kim","given":"Jin Hoi","non-dropping-particle":"","parse-names":false,"suffix":""}],"container-title":"International Journal of Nanomedicine","id":"ITEM-1","issued":{"date-parts":[["2015"]]},"page":"6243-6256","title":"Effects of silver nanoparticles on neonatal testis development in mice","type":"article-journal","volume":"10"},"uris":["http://www.mendeley.com/documents/?uuid=a3567cde-a497-4389-9237-0de3890c2c69"]}],"mendeley":{"formattedCitation":"(29)","plainTextFormattedCitation":"(29)","previouslyFormattedCitation":"(Zhang, Gurunathan, and Kim 2015)"},"properties":{"noteIndex":0},"schema":"https://github.com/citation-style-language/schema/raw/master/csl-citation.json"}</w:instrText>
            </w:r>
            <w:r>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(29)</w:t>
            </w:r>
            <w:r>
              <w:rPr>
                <w:rFonts w:ascii="Calibri" w:eastAsia="Times New Roman" w:hAnsi="Calibri" w:cstheme="minorHAnsi"/>
                <w:color w:val="000000"/>
                <w:sz w:val="18"/>
                <w:szCs w:val="18"/>
                <w:lang w:eastAsia="fr-FR"/>
              </w:rPr>
              <w:fldChar w:fldCharType="end"/>
            </w:r>
          </w:p>
        </w:tc>
      </w:tr>
      <w:tr w:rsidR="00EB16FD" w:rsidRPr="00912134" w14:paraId="07207BC8" w14:textId="77777777" w:rsidTr="007F1961">
        <w:trPr>
          <w:trHeight w:val="195"/>
        </w:trPr>
        <w:tc>
          <w:tcPr>
            <w:tcW w:w="1408" w:type="dxa"/>
            <w:vMerge w:val="restart"/>
            <w:tcBorders>
              <w:top w:val="single" w:sz="4" w:space="0" w:color="auto"/>
              <w:left w:val="single" w:sz="4" w:space="0" w:color="auto"/>
            </w:tcBorders>
            <w:shd w:val="clear" w:color="auto" w:fill="auto"/>
            <w:textDirection w:val="btLr"/>
            <w:vAlign w:val="center"/>
          </w:tcPr>
          <w:p w14:paraId="20281DFD"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sz w:val="18"/>
                <w:szCs w:val="18"/>
                <w:lang w:val="en-US"/>
              </w:rPr>
              <w:t xml:space="preserve">Citrate-coated AgNPs, </w:t>
            </w:r>
            <w:r w:rsidRPr="00AF6261">
              <w:rPr>
                <w:rFonts w:ascii="Calibri" w:hAnsi="Calibri"/>
                <w:color w:val="000000"/>
                <w:sz w:val="18"/>
                <w:szCs w:val="18"/>
                <w:lang w:val="en-US"/>
              </w:rPr>
              <w:t xml:space="preserve">Size: </w:t>
            </w:r>
            <w:r w:rsidRPr="00AF6261">
              <w:rPr>
                <w:rFonts w:ascii="Calibri" w:hAnsi="Calibri"/>
                <w:sz w:val="18"/>
                <w:szCs w:val="18"/>
                <w:lang w:val="en-US"/>
              </w:rPr>
              <w:t xml:space="preserve">10.4 </w:t>
            </w:r>
            <w:r w:rsidRPr="00AF6261">
              <w:rPr>
                <w:rFonts w:ascii="Calibri" w:hAnsi="Calibri" w:cs="ENJDG L+ MTSY"/>
                <w:sz w:val="18"/>
                <w:szCs w:val="18"/>
                <w:lang w:val="en-US"/>
              </w:rPr>
              <w:t xml:space="preserve">± </w:t>
            </w:r>
            <w:r w:rsidRPr="00AF6261">
              <w:rPr>
                <w:rFonts w:ascii="Calibri" w:hAnsi="Calibri"/>
                <w:sz w:val="18"/>
                <w:szCs w:val="18"/>
                <w:lang w:val="en-US"/>
              </w:rPr>
              <w:t>1.9 nm</w:t>
            </w:r>
          </w:p>
        </w:tc>
        <w:tc>
          <w:tcPr>
            <w:tcW w:w="1276" w:type="dxa"/>
            <w:vMerge w:val="restart"/>
            <w:tcBorders>
              <w:top w:val="single" w:sz="4" w:space="0" w:color="auto"/>
            </w:tcBorders>
            <w:shd w:val="clear" w:color="auto" w:fill="auto"/>
            <w:textDirection w:val="btLr"/>
            <w:vAlign w:val="center"/>
          </w:tcPr>
          <w:p w14:paraId="3E1328A2"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CD1 mice, intravenous</w:t>
            </w:r>
          </w:p>
        </w:tc>
        <w:tc>
          <w:tcPr>
            <w:tcW w:w="1275" w:type="dxa"/>
            <w:vMerge w:val="restart"/>
            <w:tcBorders>
              <w:top w:val="single" w:sz="4" w:space="0" w:color="auto"/>
            </w:tcBorders>
            <w:textDirection w:val="btLr"/>
            <w:vAlign w:val="center"/>
          </w:tcPr>
          <w:p w14:paraId="000AB1C3"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1 mg/kg bw over 12 days</w:t>
            </w:r>
          </w:p>
        </w:tc>
        <w:tc>
          <w:tcPr>
            <w:tcW w:w="1668" w:type="dxa"/>
            <w:tcBorders>
              <w:top w:val="single" w:sz="4" w:space="0" w:color="auto"/>
              <w:bottom w:val="single" w:sz="4" w:space="0" w:color="auto"/>
            </w:tcBorders>
            <w:shd w:val="clear" w:color="auto" w:fill="auto"/>
            <w:vAlign w:val="center"/>
          </w:tcPr>
          <w:p w14:paraId="35523053"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2D14B99F"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Motility, and Concentration</w:t>
            </w:r>
          </w:p>
        </w:tc>
        <w:tc>
          <w:tcPr>
            <w:tcW w:w="2010" w:type="dxa"/>
            <w:tcBorders>
              <w:top w:val="single" w:sz="4" w:space="0" w:color="auto"/>
              <w:bottom w:val="single" w:sz="4" w:space="0" w:color="auto"/>
            </w:tcBorders>
            <w:shd w:val="clear" w:color="auto" w:fill="auto"/>
            <w:vAlign w:val="center"/>
          </w:tcPr>
          <w:p w14:paraId="0F21C53B"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No change in motility and concentration</w:t>
            </w:r>
          </w:p>
        </w:tc>
        <w:tc>
          <w:tcPr>
            <w:tcW w:w="2273" w:type="dxa"/>
            <w:tcBorders>
              <w:top w:val="single" w:sz="4" w:space="0" w:color="auto"/>
              <w:bottom w:val="single" w:sz="4" w:space="0" w:color="auto"/>
            </w:tcBorders>
            <w:vAlign w:val="center"/>
          </w:tcPr>
          <w:p w14:paraId="1D983251"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w:t>
            </w:r>
          </w:p>
        </w:tc>
        <w:tc>
          <w:tcPr>
            <w:tcW w:w="2386" w:type="dxa"/>
            <w:tcBorders>
              <w:top w:val="single" w:sz="4" w:space="0" w:color="auto"/>
              <w:bottom w:val="single" w:sz="4" w:space="0" w:color="auto"/>
            </w:tcBorders>
            <w:shd w:val="clear" w:color="auto" w:fill="auto"/>
            <w:vAlign w:val="center"/>
          </w:tcPr>
          <w:p w14:paraId="72CF04A5"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w:t>
            </w:r>
          </w:p>
        </w:tc>
        <w:tc>
          <w:tcPr>
            <w:tcW w:w="851" w:type="dxa"/>
            <w:vMerge w:val="restart"/>
            <w:tcBorders>
              <w:top w:val="single" w:sz="4" w:space="0" w:color="auto"/>
              <w:left w:val="nil"/>
              <w:right w:val="single" w:sz="4" w:space="0" w:color="auto"/>
            </w:tcBorders>
            <w:vAlign w:val="center"/>
          </w:tcPr>
          <w:p w14:paraId="0AF22921" w14:textId="0471BA1A"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{"citationItems":[{"id":"ITEM-1","itemData":{"DOI":"10.1016/j.reprotox.2014.01.006","ISSN":"08906238","PMID":"24447867","abstract":"The aim of this study was to determine whether short-term, in vivo exposure to silver nanoparticles (AgNPs) could be toxic to male reproduction. Low dose (1. mg/kg/dose) AgNPs were intravenously injected into male CD1 mice over 12 days. Treatment resulted in no changes in body and testis weights, sperm concentration and motility, fertility indices, or follicle-stimulating hormone and luteinizing hormone serum concentrations; however, serum and intratesticular testosterone concentrations were significantly increased 15 days after initial treatment. Histologic evaluation revealed significant changes in epithelium morphology, germ cell apoptosis, and Leydig cell size. Additionally, gene expression analysis revealed Cyp11a1 and Hsd3b1 mRNA significantly upregulated in treated animals. These data suggest that AgNPs do not impair spermatogonial stem cells in vivo since treatment did not result in significant decreases in testis weight and sperm concentrations. However, AgNPs appear to affect Leydig cell function, yielding increasing testicular and serum testosterone levels. © 2014 Elsevier Inc.","author":[{"dropping-particle":"","family":"Garcia"</w:instrText>
            </w:r>
            <w:r w:rsidR="007F3FC3">
              <w:rPr>
                <w:rFonts w:ascii="Calibri" w:eastAsia="Times New Roman" w:hAnsi="Calibri" w:cstheme="minorHAnsi"/>
                <w:color w:val="000000"/>
                <w:sz w:val="18"/>
                <w:szCs w:val="18"/>
                <w:lang w:eastAsia="fr-FR"/>
              </w:rPr>
              <w:instrText>,"given":"Thomas X.","non-dropping-particle":"","parse-names":false,"suffix":""},{"dropping-particle":"","family":"Costa","given":"Guilherme M.J.","non-dropping-particle":"","parse-names":false,"suffix":""},{"dropping-particle":"","family":"França","given":"Luiz R.","non-dropping-particle":"","parse-names":false,"suffix":""},{"dropping-particle":"","family":"Hofmann","given":"Marie Claude","non-dropping-particle":"","parse-names":false,"suffix":""}],"container-title":"Reproductive Toxicology","id":"ITEM-1","issued":{"date-parts":[["2014"]]},"page":"59-70","title":"Sub-acute intravenous administration of silver nanoparticles in male mice alters Leydig cell function and testosterone levels","type":"article-journal","volume":"45"},"uris":["http://www.mendeley.com/documents/?uuid=bf335fe0-ff31-4b0e-861d-1da0616f0471"]}],"mendeley":{"formattedCitation":"(30)","plainTextFormattedCitation":"(30)","previouslyFormattedCitation":"(Garcia et al. 2014)"},"properties":{"noteIndex":0},"schema":"https://github.com/citation-style-language/schema/raw/master/csl-citation.json"}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(30)</w:t>
            </w:r>
            <w:r w:rsidRPr="00912134">
              <w:rPr>
                <w:rFonts w:ascii="Calibri" w:eastAsia="Times New Roman" w:hAnsi="Calibri" w:cstheme="minorHAnsi"/>
                <w:color w:val="000000"/>
                <w:sz w:val="18"/>
                <w:szCs w:val="18"/>
                <w:lang w:eastAsia="fr-FR"/>
              </w:rPr>
              <w:fldChar w:fldCharType="end"/>
            </w:r>
          </w:p>
        </w:tc>
      </w:tr>
      <w:tr w:rsidR="00EB16FD" w:rsidRPr="00912134" w14:paraId="70C2E570" w14:textId="77777777" w:rsidTr="007F1961">
        <w:trPr>
          <w:trHeight w:val="195"/>
        </w:trPr>
        <w:tc>
          <w:tcPr>
            <w:tcW w:w="1408" w:type="dxa"/>
            <w:vMerge/>
            <w:tcBorders>
              <w:left w:val="single" w:sz="4" w:space="0" w:color="auto"/>
            </w:tcBorders>
            <w:shd w:val="clear" w:color="auto" w:fill="auto"/>
            <w:textDirection w:val="btLr"/>
            <w:vAlign w:val="center"/>
          </w:tcPr>
          <w:p w14:paraId="04396241" w14:textId="77777777" w:rsidR="00EB16FD" w:rsidRPr="00912134" w:rsidRDefault="00EB16FD" w:rsidP="00EB16FD">
            <w:pPr>
              <w:ind w:left="113" w:right="113"/>
              <w:jc w:val="center"/>
              <w:rPr>
                <w:rFonts w:ascii="Calibri" w:hAnsi="Calibri"/>
                <w:color w:val="000000"/>
                <w:sz w:val="18"/>
                <w:szCs w:val="18"/>
              </w:rPr>
            </w:pPr>
          </w:p>
        </w:tc>
        <w:tc>
          <w:tcPr>
            <w:tcW w:w="1276" w:type="dxa"/>
            <w:vMerge/>
            <w:shd w:val="clear" w:color="auto" w:fill="auto"/>
            <w:textDirection w:val="btLr"/>
            <w:vAlign w:val="center"/>
          </w:tcPr>
          <w:p w14:paraId="287B0CBD" w14:textId="77777777" w:rsidR="00EB16FD" w:rsidRPr="00912134" w:rsidRDefault="00EB16FD" w:rsidP="00EB16FD">
            <w:pPr>
              <w:ind w:left="113" w:right="113"/>
              <w:jc w:val="center"/>
              <w:rPr>
                <w:rFonts w:ascii="Calibri" w:hAnsi="Calibri"/>
                <w:color w:val="000000"/>
                <w:sz w:val="18"/>
                <w:szCs w:val="18"/>
              </w:rPr>
            </w:pPr>
          </w:p>
        </w:tc>
        <w:tc>
          <w:tcPr>
            <w:tcW w:w="1275" w:type="dxa"/>
            <w:vMerge/>
            <w:textDirection w:val="btLr"/>
            <w:vAlign w:val="center"/>
          </w:tcPr>
          <w:p w14:paraId="13A4802F" w14:textId="77777777" w:rsidR="00EB16FD" w:rsidRPr="00912134" w:rsidRDefault="00EB16FD" w:rsidP="00EB16FD">
            <w:pPr>
              <w:ind w:left="113" w:right="113"/>
              <w:jc w:val="center"/>
              <w:rPr>
                <w:rFonts w:ascii="Calibri" w:hAnsi="Calibri"/>
                <w:color w:val="000000"/>
                <w:sz w:val="18"/>
                <w:szCs w:val="18"/>
              </w:rPr>
            </w:pPr>
          </w:p>
        </w:tc>
        <w:tc>
          <w:tcPr>
            <w:tcW w:w="1668" w:type="dxa"/>
            <w:tcBorders>
              <w:top w:val="single" w:sz="4" w:space="0" w:color="auto"/>
              <w:bottom w:val="single" w:sz="4" w:space="0" w:color="auto"/>
            </w:tcBorders>
            <w:shd w:val="clear" w:color="auto" w:fill="auto"/>
            <w:vAlign w:val="center"/>
          </w:tcPr>
          <w:p w14:paraId="28D65687" w14:textId="77777777"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Hormonal Assessment</w:t>
            </w:r>
          </w:p>
        </w:tc>
        <w:tc>
          <w:tcPr>
            <w:tcW w:w="1703" w:type="dxa"/>
            <w:tcBorders>
              <w:top w:val="single" w:sz="4" w:space="0" w:color="auto"/>
              <w:bottom w:val="single" w:sz="4" w:space="0" w:color="auto"/>
            </w:tcBorders>
            <w:shd w:val="clear" w:color="auto" w:fill="auto"/>
            <w:vAlign w:val="center"/>
          </w:tcPr>
          <w:p w14:paraId="41C24F83"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Serum testosterone, LH and FSH</w:t>
            </w:r>
          </w:p>
        </w:tc>
        <w:tc>
          <w:tcPr>
            <w:tcW w:w="2010" w:type="dxa"/>
            <w:tcBorders>
              <w:top w:val="single" w:sz="4" w:space="0" w:color="auto"/>
              <w:bottom w:val="single" w:sz="4" w:space="0" w:color="auto"/>
            </w:tcBorders>
            <w:shd w:val="clear" w:color="auto" w:fill="auto"/>
            <w:vAlign w:val="center"/>
          </w:tcPr>
          <w:p w14:paraId="56711F98"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No change in LH and FSH, Increased, testosterone level (only 15th day)</w:t>
            </w:r>
          </w:p>
        </w:tc>
        <w:tc>
          <w:tcPr>
            <w:tcW w:w="2273" w:type="dxa"/>
            <w:tcBorders>
              <w:top w:val="single" w:sz="4" w:space="0" w:color="auto"/>
              <w:bottom w:val="single" w:sz="4" w:space="0" w:color="auto"/>
            </w:tcBorders>
            <w:vAlign w:val="center"/>
          </w:tcPr>
          <w:p w14:paraId="4CD5DD3D" w14:textId="77777777" w:rsidR="00EB16FD" w:rsidRPr="00912134" w:rsidRDefault="00EB16FD" w:rsidP="007F1961">
            <w:pPr>
              <w:jc w:val="center"/>
              <w:rPr>
                <w:rFonts w:ascii="Calibri" w:hAnsi="Calibri"/>
                <w:color w:val="000000"/>
                <w:sz w:val="18"/>
                <w:szCs w:val="18"/>
              </w:rPr>
            </w:pPr>
            <w:r>
              <w:rPr>
                <w:rFonts w:ascii="Calibri" w:hAnsi="Calibri"/>
                <w:color w:val="000000"/>
                <w:sz w:val="18"/>
                <w:szCs w:val="18"/>
              </w:rPr>
              <w:t>-</w:t>
            </w:r>
          </w:p>
        </w:tc>
        <w:tc>
          <w:tcPr>
            <w:tcW w:w="2386" w:type="dxa"/>
            <w:tcBorders>
              <w:top w:val="single" w:sz="4" w:space="0" w:color="auto"/>
              <w:bottom w:val="single" w:sz="4" w:space="0" w:color="auto"/>
            </w:tcBorders>
            <w:shd w:val="clear" w:color="auto" w:fill="auto"/>
            <w:vAlign w:val="center"/>
          </w:tcPr>
          <w:p w14:paraId="439550E4" w14:textId="77777777" w:rsidR="00EB16FD" w:rsidRPr="00912134" w:rsidRDefault="00EB16FD" w:rsidP="007F1961">
            <w:pPr>
              <w:jc w:val="center"/>
              <w:rPr>
                <w:rFonts w:ascii="Calibri" w:hAnsi="Calibri"/>
                <w:color w:val="000000"/>
                <w:sz w:val="18"/>
                <w:szCs w:val="18"/>
              </w:rPr>
            </w:pPr>
            <w:r>
              <w:rPr>
                <w:rFonts w:ascii="Calibri" w:hAnsi="Calibri"/>
                <w:color w:val="000000"/>
                <w:sz w:val="18"/>
                <w:szCs w:val="18"/>
              </w:rPr>
              <w:t>-</w:t>
            </w:r>
          </w:p>
        </w:tc>
        <w:tc>
          <w:tcPr>
            <w:tcW w:w="851" w:type="dxa"/>
            <w:vMerge/>
            <w:tcBorders>
              <w:left w:val="nil"/>
              <w:right w:val="single" w:sz="4" w:space="0" w:color="auto"/>
            </w:tcBorders>
          </w:tcPr>
          <w:p w14:paraId="524D0B9A"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912134" w14:paraId="59BD8BFA" w14:textId="77777777" w:rsidTr="007F1961">
        <w:trPr>
          <w:trHeight w:val="2797"/>
        </w:trPr>
        <w:tc>
          <w:tcPr>
            <w:tcW w:w="1408" w:type="dxa"/>
            <w:vMerge/>
            <w:tcBorders>
              <w:left w:val="single" w:sz="4" w:space="0" w:color="auto"/>
            </w:tcBorders>
            <w:shd w:val="clear" w:color="auto" w:fill="auto"/>
            <w:textDirection w:val="btLr"/>
            <w:vAlign w:val="center"/>
          </w:tcPr>
          <w:p w14:paraId="7FE8F95D" w14:textId="77777777" w:rsidR="00EB16FD" w:rsidRPr="00912134" w:rsidRDefault="00EB16FD" w:rsidP="00EB16FD">
            <w:pPr>
              <w:ind w:left="113" w:right="113"/>
              <w:jc w:val="center"/>
              <w:rPr>
                <w:rFonts w:ascii="Calibri" w:hAnsi="Calibri"/>
                <w:color w:val="000000"/>
                <w:sz w:val="18"/>
                <w:szCs w:val="18"/>
              </w:rPr>
            </w:pPr>
          </w:p>
        </w:tc>
        <w:tc>
          <w:tcPr>
            <w:tcW w:w="1276" w:type="dxa"/>
            <w:vMerge/>
            <w:shd w:val="clear" w:color="auto" w:fill="auto"/>
            <w:textDirection w:val="btLr"/>
            <w:vAlign w:val="center"/>
          </w:tcPr>
          <w:p w14:paraId="27B35268" w14:textId="77777777" w:rsidR="00EB16FD" w:rsidRPr="00912134" w:rsidRDefault="00EB16FD" w:rsidP="00EB16FD">
            <w:pPr>
              <w:ind w:left="113" w:right="113"/>
              <w:jc w:val="center"/>
              <w:rPr>
                <w:rFonts w:ascii="Calibri" w:hAnsi="Calibri"/>
                <w:color w:val="000000"/>
                <w:sz w:val="18"/>
                <w:szCs w:val="18"/>
              </w:rPr>
            </w:pPr>
          </w:p>
        </w:tc>
        <w:tc>
          <w:tcPr>
            <w:tcW w:w="1275" w:type="dxa"/>
            <w:vMerge/>
            <w:textDirection w:val="btLr"/>
            <w:vAlign w:val="center"/>
          </w:tcPr>
          <w:p w14:paraId="256D2FBB" w14:textId="77777777" w:rsidR="00EB16FD" w:rsidRPr="00912134" w:rsidRDefault="00EB16FD" w:rsidP="00EB16FD">
            <w:pPr>
              <w:ind w:left="113" w:right="113"/>
              <w:jc w:val="center"/>
              <w:rPr>
                <w:rFonts w:ascii="Calibri" w:hAnsi="Calibri"/>
                <w:color w:val="000000"/>
                <w:sz w:val="18"/>
                <w:szCs w:val="18"/>
              </w:rPr>
            </w:pPr>
          </w:p>
        </w:tc>
        <w:tc>
          <w:tcPr>
            <w:tcW w:w="1668" w:type="dxa"/>
            <w:tcBorders>
              <w:top w:val="single" w:sz="4" w:space="0" w:color="auto"/>
              <w:bottom w:val="single" w:sz="4" w:space="0" w:color="auto"/>
            </w:tcBorders>
            <w:shd w:val="clear" w:color="auto" w:fill="auto"/>
            <w:vAlign w:val="center"/>
          </w:tcPr>
          <w:p w14:paraId="68CCEB81"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Steroidogenesis and steroid metabolism gene expression</w:t>
            </w:r>
          </w:p>
        </w:tc>
        <w:tc>
          <w:tcPr>
            <w:tcW w:w="1703" w:type="dxa"/>
            <w:tcBorders>
              <w:top w:val="single" w:sz="4" w:space="0" w:color="auto"/>
            </w:tcBorders>
            <w:shd w:val="clear" w:color="auto" w:fill="auto"/>
            <w:vAlign w:val="center"/>
          </w:tcPr>
          <w:p w14:paraId="18739426" w14:textId="77777777" w:rsidR="00EB16FD" w:rsidRPr="00AF6261" w:rsidRDefault="00EB16FD" w:rsidP="007F1961">
            <w:pPr>
              <w:spacing w:line="240" w:lineRule="auto"/>
              <w:jc w:val="center"/>
              <w:rPr>
                <w:rFonts w:ascii="Calibri" w:hAnsi="Calibri"/>
                <w:color w:val="000000"/>
                <w:sz w:val="18"/>
                <w:szCs w:val="18"/>
                <w:lang w:val="en-US"/>
              </w:rPr>
            </w:pPr>
            <w:r w:rsidRPr="00AF6261">
              <w:rPr>
                <w:rFonts w:ascii="Calibri" w:hAnsi="Calibri"/>
                <w:color w:val="000000"/>
                <w:sz w:val="18"/>
                <w:szCs w:val="18"/>
                <w:lang w:val="en-US"/>
              </w:rPr>
              <w:t>Steroidogenic acute regulatory protein (StAR), Translocator protein (TSPO), Cyp11a1 , Cyp17a1, Hsd17b3,and Cyp19a1, Growth hormone and insulin-like growth factor 1 (IGF1) expression by RT-PCR</w:t>
            </w:r>
          </w:p>
        </w:tc>
        <w:tc>
          <w:tcPr>
            <w:tcW w:w="2010" w:type="dxa"/>
            <w:tcBorders>
              <w:top w:val="single" w:sz="4" w:space="0" w:color="auto"/>
            </w:tcBorders>
            <w:shd w:val="clear" w:color="auto" w:fill="auto"/>
            <w:vAlign w:val="center"/>
          </w:tcPr>
          <w:p w14:paraId="250738F1"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 xml:space="preserve">No change in </w:t>
            </w:r>
            <w:r w:rsidRPr="00AF6261">
              <w:rPr>
                <w:rFonts w:ascii="Calibri" w:hAnsi="Calibri" w:cs="Arial"/>
                <w:bCs/>
                <w:color w:val="202124"/>
                <w:sz w:val="18"/>
                <w:szCs w:val="18"/>
                <w:shd w:val="clear" w:color="auto" w:fill="FFFFFF"/>
                <w:lang w:val="en-US"/>
              </w:rPr>
              <w:t>steroid</w:t>
            </w:r>
            <w:r w:rsidRPr="00AF6261">
              <w:rPr>
                <w:rFonts w:ascii="Calibri" w:hAnsi="Calibri" w:cs="Arial"/>
                <w:color w:val="202124"/>
                <w:sz w:val="18"/>
                <w:szCs w:val="18"/>
                <w:shd w:val="clear" w:color="auto" w:fill="FFFFFF"/>
                <w:lang w:val="en-US"/>
              </w:rPr>
              <w:t> biosynthesis</w:t>
            </w:r>
            <w:r w:rsidRPr="00AF6261">
              <w:rPr>
                <w:rFonts w:ascii="Calibri" w:hAnsi="Calibri"/>
                <w:color w:val="000000"/>
                <w:sz w:val="18"/>
                <w:szCs w:val="18"/>
                <w:lang w:val="en-US"/>
              </w:rPr>
              <w:t xml:space="preserve"> increase in Cyp11a1 levels and  transcripts for Hsd3b1  in the testes, No significant change in IGF1</w:t>
            </w:r>
          </w:p>
        </w:tc>
        <w:tc>
          <w:tcPr>
            <w:tcW w:w="2273" w:type="dxa"/>
            <w:tcBorders>
              <w:top w:val="single" w:sz="4" w:space="0" w:color="auto"/>
            </w:tcBorders>
            <w:vAlign w:val="center"/>
          </w:tcPr>
          <w:p w14:paraId="212045CD" w14:textId="77777777" w:rsidR="00EB16FD" w:rsidRPr="00912134" w:rsidRDefault="00EB16FD" w:rsidP="007F1961">
            <w:pPr>
              <w:jc w:val="center"/>
              <w:rPr>
                <w:rFonts w:ascii="Calibri" w:hAnsi="Calibri"/>
                <w:color w:val="00B050"/>
                <w:sz w:val="18"/>
                <w:szCs w:val="18"/>
              </w:rPr>
            </w:pPr>
            <w:r>
              <w:rPr>
                <w:rFonts w:ascii="Calibri" w:hAnsi="Calibri"/>
                <w:color w:val="00B050"/>
                <w:sz w:val="18"/>
                <w:szCs w:val="18"/>
              </w:rPr>
              <w:t>-</w:t>
            </w:r>
          </w:p>
        </w:tc>
        <w:tc>
          <w:tcPr>
            <w:tcW w:w="2386" w:type="dxa"/>
            <w:tcBorders>
              <w:top w:val="single" w:sz="4" w:space="0" w:color="auto"/>
            </w:tcBorders>
            <w:shd w:val="clear" w:color="auto" w:fill="auto"/>
            <w:vAlign w:val="center"/>
          </w:tcPr>
          <w:p w14:paraId="6E22918D" w14:textId="77777777" w:rsidR="00EB16FD" w:rsidRPr="00912134" w:rsidRDefault="00EB16FD" w:rsidP="007F1961">
            <w:pPr>
              <w:jc w:val="center"/>
              <w:rPr>
                <w:rFonts w:ascii="Calibri" w:hAnsi="Calibri"/>
                <w:color w:val="000000"/>
                <w:sz w:val="18"/>
                <w:szCs w:val="18"/>
              </w:rPr>
            </w:pPr>
            <w:r>
              <w:rPr>
                <w:rFonts w:ascii="Calibri" w:hAnsi="Calibri"/>
                <w:color w:val="00B050"/>
                <w:sz w:val="18"/>
                <w:szCs w:val="18"/>
              </w:rPr>
              <w:t>-</w:t>
            </w:r>
          </w:p>
          <w:p w14:paraId="3F36C463" w14:textId="735272DA" w:rsidR="00EB16FD" w:rsidRPr="00912134" w:rsidRDefault="00EB16FD" w:rsidP="007F1961">
            <w:pPr>
              <w:jc w:val="center"/>
              <w:rPr>
                <w:rFonts w:ascii="Calibri" w:hAnsi="Calibri"/>
                <w:color w:val="000000"/>
                <w:sz w:val="18"/>
                <w:szCs w:val="18"/>
              </w:rPr>
            </w:pPr>
          </w:p>
        </w:tc>
        <w:tc>
          <w:tcPr>
            <w:tcW w:w="851" w:type="dxa"/>
            <w:vMerge/>
            <w:tcBorders>
              <w:left w:val="nil"/>
              <w:right w:val="single" w:sz="4" w:space="0" w:color="auto"/>
            </w:tcBorders>
          </w:tcPr>
          <w:p w14:paraId="3318CEAD"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DC5D76" w14:paraId="0A5DBBDB" w14:textId="77777777" w:rsidTr="007F1961">
        <w:trPr>
          <w:trHeight w:val="2928"/>
        </w:trPr>
        <w:tc>
          <w:tcPr>
            <w:tcW w:w="1408" w:type="dxa"/>
            <w:vMerge/>
            <w:tcBorders>
              <w:left w:val="single" w:sz="4" w:space="0" w:color="auto"/>
            </w:tcBorders>
            <w:shd w:val="clear" w:color="auto" w:fill="auto"/>
            <w:textDirection w:val="btLr"/>
            <w:vAlign w:val="center"/>
          </w:tcPr>
          <w:p w14:paraId="57AFDA73" w14:textId="77777777" w:rsidR="00EB16FD" w:rsidRPr="00912134" w:rsidRDefault="00EB16FD" w:rsidP="00EB16FD">
            <w:pPr>
              <w:ind w:left="113" w:right="113"/>
              <w:jc w:val="center"/>
              <w:rPr>
                <w:rFonts w:ascii="Calibri" w:hAnsi="Calibri"/>
                <w:color w:val="000000"/>
                <w:sz w:val="18"/>
                <w:szCs w:val="18"/>
              </w:rPr>
            </w:pPr>
          </w:p>
        </w:tc>
        <w:tc>
          <w:tcPr>
            <w:tcW w:w="1276" w:type="dxa"/>
            <w:vMerge/>
            <w:shd w:val="clear" w:color="auto" w:fill="auto"/>
            <w:textDirection w:val="btLr"/>
            <w:vAlign w:val="center"/>
          </w:tcPr>
          <w:p w14:paraId="105C4572" w14:textId="77777777" w:rsidR="00EB16FD" w:rsidRPr="00912134" w:rsidRDefault="00EB16FD" w:rsidP="00EB16FD">
            <w:pPr>
              <w:ind w:left="113" w:right="113"/>
              <w:jc w:val="center"/>
              <w:rPr>
                <w:rFonts w:ascii="Calibri" w:hAnsi="Calibri"/>
                <w:color w:val="000000"/>
                <w:sz w:val="18"/>
                <w:szCs w:val="18"/>
              </w:rPr>
            </w:pPr>
          </w:p>
        </w:tc>
        <w:tc>
          <w:tcPr>
            <w:tcW w:w="1275" w:type="dxa"/>
            <w:vMerge/>
            <w:textDirection w:val="btLr"/>
            <w:vAlign w:val="center"/>
          </w:tcPr>
          <w:p w14:paraId="3EE0EDD2" w14:textId="77777777" w:rsidR="00EB16FD" w:rsidRPr="00912134" w:rsidRDefault="00EB16FD" w:rsidP="00EB16FD">
            <w:pPr>
              <w:ind w:left="113" w:right="113"/>
              <w:jc w:val="center"/>
              <w:rPr>
                <w:rFonts w:ascii="Calibri" w:hAnsi="Calibri"/>
                <w:color w:val="000000"/>
                <w:sz w:val="18"/>
                <w:szCs w:val="18"/>
              </w:rPr>
            </w:pPr>
          </w:p>
        </w:tc>
        <w:tc>
          <w:tcPr>
            <w:tcW w:w="1668" w:type="dxa"/>
            <w:tcBorders>
              <w:top w:val="single" w:sz="4" w:space="0" w:color="auto"/>
            </w:tcBorders>
            <w:shd w:val="clear" w:color="auto" w:fill="auto"/>
            <w:vAlign w:val="center"/>
          </w:tcPr>
          <w:p w14:paraId="56106F19" w14:textId="77777777"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Histological parametres</w:t>
            </w:r>
          </w:p>
        </w:tc>
        <w:tc>
          <w:tcPr>
            <w:tcW w:w="1703" w:type="dxa"/>
            <w:tcBorders>
              <w:top w:val="single" w:sz="4" w:space="0" w:color="auto"/>
            </w:tcBorders>
            <w:shd w:val="clear" w:color="auto" w:fill="auto"/>
            <w:vAlign w:val="center"/>
          </w:tcPr>
          <w:p w14:paraId="4F82FBCE" w14:textId="77777777" w:rsidR="00EB16FD" w:rsidRPr="00912134" w:rsidRDefault="00EB16FD" w:rsidP="007F1961">
            <w:pPr>
              <w:jc w:val="center"/>
              <w:rPr>
                <w:rFonts w:ascii="Calibri" w:hAnsi="Calibri"/>
                <w:color w:val="000000"/>
                <w:sz w:val="18"/>
                <w:szCs w:val="18"/>
              </w:rPr>
            </w:pPr>
            <w:r>
              <w:rPr>
                <w:rFonts w:ascii="Calibri" w:hAnsi="Calibri"/>
                <w:color w:val="000000"/>
                <w:sz w:val="18"/>
                <w:szCs w:val="18"/>
              </w:rPr>
              <w:t>Testes parameters</w:t>
            </w:r>
          </w:p>
        </w:tc>
        <w:tc>
          <w:tcPr>
            <w:tcW w:w="2010" w:type="dxa"/>
            <w:tcBorders>
              <w:top w:val="single" w:sz="4" w:space="0" w:color="auto"/>
            </w:tcBorders>
            <w:shd w:val="clear" w:color="auto" w:fill="auto"/>
            <w:vAlign w:val="center"/>
          </w:tcPr>
          <w:p w14:paraId="6F02F2FD"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Increased Lumen volume and tubule diameter on day 15 and 60; % apoptotic germ cells on days 15,60, and 120</w:t>
            </w:r>
          </w:p>
          <w:p w14:paraId="5F30B5FD" w14:textId="77777777" w:rsidR="00EB16FD" w:rsidRPr="00912134" w:rsidRDefault="00EB16FD" w:rsidP="007F1961">
            <w:pPr>
              <w:jc w:val="center"/>
              <w:rPr>
                <w:rFonts w:ascii="Calibri" w:hAnsi="Calibri"/>
                <w:color w:val="000000"/>
                <w:sz w:val="18"/>
                <w:szCs w:val="18"/>
              </w:rPr>
            </w:pPr>
            <w:r w:rsidRPr="00AF6261">
              <w:rPr>
                <w:rFonts w:ascii="Calibri" w:hAnsi="Calibri"/>
                <w:color w:val="000000"/>
                <w:sz w:val="18"/>
                <w:szCs w:val="18"/>
                <w:lang w:val="en-US"/>
              </w:rPr>
              <w:t xml:space="preserve">Decreased seminiferous epithelium volume density on days 15 and 60. </w:t>
            </w:r>
            <w:r w:rsidRPr="00912134">
              <w:rPr>
                <w:rFonts w:ascii="Calibri" w:hAnsi="Calibri"/>
                <w:color w:val="000000"/>
                <w:sz w:val="18"/>
                <w:szCs w:val="18"/>
              </w:rPr>
              <w:t>Decreased Seminiferous epithelium volume density</w:t>
            </w:r>
          </w:p>
        </w:tc>
        <w:tc>
          <w:tcPr>
            <w:tcW w:w="2273" w:type="dxa"/>
            <w:tcBorders>
              <w:top w:val="single" w:sz="4" w:space="0" w:color="auto"/>
            </w:tcBorders>
            <w:vAlign w:val="center"/>
          </w:tcPr>
          <w:p w14:paraId="6AC2A245"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Testicular atrophy</w:t>
            </w:r>
          </w:p>
          <w:p w14:paraId="47D81878"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tcBorders>
            <w:shd w:val="clear" w:color="auto" w:fill="auto"/>
            <w:vAlign w:val="center"/>
          </w:tcPr>
          <w:p w14:paraId="482F808C"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6163433D"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p w14:paraId="381766D5" w14:textId="3D0D1553" w:rsidR="00EB16FD" w:rsidRPr="000270BA" w:rsidRDefault="00EB16FD" w:rsidP="007F1961">
            <w:pPr>
              <w:jc w:val="center"/>
              <w:rPr>
                <w:rFonts w:eastAsia="Times New Roman" w:cstheme="minorHAnsi"/>
                <w:sz w:val="18"/>
                <w:szCs w:val="18"/>
                <w:lang w:val="en-US" w:eastAsia="fr-FR"/>
              </w:rPr>
            </w:pPr>
          </w:p>
        </w:tc>
        <w:tc>
          <w:tcPr>
            <w:tcW w:w="851" w:type="dxa"/>
            <w:vMerge/>
            <w:tcBorders>
              <w:left w:val="nil"/>
              <w:right w:val="single" w:sz="4" w:space="0" w:color="auto"/>
            </w:tcBorders>
          </w:tcPr>
          <w:p w14:paraId="74D0D3E4"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30C50959" w14:textId="77777777" w:rsidTr="007F1961">
        <w:trPr>
          <w:cantSplit/>
          <w:trHeight w:val="1134"/>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48FC74EF" w14:textId="77777777" w:rsidR="00EB16FD" w:rsidRPr="00912134" w:rsidRDefault="00EB16FD" w:rsidP="00EB16FD">
            <w:pPr>
              <w:ind w:left="113" w:right="113"/>
              <w:jc w:val="center"/>
              <w:rPr>
                <w:rFonts w:ascii="Calibri" w:hAnsi="Calibri"/>
                <w:color w:val="000000"/>
                <w:sz w:val="18"/>
                <w:szCs w:val="18"/>
              </w:rPr>
            </w:pPr>
            <w:r w:rsidRPr="00912134">
              <w:rPr>
                <w:rFonts w:ascii="Calibri" w:hAnsi="Calibri"/>
                <w:color w:val="000000"/>
                <w:sz w:val="18"/>
                <w:szCs w:val="18"/>
              </w:rPr>
              <w:t>Size:5-20 nm Shape:Spherical</w:t>
            </w:r>
          </w:p>
        </w:tc>
        <w:tc>
          <w:tcPr>
            <w:tcW w:w="1276" w:type="dxa"/>
            <w:tcBorders>
              <w:top w:val="single" w:sz="4" w:space="0" w:color="auto"/>
              <w:bottom w:val="single" w:sz="4" w:space="0" w:color="auto"/>
            </w:tcBorders>
            <w:shd w:val="clear" w:color="auto" w:fill="auto"/>
            <w:textDirection w:val="btLr"/>
            <w:vAlign w:val="center"/>
          </w:tcPr>
          <w:p w14:paraId="181ECD64" w14:textId="77777777" w:rsidR="00EB16FD" w:rsidRPr="00912134" w:rsidRDefault="00EB16FD" w:rsidP="00EB16FD">
            <w:pPr>
              <w:ind w:left="113" w:right="113"/>
              <w:jc w:val="center"/>
              <w:rPr>
                <w:rFonts w:ascii="Calibri" w:hAnsi="Calibri"/>
                <w:color w:val="000000"/>
                <w:sz w:val="18"/>
                <w:szCs w:val="18"/>
              </w:rPr>
            </w:pPr>
            <w:r w:rsidRPr="00912134">
              <w:rPr>
                <w:rFonts w:ascii="Calibri" w:hAnsi="Calibri"/>
                <w:color w:val="000000"/>
                <w:sz w:val="18"/>
                <w:szCs w:val="18"/>
              </w:rPr>
              <w:t>SD rats</w:t>
            </w:r>
            <w:r>
              <w:rPr>
                <w:rFonts w:ascii="Calibri" w:hAnsi="Calibri"/>
                <w:color w:val="000000"/>
                <w:sz w:val="18"/>
                <w:szCs w:val="18"/>
              </w:rPr>
              <w:t>,</w:t>
            </w:r>
            <w:r w:rsidRPr="00912134">
              <w:rPr>
                <w:rFonts w:ascii="Calibri" w:hAnsi="Calibri"/>
                <w:color w:val="000000"/>
                <w:sz w:val="18"/>
                <w:szCs w:val="18"/>
              </w:rPr>
              <w:t xml:space="preserve">  Oral gavage</w:t>
            </w:r>
          </w:p>
        </w:tc>
        <w:tc>
          <w:tcPr>
            <w:tcW w:w="1275" w:type="dxa"/>
            <w:tcBorders>
              <w:top w:val="single" w:sz="4" w:space="0" w:color="auto"/>
              <w:bottom w:val="single" w:sz="4" w:space="0" w:color="auto"/>
            </w:tcBorders>
            <w:textDirection w:val="btLr"/>
            <w:vAlign w:val="center"/>
          </w:tcPr>
          <w:p w14:paraId="70BA43A0" w14:textId="77777777" w:rsidR="00EB16FD" w:rsidRPr="00912134" w:rsidRDefault="00EB16FD" w:rsidP="00EB16FD">
            <w:pPr>
              <w:ind w:left="113" w:right="113"/>
              <w:jc w:val="center"/>
              <w:rPr>
                <w:rFonts w:ascii="Calibri" w:hAnsi="Calibri"/>
                <w:color w:val="000000"/>
                <w:sz w:val="18"/>
                <w:szCs w:val="18"/>
              </w:rPr>
            </w:pPr>
            <w:r w:rsidRPr="00912134">
              <w:rPr>
                <w:rFonts w:ascii="Calibri" w:hAnsi="Calibri"/>
                <w:color w:val="000000"/>
                <w:sz w:val="18"/>
                <w:szCs w:val="18"/>
              </w:rPr>
              <w:t>20</w:t>
            </w:r>
            <w:r>
              <w:rPr>
                <w:rFonts w:ascii="Calibri" w:hAnsi="Calibri"/>
                <w:color w:val="000000"/>
                <w:sz w:val="18"/>
                <w:szCs w:val="18"/>
              </w:rPr>
              <w:t>µ</w:t>
            </w:r>
            <w:r w:rsidRPr="00912134">
              <w:rPr>
                <w:rFonts w:ascii="Calibri" w:hAnsi="Calibri"/>
                <w:color w:val="000000"/>
                <w:sz w:val="18"/>
                <w:szCs w:val="18"/>
              </w:rPr>
              <w:t>g/kg/day, 90 days</w:t>
            </w:r>
          </w:p>
        </w:tc>
        <w:tc>
          <w:tcPr>
            <w:tcW w:w="1668" w:type="dxa"/>
            <w:tcBorders>
              <w:top w:val="single" w:sz="4" w:space="0" w:color="auto"/>
              <w:bottom w:val="single" w:sz="4" w:space="0" w:color="auto"/>
            </w:tcBorders>
            <w:shd w:val="clear" w:color="auto" w:fill="auto"/>
            <w:vAlign w:val="center"/>
          </w:tcPr>
          <w:p w14:paraId="34C14A36" w14:textId="39F7DC02"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Histopathological Examination</w:t>
            </w:r>
          </w:p>
        </w:tc>
        <w:tc>
          <w:tcPr>
            <w:tcW w:w="1703" w:type="dxa"/>
            <w:tcBorders>
              <w:top w:val="single" w:sz="4" w:space="0" w:color="auto"/>
              <w:bottom w:val="single" w:sz="4" w:space="0" w:color="auto"/>
            </w:tcBorders>
            <w:shd w:val="clear" w:color="auto" w:fill="auto"/>
            <w:vAlign w:val="center"/>
          </w:tcPr>
          <w:p w14:paraId="7648C178" w14:textId="77777777" w:rsidR="00EB16FD" w:rsidRPr="00912134" w:rsidRDefault="00EB16FD" w:rsidP="007F1961">
            <w:pPr>
              <w:jc w:val="center"/>
              <w:rPr>
                <w:rFonts w:ascii="Calibri" w:hAnsi="Calibri"/>
                <w:color w:val="000000"/>
                <w:sz w:val="18"/>
                <w:szCs w:val="18"/>
              </w:rPr>
            </w:pPr>
            <w:r>
              <w:rPr>
                <w:rFonts w:ascii="Calibri" w:hAnsi="Calibri"/>
                <w:color w:val="000000"/>
                <w:sz w:val="18"/>
                <w:szCs w:val="18"/>
              </w:rPr>
              <w:t>Testes parameters</w:t>
            </w:r>
          </w:p>
        </w:tc>
        <w:tc>
          <w:tcPr>
            <w:tcW w:w="2010" w:type="dxa"/>
            <w:tcBorders>
              <w:top w:val="single" w:sz="4" w:space="0" w:color="auto"/>
              <w:bottom w:val="single" w:sz="4" w:space="0" w:color="auto"/>
            </w:tcBorders>
            <w:shd w:val="clear" w:color="auto" w:fill="auto"/>
            <w:vAlign w:val="center"/>
          </w:tcPr>
          <w:p w14:paraId="60332036"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Atrophy of seminiferous tubules, Necrotic spermatogenic cells; ultra structural changes inspermatogonia Leydig and Sertoli cells</w:t>
            </w:r>
          </w:p>
        </w:tc>
        <w:tc>
          <w:tcPr>
            <w:tcW w:w="2273" w:type="dxa"/>
            <w:tcBorders>
              <w:top w:val="single" w:sz="4" w:space="0" w:color="auto"/>
              <w:bottom w:val="single" w:sz="4" w:space="0" w:color="auto"/>
            </w:tcBorders>
            <w:vAlign w:val="center"/>
          </w:tcPr>
          <w:p w14:paraId="2467AF21"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Testicular atrophy</w:t>
            </w:r>
          </w:p>
          <w:p w14:paraId="38B653F7"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bottom w:val="single" w:sz="4" w:space="0" w:color="auto"/>
            </w:tcBorders>
            <w:shd w:val="clear" w:color="auto" w:fill="auto"/>
            <w:vAlign w:val="center"/>
          </w:tcPr>
          <w:p w14:paraId="45BFEF71"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6F518B2E"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tcBorders>
              <w:top w:val="single" w:sz="4" w:space="0" w:color="auto"/>
              <w:left w:val="nil"/>
              <w:bottom w:val="single" w:sz="4" w:space="0" w:color="auto"/>
              <w:right w:val="single" w:sz="4" w:space="0" w:color="auto"/>
            </w:tcBorders>
            <w:vAlign w:val="center"/>
          </w:tcPr>
          <w:p w14:paraId="26554857" w14:textId="7E24FCA9"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{"citationItems":[{"id":"ITEM-1","itemData":{"DOI":"10.1186/s12951-014-0042-8","ISSN":"14773155","PMID":"25311086","abstract":"Background: Nanoparticles (Ag NPs) have recently received much attention for their possible applications in biotechnology and biomedical. However, little is known about the toxicity in reproductive organs of animal model following exposure to nanoparticles. Objective: This study therefore, tried to examine the effects of nanoparticles with a diameter range of 5-20 nm on the histology of the testis of wistar rats and correlate it with Transmission Electron Microscopy results. Materials and methods: Sixteen wistar rats were randomly divided into two groups of 8 rats each. Each group received the following via gavage technique for 90 days: Control Group (Group-1)-tap water; Experimental group (Group 2) - nanoparticles (20ug/kg/day). After ninety days (chronic study), rats were sacrificed and testis tissues was processed for histology and transmission electron microscopic study. Results: There was significant difference between the observations of group-1 and group 2. The changes observed in the testis were disarray of the spermatogenic cells and disorientation of the testis. These changes were observed to have been disappearing from normal histological features. Detailed structural damages were observed with TEM analysis, such as depletion of germ cells, germinal cells necrosis, especially in spermatogonia and Leydig cells had an abnormal fibroblast-like appearance, abnormal space between neighboring sertoli cells, mitochondria, lost cristae and vacuolated (none energized) with those animals exposed to nanoparticles. Conclusion: It seems that nanoparticles have acute and significant effects on spermatogenesis and number of spermatogenic cells. More experimental investigations are necessary to elucidate better conclusion regarding the safety of nanoparticles on male reproduction system.","au</w:instrText>
            </w:r>
            <w:r w:rsidR="007F3FC3" w:rsidRPr="00AF6261">
              <w:rPr>
                <w:rFonts w:ascii="Calibri" w:eastAsia="Times New Roman" w:hAnsi="Calibri" w:cstheme="minorHAnsi"/>
                <w:color w:val="000000"/>
                <w:sz w:val="18"/>
                <w:szCs w:val="18"/>
                <w:lang w:val="en-US" w:eastAsia="fr-FR"/>
              </w:rPr>
              <w:instrText>thor":[{"dropping-particle":"","family":"Thakur","given":"Mansee","non-dropping-particle":"","parse-names":false,"suffix":""},{"dropping-particle":"","family":"Gupta","given":"Himanshu","non-dropping-particle":"","parse-names":false,"suffix":""},{"dropping-particle":"","family":"Singh","given":"Dipty","non-dropping-particle":"","parse-names":false,"suffix":""},{"dropping-particle":"","family":"Mohanty","given":"Ipseeta R.","non-dropping-particle":"","parse-names":false,"suffix":""},{"dropping-particle":"","family":"Maheswari","given":"Ujjwala","non-dropping-particle":"","parse-names":false,"suffix":""},{"dropping-particle":"","family":"Vanage","given":"Geeta","non-dropping-particle":"","parse-names":false,"suffix":""},{"dropping-particle":"","family":"Joshi","given":"D.","non-dropping-particle":"","parse-names":false,"suffix":""}],"container-title":"Journal of Nanobiotechnology","id":"ITEM-1","issue":"1","issued":{"date-parts":[["2014"]]},"page":"1-13","title":"Histopathological and ultra structural effects of nanoparticles on rat testis following 90 days (Chronic study) of repeated oral administration","type":"article-journal","volume":"12"},"uris":["http://www.mendeley.com/documents/?uuid=4e3664dc-581b-47d2-9bd4-ab4ca115649d"]}],"mendeley":{"formattedCitation":"(31)","plainTextFormattedCitation":"(31)","previouslyFormattedCitation":"(Thakur et al. 2014)"},"properties":{"noteIndex":0},"schema":"https://github.com/citation-style-language/schema/raw/master/csl-citation.json"}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(31)</w:t>
            </w:r>
            <w:r w:rsidRPr="00912134">
              <w:rPr>
                <w:rFonts w:ascii="Calibri" w:eastAsia="Times New Roman" w:hAnsi="Calibri" w:cstheme="minorHAnsi"/>
                <w:color w:val="000000"/>
                <w:sz w:val="18"/>
                <w:szCs w:val="18"/>
                <w:lang w:eastAsia="fr-FR"/>
              </w:rPr>
              <w:fldChar w:fldCharType="end"/>
            </w:r>
          </w:p>
        </w:tc>
      </w:tr>
      <w:tr w:rsidR="00EB16FD" w:rsidRPr="00DC5D76" w14:paraId="026935B6" w14:textId="77777777" w:rsidTr="007F1961">
        <w:trPr>
          <w:trHeight w:val="195"/>
        </w:trPr>
        <w:tc>
          <w:tcPr>
            <w:tcW w:w="1408" w:type="dxa"/>
            <w:vMerge w:val="restart"/>
            <w:tcBorders>
              <w:top w:val="single" w:sz="4" w:space="0" w:color="auto"/>
              <w:left w:val="single" w:sz="4" w:space="0" w:color="auto"/>
            </w:tcBorders>
            <w:shd w:val="clear" w:color="auto" w:fill="auto"/>
            <w:textDirection w:val="btLr"/>
            <w:vAlign w:val="center"/>
          </w:tcPr>
          <w:p w14:paraId="120469B6"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Size:70 nm</w:t>
            </w:r>
          </w:p>
        </w:tc>
        <w:tc>
          <w:tcPr>
            <w:tcW w:w="1276" w:type="dxa"/>
            <w:vMerge w:val="restart"/>
            <w:tcBorders>
              <w:top w:val="single" w:sz="4" w:space="0" w:color="auto"/>
            </w:tcBorders>
            <w:shd w:val="clear" w:color="auto" w:fill="auto"/>
            <w:textDirection w:val="btLr"/>
            <w:vAlign w:val="center"/>
          </w:tcPr>
          <w:p w14:paraId="4E581E71"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Male wistar rats, Oral gavage</w:t>
            </w:r>
          </w:p>
        </w:tc>
        <w:tc>
          <w:tcPr>
            <w:tcW w:w="1275" w:type="dxa"/>
            <w:vMerge w:val="restart"/>
            <w:tcBorders>
              <w:top w:val="single" w:sz="4" w:space="0" w:color="auto"/>
            </w:tcBorders>
            <w:textDirection w:val="btLr"/>
            <w:vAlign w:val="center"/>
          </w:tcPr>
          <w:p w14:paraId="2594BF27"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 xml:space="preserve">25, 50, 100, 200 mg/kg bw,  45 days </w:t>
            </w:r>
          </w:p>
        </w:tc>
        <w:tc>
          <w:tcPr>
            <w:tcW w:w="1668" w:type="dxa"/>
            <w:tcBorders>
              <w:top w:val="single" w:sz="4" w:space="0" w:color="auto"/>
              <w:bottom w:val="single" w:sz="4" w:space="0" w:color="auto"/>
            </w:tcBorders>
            <w:shd w:val="clear" w:color="auto" w:fill="auto"/>
            <w:vAlign w:val="center"/>
          </w:tcPr>
          <w:p w14:paraId="5675F66F"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067BF42B"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Morphology, and Motility</w:t>
            </w:r>
          </w:p>
        </w:tc>
        <w:tc>
          <w:tcPr>
            <w:tcW w:w="2010" w:type="dxa"/>
            <w:tcBorders>
              <w:top w:val="single" w:sz="4" w:space="0" w:color="auto"/>
              <w:bottom w:val="single" w:sz="4" w:space="0" w:color="auto"/>
            </w:tcBorders>
            <w:shd w:val="clear" w:color="auto" w:fill="auto"/>
            <w:vAlign w:val="center"/>
          </w:tcPr>
          <w:p w14:paraId="5C52C20D" w14:textId="74BFFDCF"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Abnormal morphology, reduced percentage of normal spermatozoa Decreased  motility,</w:t>
            </w:r>
          </w:p>
        </w:tc>
        <w:tc>
          <w:tcPr>
            <w:tcW w:w="2273" w:type="dxa"/>
            <w:tcBorders>
              <w:top w:val="single" w:sz="4" w:space="0" w:color="auto"/>
              <w:bottom w:val="single" w:sz="4" w:space="0" w:color="auto"/>
            </w:tcBorders>
            <w:vAlign w:val="center"/>
          </w:tcPr>
          <w:p w14:paraId="6DEB61E8"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7A1804C7"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067C3E1B"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val="restart"/>
            <w:tcBorders>
              <w:top w:val="single" w:sz="4" w:space="0" w:color="auto"/>
              <w:left w:val="nil"/>
              <w:right w:val="single" w:sz="4" w:space="0" w:color="auto"/>
            </w:tcBorders>
            <w:vAlign w:val="center"/>
          </w:tcPr>
          <w:p w14:paraId="6767565E" w14:textId="6BA137FF"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 xml:space="preserve">ADDIN CSL_CITATION {"citationItems":[{"id":"ITEM-1","itemData":{"ISBN":"3518247085","ISSN":"20082177","abstract":"Background: Nano-particles are extensively employed in most industries. Several studies have been started to explore the probable detrimental effects of nano-particles on human reproduction. However, there is insufficient and controversially evident of effects of silver nano-particles on sperm parameters and other reproductive indices. Objective: Investigation of the effects of silver nano-particles on sperm parameters, sex hormones and Leydig cells in rat as an experimental model. Materials and Methods: In this experimental study, 75 male prepubertal Wistar rats were categorized in five groups including control group and 4 experimental groups (n=15 in each group). The rats in the experimental groups were fed silver nano-particles (60 nm in dimension) with concentrations of 25, 50, 100, and 200 mg/kg/day. After 45 days (about one duration of spermatogenesis in rat), samples of blood were taken from the rats for testosterone, leuteinizing hormone (LH), and follicle stimulating hormone (FSH) assessments. Afterwards, the epididymis and </w:instrText>
            </w:r>
            <w:r w:rsidR="007F3FC3">
              <w:rPr>
                <w:rFonts w:ascii="Calibri" w:eastAsia="Times New Roman" w:hAnsi="Calibri" w:cstheme="minorHAnsi"/>
                <w:color w:val="000000"/>
                <w:sz w:val="18"/>
                <w:szCs w:val="18"/>
                <w:lang w:eastAsia="fr-FR"/>
              </w:rPr>
              <w:instrText>the testis of each rat were dissected for analyzing sperm parameters and Leydig cells. Results: The results demonstrated a statistically significant reduction in number of Leydig cells in experimental groups compared to control one. In addition, the data showed a reduction in testosterone and a rise in LH level which was more obvious in high doses (p&lt;0.05); however, FSH level showed a reduction but it was not statistically significant. A significant decrease was also found in sperm motility and normal sperm morphology in the experimental groups compared to the control one. Conclusion: Our results demonstrated that silver nano-particles, in addition to interruption in functions of sex hormones, can diminish the number of Leydig cells and sperm parameter indices. It should be noted that the effects of nano-particles on reproductive indices are dose-dependent.","author":[{"dropping-particle":"","family":"Baki","given":"Mohammad Ebrahim","non-dropping-particle":"","parse-names":false,"suffix":""},{"dropping-particle":"","family":"Miresmaili","given":"Sayyed Mohsen","non-dropping-particle":"","parse-names":false,"suffix":""},{"dropping-particle":"","family":"Pourentezari","given":"Majid","non-dropping-particle":"","parse-names":false,"suffix":""},{"dropping-particle":"","family":"Amraii","given":"Esmail","non-dropping-particle":"","parse-name</w:instrText>
            </w:r>
            <w:r w:rsidR="007F3FC3" w:rsidRPr="00AF6261">
              <w:rPr>
                <w:rFonts w:ascii="Calibri" w:eastAsia="Times New Roman" w:hAnsi="Calibri" w:cstheme="minorHAnsi"/>
                <w:color w:val="000000"/>
                <w:sz w:val="18"/>
                <w:szCs w:val="18"/>
                <w:lang w:val="en-US" w:eastAsia="fr-FR"/>
              </w:rPr>
              <w:instrText>s":false,"suffix":""},{"dropping-particle":"","family":"Yousefi","given":"Vahid","non-dropping-particle":"","parse-names":false,"suffix":""},{"dropping-particle":"","family":"Spenani","given":"Hamid Reza","non-dropping-particle":"","parse-names":false,"suffix":""},{"dropping-particle":"","family":"Talebi","given":"Ali Reza","non-dropping-particle":"","parse-names":false,"suffix":""},{"dropping-particle":"","family":"Anvari","given":"Morteza","non-dropping-particle":"","parse-names":false,"suffix":""},{"dropping-particle":"","family":"Fazilati","given":"Mohammad","non-dropping-particle":"","parse-names":false,"suffix":""},{"dropping-particle":"","family":"Fallah","given":"Ali Asghar","non-dropping-particle":"","parse-names":false,"suffix":""},{"dropping-particle":"","family":"Mangoli","given":"Esmat","non-dropping-particle":"","parse-names":false,"suffix":""}],"container-title":"Iranian Journal of Reproductive Medicine","id":"ITEM-1","issue":"2","issued":{"date-parts":[["2014"]]},"page":"139-144","title":"Effects of silver nano-particles on sperm parameters, number of Leydig cells and sex hormones in rats","type":"article-journal","volume":"12"},"uris":["http://www.mendeley.com/documents/?uuid=7aad9254-2b53-4986-beaa-8653482916e6"]}],"mendeley":{"formattedCitation":"(32)","plainTextFormattedCitation":"(32)","previouslyFormattedCitation":"(Baki et al. 2014)"},"properties":{"noteIndex":0},"schema":"https://github.com/citation-style-language/schema/raw/master/csl-citation.json"}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(32)</w:t>
            </w:r>
            <w:r w:rsidRPr="00912134">
              <w:rPr>
                <w:rFonts w:ascii="Calibri" w:eastAsia="Times New Roman" w:hAnsi="Calibri" w:cstheme="minorHAnsi"/>
                <w:color w:val="000000"/>
                <w:sz w:val="18"/>
                <w:szCs w:val="18"/>
                <w:lang w:eastAsia="fr-FR"/>
              </w:rPr>
              <w:fldChar w:fldCharType="end"/>
            </w:r>
          </w:p>
        </w:tc>
      </w:tr>
      <w:tr w:rsidR="00EB16FD" w:rsidRPr="00DC5D76" w14:paraId="55B8996D" w14:textId="77777777" w:rsidTr="007F1961">
        <w:trPr>
          <w:trHeight w:val="1648"/>
        </w:trPr>
        <w:tc>
          <w:tcPr>
            <w:tcW w:w="1408" w:type="dxa"/>
            <w:vMerge/>
            <w:tcBorders>
              <w:left w:val="single" w:sz="4" w:space="0" w:color="auto"/>
            </w:tcBorders>
            <w:shd w:val="clear" w:color="auto" w:fill="auto"/>
            <w:textDirection w:val="btLr"/>
            <w:vAlign w:val="center"/>
          </w:tcPr>
          <w:p w14:paraId="193E2744" w14:textId="77777777" w:rsidR="00EB16FD" w:rsidRPr="00AF6261" w:rsidRDefault="00EB16FD" w:rsidP="00EB16FD">
            <w:pPr>
              <w:ind w:left="113" w:right="113"/>
              <w:jc w:val="center"/>
              <w:rPr>
                <w:rFonts w:ascii="Calibri" w:hAnsi="Calibri"/>
                <w:color w:val="000000"/>
                <w:sz w:val="18"/>
                <w:szCs w:val="18"/>
                <w:lang w:val="en-US"/>
              </w:rPr>
            </w:pPr>
          </w:p>
        </w:tc>
        <w:tc>
          <w:tcPr>
            <w:tcW w:w="1276" w:type="dxa"/>
            <w:vMerge/>
            <w:shd w:val="clear" w:color="auto" w:fill="auto"/>
            <w:textDirection w:val="btLr"/>
            <w:vAlign w:val="center"/>
          </w:tcPr>
          <w:p w14:paraId="00750C43" w14:textId="77777777" w:rsidR="00EB16FD" w:rsidRPr="00AF6261" w:rsidRDefault="00EB16FD" w:rsidP="00EB16FD">
            <w:pPr>
              <w:ind w:left="113" w:right="113"/>
              <w:jc w:val="center"/>
              <w:rPr>
                <w:rFonts w:ascii="Calibri" w:hAnsi="Calibri"/>
                <w:color w:val="000000"/>
                <w:sz w:val="18"/>
                <w:szCs w:val="18"/>
                <w:lang w:val="en-US"/>
              </w:rPr>
            </w:pPr>
          </w:p>
        </w:tc>
        <w:tc>
          <w:tcPr>
            <w:tcW w:w="1275" w:type="dxa"/>
            <w:vMerge/>
            <w:textDirection w:val="btLr"/>
            <w:vAlign w:val="center"/>
          </w:tcPr>
          <w:p w14:paraId="2564256E" w14:textId="77777777" w:rsidR="00EB16FD" w:rsidRPr="00AF6261" w:rsidRDefault="00EB16FD" w:rsidP="00EB16FD">
            <w:pPr>
              <w:ind w:left="113" w:right="113"/>
              <w:jc w:val="center"/>
              <w:rPr>
                <w:rFonts w:ascii="Calibri" w:hAnsi="Calibri"/>
                <w:sz w:val="18"/>
                <w:szCs w:val="18"/>
                <w:lang w:val="en-US"/>
              </w:rPr>
            </w:pPr>
          </w:p>
        </w:tc>
        <w:tc>
          <w:tcPr>
            <w:tcW w:w="1668" w:type="dxa"/>
            <w:tcBorders>
              <w:top w:val="single" w:sz="4" w:space="0" w:color="auto"/>
              <w:bottom w:val="single" w:sz="4" w:space="0" w:color="auto"/>
            </w:tcBorders>
            <w:shd w:val="clear" w:color="auto" w:fill="auto"/>
            <w:vAlign w:val="center"/>
          </w:tcPr>
          <w:p w14:paraId="0DFCC48F"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Hormonal Assessment</w:t>
            </w:r>
          </w:p>
        </w:tc>
        <w:tc>
          <w:tcPr>
            <w:tcW w:w="1703" w:type="dxa"/>
            <w:tcBorders>
              <w:top w:val="single" w:sz="4" w:space="0" w:color="auto"/>
              <w:bottom w:val="single" w:sz="4" w:space="0" w:color="auto"/>
            </w:tcBorders>
            <w:shd w:val="clear" w:color="auto" w:fill="auto"/>
            <w:vAlign w:val="center"/>
          </w:tcPr>
          <w:p w14:paraId="350D4787"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Serum testosterone, LH and FSH</w:t>
            </w:r>
          </w:p>
        </w:tc>
        <w:tc>
          <w:tcPr>
            <w:tcW w:w="2010" w:type="dxa"/>
            <w:tcBorders>
              <w:top w:val="single" w:sz="4" w:space="0" w:color="auto"/>
              <w:bottom w:val="single" w:sz="4" w:space="0" w:color="auto"/>
            </w:tcBorders>
            <w:shd w:val="clear" w:color="auto" w:fill="auto"/>
            <w:vAlign w:val="center"/>
          </w:tcPr>
          <w:p w14:paraId="597DD042" w14:textId="77777777" w:rsidR="00EB16FD" w:rsidRPr="00AF6261" w:rsidRDefault="00EB16FD" w:rsidP="007F1961">
            <w:pPr>
              <w:jc w:val="center"/>
              <w:rPr>
                <w:rFonts w:ascii="Calibri" w:hAnsi="Calibri" w:cstheme="minorHAnsi"/>
                <w:b/>
                <w:bCs/>
                <w:color w:val="7030A0"/>
                <w:sz w:val="18"/>
                <w:szCs w:val="18"/>
                <w:lang w:val="en-US"/>
              </w:rPr>
            </w:pPr>
            <w:r w:rsidRPr="00AF6261">
              <w:rPr>
                <w:rFonts w:ascii="Calibri" w:hAnsi="Calibri"/>
                <w:color w:val="000000"/>
                <w:sz w:val="18"/>
                <w:szCs w:val="18"/>
                <w:lang w:val="en-US"/>
              </w:rPr>
              <w:t>Reduction, testosterone level</w:t>
            </w:r>
          </w:p>
          <w:p w14:paraId="4AAB5DBD" w14:textId="0478DA2D" w:rsidR="00EB16FD" w:rsidRPr="00AF6261" w:rsidRDefault="00EB16FD" w:rsidP="007F1961">
            <w:pPr>
              <w:jc w:val="center"/>
              <w:rPr>
                <w:rFonts w:ascii="Calibri" w:hAnsi="Calibri"/>
                <w:b/>
                <w:bCs/>
                <w:color w:val="000000"/>
                <w:sz w:val="18"/>
                <w:szCs w:val="18"/>
                <w:lang w:val="en-US"/>
              </w:rPr>
            </w:pPr>
            <w:r w:rsidRPr="00AF6261">
              <w:rPr>
                <w:rFonts w:ascii="Calibri" w:hAnsi="Calibri"/>
                <w:bCs/>
                <w:color w:val="000000"/>
                <w:sz w:val="18"/>
                <w:szCs w:val="18"/>
                <w:lang w:val="en-US"/>
              </w:rPr>
              <w:t>Increase, LH</w:t>
            </w:r>
          </w:p>
          <w:p w14:paraId="2B37F114" w14:textId="77777777" w:rsidR="00EB16FD" w:rsidRPr="00AF6261" w:rsidRDefault="00EB16FD" w:rsidP="007F1961">
            <w:pPr>
              <w:jc w:val="center"/>
              <w:rPr>
                <w:rFonts w:ascii="Calibri" w:hAnsi="Calibri"/>
                <w:b/>
                <w:bCs/>
                <w:color w:val="000000"/>
                <w:sz w:val="18"/>
                <w:szCs w:val="18"/>
                <w:lang w:val="en-US"/>
              </w:rPr>
            </w:pPr>
            <w:r w:rsidRPr="00AF6261">
              <w:rPr>
                <w:rFonts w:ascii="Calibri" w:hAnsi="Calibri"/>
                <w:bCs/>
                <w:color w:val="000000"/>
                <w:sz w:val="18"/>
                <w:szCs w:val="18"/>
                <w:lang w:val="en-US"/>
              </w:rPr>
              <w:t>N</w:t>
            </w:r>
            <w:r w:rsidRPr="00AF6261">
              <w:rPr>
                <w:rFonts w:ascii="Calibri" w:hAnsi="Calibri"/>
                <w:color w:val="000000"/>
                <w:sz w:val="18"/>
                <w:szCs w:val="18"/>
                <w:lang w:val="en-US"/>
              </w:rPr>
              <w:t>on-significant reduction in FSH</w:t>
            </w:r>
          </w:p>
        </w:tc>
        <w:tc>
          <w:tcPr>
            <w:tcW w:w="2273" w:type="dxa"/>
            <w:tcBorders>
              <w:top w:val="single" w:sz="4" w:space="0" w:color="auto"/>
              <w:bottom w:val="single" w:sz="4" w:space="0" w:color="auto"/>
            </w:tcBorders>
            <w:vAlign w:val="center"/>
          </w:tcPr>
          <w:p w14:paraId="1C2868CE" w14:textId="77777777" w:rsidR="00EB16FD" w:rsidRPr="00B849DE" w:rsidRDefault="00EB16FD" w:rsidP="007F1961">
            <w:pPr>
              <w:jc w:val="center"/>
              <w:rPr>
                <w:sz w:val="18"/>
                <w:szCs w:val="18"/>
                <w:lang w:val="en-US"/>
              </w:rPr>
            </w:pPr>
            <w:r w:rsidRPr="000270BA">
              <w:rPr>
                <w:sz w:val="18"/>
                <w:szCs w:val="18"/>
                <w:lang w:val="en-US"/>
              </w:rPr>
              <w:t>Reduction, testosterone</w:t>
            </w:r>
            <w:r>
              <w:rPr>
                <w:sz w:val="18"/>
                <w:szCs w:val="18"/>
                <w:lang w:val="en-US"/>
              </w:rPr>
              <w:t xml:space="preserve"> level (ID1613, ID1689, ID1612)</w:t>
            </w:r>
          </w:p>
        </w:tc>
        <w:tc>
          <w:tcPr>
            <w:tcW w:w="2386" w:type="dxa"/>
            <w:tcBorders>
              <w:top w:val="single" w:sz="4" w:space="0" w:color="auto"/>
              <w:bottom w:val="single" w:sz="4" w:space="0" w:color="auto"/>
            </w:tcBorders>
            <w:shd w:val="clear" w:color="auto" w:fill="auto"/>
            <w:vAlign w:val="center"/>
          </w:tcPr>
          <w:p w14:paraId="554966D3" w14:textId="3461F823"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Decreased sperm quantity or quality in the adult, Decreased fertility</w:t>
            </w:r>
          </w:p>
        </w:tc>
        <w:tc>
          <w:tcPr>
            <w:tcW w:w="851" w:type="dxa"/>
            <w:vMerge/>
            <w:tcBorders>
              <w:left w:val="nil"/>
              <w:right w:val="single" w:sz="4" w:space="0" w:color="auto"/>
            </w:tcBorders>
          </w:tcPr>
          <w:p w14:paraId="7BFA8B22"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0F48A378"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25E2D107" w14:textId="77777777" w:rsidR="00EB16FD" w:rsidRPr="00AF6261" w:rsidRDefault="00EB16FD" w:rsidP="00EB16FD">
            <w:pPr>
              <w:ind w:left="113" w:right="113"/>
              <w:jc w:val="center"/>
              <w:rPr>
                <w:rFonts w:ascii="Calibri" w:hAnsi="Calibri"/>
                <w:color w:val="000000"/>
                <w:sz w:val="18"/>
                <w:szCs w:val="18"/>
                <w:lang w:val="en-US"/>
              </w:rPr>
            </w:pPr>
          </w:p>
        </w:tc>
        <w:tc>
          <w:tcPr>
            <w:tcW w:w="1276" w:type="dxa"/>
            <w:vMerge/>
            <w:tcBorders>
              <w:bottom w:val="single" w:sz="4" w:space="0" w:color="auto"/>
            </w:tcBorders>
            <w:shd w:val="clear" w:color="auto" w:fill="auto"/>
            <w:textDirection w:val="btLr"/>
            <w:vAlign w:val="center"/>
          </w:tcPr>
          <w:p w14:paraId="0979B8A3" w14:textId="77777777" w:rsidR="00EB16FD" w:rsidRPr="00AF6261" w:rsidRDefault="00EB16FD" w:rsidP="00EB16FD">
            <w:pPr>
              <w:ind w:left="113" w:right="113"/>
              <w:jc w:val="center"/>
              <w:rPr>
                <w:rFonts w:ascii="Calibri" w:hAnsi="Calibri"/>
                <w:color w:val="000000"/>
                <w:sz w:val="18"/>
                <w:szCs w:val="18"/>
                <w:lang w:val="en-US"/>
              </w:rPr>
            </w:pPr>
          </w:p>
        </w:tc>
        <w:tc>
          <w:tcPr>
            <w:tcW w:w="1275" w:type="dxa"/>
            <w:vMerge/>
            <w:tcBorders>
              <w:bottom w:val="single" w:sz="4" w:space="0" w:color="auto"/>
            </w:tcBorders>
            <w:textDirection w:val="btLr"/>
            <w:vAlign w:val="center"/>
          </w:tcPr>
          <w:p w14:paraId="1DACF672" w14:textId="77777777" w:rsidR="00EB16FD" w:rsidRPr="00AF6261" w:rsidRDefault="00EB16FD" w:rsidP="00EB16FD">
            <w:pPr>
              <w:ind w:left="113" w:right="113"/>
              <w:jc w:val="center"/>
              <w:rPr>
                <w:rFonts w:ascii="Calibri" w:hAnsi="Calibri"/>
                <w:sz w:val="18"/>
                <w:szCs w:val="18"/>
                <w:lang w:val="en-US"/>
              </w:rPr>
            </w:pPr>
          </w:p>
        </w:tc>
        <w:tc>
          <w:tcPr>
            <w:tcW w:w="1668" w:type="dxa"/>
            <w:tcBorders>
              <w:top w:val="single" w:sz="4" w:space="0" w:color="auto"/>
              <w:bottom w:val="single" w:sz="4" w:space="0" w:color="auto"/>
            </w:tcBorders>
            <w:shd w:val="clear" w:color="auto" w:fill="auto"/>
            <w:vAlign w:val="center"/>
          </w:tcPr>
          <w:p w14:paraId="0F7733DB"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Histopathological Examination</w:t>
            </w:r>
          </w:p>
        </w:tc>
        <w:tc>
          <w:tcPr>
            <w:tcW w:w="1703" w:type="dxa"/>
            <w:tcBorders>
              <w:top w:val="single" w:sz="4" w:space="0" w:color="auto"/>
              <w:bottom w:val="single" w:sz="4" w:space="0" w:color="auto"/>
            </w:tcBorders>
            <w:shd w:val="clear" w:color="auto" w:fill="auto"/>
            <w:vAlign w:val="center"/>
          </w:tcPr>
          <w:p w14:paraId="6B0D1420"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Testes parameters</w:t>
            </w:r>
          </w:p>
        </w:tc>
        <w:tc>
          <w:tcPr>
            <w:tcW w:w="2010" w:type="dxa"/>
            <w:tcBorders>
              <w:top w:val="single" w:sz="4" w:space="0" w:color="auto"/>
              <w:bottom w:val="single" w:sz="4" w:space="0" w:color="auto"/>
            </w:tcBorders>
            <w:shd w:val="clear" w:color="auto" w:fill="auto"/>
            <w:vAlign w:val="center"/>
          </w:tcPr>
          <w:p w14:paraId="6FC9F8F9"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Reduced Leydig cell numbers</w:t>
            </w:r>
          </w:p>
          <w:p w14:paraId="32615148"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Seminiferous tubular  atrophy, Necrotic spermatogenic cells, Testes atrophy</w:t>
            </w:r>
          </w:p>
        </w:tc>
        <w:tc>
          <w:tcPr>
            <w:tcW w:w="2273" w:type="dxa"/>
            <w:tcBorders>
              <w:top w:val="single" w:sz="4" w:space="0" w:color="auto"/>
              <w:bottom w:val="single" w:sz="4" w:space="0" w:color="auto"/>
            </w:tcBorders>
            <w:vAlign w:val="center"/>
          </w:tcPr>
          <w:p w14:paraId="5A78157D"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4BDD508C"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(ID1506)</w:t>
            </w:r>
          </w:p>
        </w:tc>
        <w:tc>
          <w:tcPr>
            <w:tcW w:w="2386" w:type="dxa"/>
            <w:tcBorders>
              <w:top w:val="single" w:sz="4" w:space="0" w:color="auto"/>
              <w:bottom w:val="single" w:sz="4" w:space="0" w:color="auto"/>
            </w:tcBorders>
            <w:shd w:val="clear" w:color="auto" w:fill="auto"/>
            <w:vAlign w:val="center"/>
          </w:tcPr>
          <w:p w14:paraId="0467F988"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23DC94C0"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left w:val="nil"/>
              <w:bottom w:val="single" w:sz="4" w:space="0" w:color="auto"/>
              <w:right w:val="single" w:sz="4" w:space="0" w:color="auto"/>
            </w:tcBorders>
          </w:tcPr>
          <w:p w14:paraId="60434205"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912134" w14:paraId="6E63FFA9" w14:textId="77777777" w:rsidTr="007F1961">
        <w:trPr>
          <w:trHeight w:val="195"/>
        </w:trPr>
        <w:tc>
          <w:tcPr>
            <w:tcW w:w="1408" w:type="dxa"/>
            <w:vMerge w:val="restart"/>
            <w:tcBorders>
              <w:top w:val="single" w:sz="4" w:space="0" w:color="auto"/>
              <w:left w:val="single" w:sz="4" w:space="0" w:color="auto"/>
            </w:tcBorders>
            <w:shd w:val="clear" w:color="auto" w:fill="auto"/>
            <w:textDirection w:val="btLr"/>
            <w:vAlign w:val="center"/>
          </w:tcPr>
          <w:p w14:paraId="70B3EA6A"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Size:21 – 41 nm,  Shape:Spherical</w:t>
            </w:r>
          </w:p>
        </w:tc>
        <w:tc>
          <w:tcPr>
            <w:tcW w:w="1276" w:type="dxa"/>
            <w:vMerge w:val="restart"/>
            <w:tcBorders>
              <w:top w:val="single" w:sz="4" w:space="0" w:color="auto"/>
            </w:tcBorders>
            <w:shd w:val="clear" w:color="auto" w:fill="auto"/>
            <w:textDirection w:val="btLr"/>
            <w:vAlign w:val="center"/>
          </w:tcPr>
          <w:p w14:paraId="4134CAB6"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Male mice  intraperitoneal</w:t>
            </w:r>
          </w:p>
        </w:tc>
        <w:tc>
          <w:tcPr>
            <w:tcW w:w="1275" w:type="dxa"/>
            <w:vMerge w:val="restart"/>
            <w:tcBorders>
              <w:top w:val="single" w:sz="4" w:space="0" w:color="auto"/>
            </w:tcBorders>
            <w:textDirection w:val="btLr"/>
            <w:vAlign w:val="center"/>
          </w:tcPr>
          <w:p w14:paraId="215178AB"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100, 500 and 1000 mg/kg  for 28 days</w:t>
            </w:r>
          </w:p>
        </w:tc>
        <w:tc>
          <w:tcPr>
            <w:tcW w:w="1668" w:type="dxa"/>
            <w:tcBorders>
              <w:top w:val="single" w:sz="4" w:space="0" w:color="auto"/>
              <w:bottom w:val="single" w:sz="4" w:space="0" w:color="auto"/>
            </w:tcBorders>
            <w:shd w:val="clear" w:color="auto" w:fill="auto"/>
            <w:vAlign w:val="center"/>
          </w:tcPr>
          <w:p w14:paraId="4D8EF5B6"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00752CCD"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Sperm Morphology, Motility, Count, Viability, DNA integrity</w:t>
            </w:r>
          </w:p>
        </w:tc>
        <w:tc>
          <w:tcPr>
            <w:tcW w:w="2010" w:type="dxa"/>
            <w:tcBorders>
              <w:top w:val="single" w:sz="4" w:space="0" w:color="auto"/>
              <w:bottom w:val="single" w:sz="4" w:space="0" w:color="auto"/>
            </w:tcBorders>
            <w:shd w:val="clear" w:color="auto" w:fill="auto"/>
            <w:vAlign w:val="center"/>
          </w:tcPr>
          <w:p w14:paraId="2A44543E"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Abnormal morphology, Decrease sperm motility, viability, integrity and quality  (500 and 1000 mg/kg)</w:t>
            </w:r>
          </w:p>
        </w:tc>
        <w:tc>
          <w:tcPr>
            <w:tcW w:w="2273" w:type="dxa"/>
            <w:tcBorders>
              <w:top w:val="single" w:sz="4" w:space="0" w:color="auto"/>
              <w:bottom w:val="single" w:sz="4" w:space="0" w:color="auto"/>
            </w:tcBorders>
            <w:vAlign w:val="center"/>
          </w:tcPr>
          <w:p w14:paraId="1A60A8F7"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093ED3ED"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4A54F22B"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val="restart"/>
            <w:tcBorders>
              <w:top w:val="single" w:sz="4" w:space="0" w:color="auto"/>
              <w:left w:val="nil"/>
              <w:right w:val="single" w:sz="4" w:space="0" w:color="auto"/>
            </w:tcBorders>
            <w:vAlign w:val="center"/>
          </w:tcPr>
          <w:p w14:paraId="37DB2D42" w14:textId="59B4D75E"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{"citationItems":[{"id":"ITEM-1","itemData":{"author":[{"dropping-particle":"","family":"Attia","given":"A A","non-dropping-particle":"","parse-names":false,"suffix":""}],"container-title":"Research Journal of Pharmaceutical, Biological and Chemical Sciences","id":"ITEM-1","issue":"4","issued":{"date-parts":[["2014"]]},"page":"1558-1589","title":"Evaluation of the testicular alterations induced by silver nanoparticles in male mice: biochemical, histological and ultrastructural studies","type":"article-journal","volume":"5"},"uris":["http://www.</w:instrText>
            </w:r>
            <w:r w:rsidR="007F3FC3">
              <w:rPr>
                <w:rFonts w:ascii="Calibri" w:eastAsia="Times New Roman" w:hAnsi="Calibri" w:cstheme="minorHAnsi"/>
                <w:color w:val="000000"/>
                <w:sz w:val="18"/>
                <w:szCs w:val="18"/>
                <w:lang w:eastAsia="fr-FR"/>
              </w:rPr>
              <w:instrText>mendeley.com/documents/?uuid=bcef3ee5-046b-4c95-b397-6c96bcab1eed"]}],"mendeley":{"formattedCitation":"(33)","plainTextFormattedCitation":"(33)","previouslyFormattedCitation":"(Attia 2014)"},"properties":{"noteIndex":0},"schema":"https://github.com/citation-style-language/schema/raw/master/csl-citation.json"}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(33)</w:t>
            </w:r>
            <w:r w:rsidRPr="00912134">
              <w:rPr>
                <w:rFonts w:ascii="Calibri" w:eastAsia="Times New Roman" w:hAnsi="Calibri" w:cstheme="minorHAnsi"/>
                <w:color w:val="000000"/>
                <w:sz w:val="18"/>
                <w:szCs w:val="18"/>
                <w:lang w:eastAsia="fr-FR"/>
              </w:rPr>
              <w:fldChar w:fldCharType="end"/>
            </w:r>
          </w:p>
        </w:tc>
      </w:tr>
      <w:tr w:rsidR="00EB16FD" w:rsidRPr="00912134" w14:paraId="3F91C65F" w14:textId="77777777" w:rsidTr="007F1961">
        <w:trPr>
          <w:trHeight w:val="195"/>
        </w:trPr>
        <w:tc>
          <w:tcPr>
            <w:tcW w:w="1408" w:type="dxa"/>
            <w:vMerge/>
            <w:tcBorders>
              <w:left w:val="single" w:sz="4" w:space="0" w:color="auto"/>
            </w:tcBorders>
            <w:shd w:val="clear" w:color="auto" w:fill="auto"/>
            <w:textDirection w:val="btLr"/>
            <w:vAlign w:val="center"/>
          </w:tcPr>
          <w:p w14:paraId="0D53E990" w14:textId="77777777" w:rsidR="00EB16FD" w:rsidRPr="00912134" w:rsidRDefault="00EB16FD" w:rsidP="00EB16FD">
            <w:pPr>
              <w:ind w:left="113" w:right="113"/>
              <w:jc w:val="center"/>
              <w:rPr>
                <w:rFonts w:ascii="Calibri" w:hAnsi="Calibri"/>
                <w:color w:val="000000"/>
                <w:sz w:val="18"/>
                <w:szCs w:val="18"/>
              </w:rPr>
            </w:pPr>
          </w:p>
        </w:tc>
        <w:tc>
          <w:tcPr>
            <w:tcW w:w="1276" w:type="dxa"/>
            <w:vMerge/>
            <w:shd w:val="clear" w:color="auto" w:fill="auto"/>
            <w:textDirection w:val="btLr"/>
            <w:vAlign w:val="center"/>
          </w:tcPr>
          <w:p w14:paraId="6733F3D4" w14:textId="77777777" w:rsidR="00EB16FD" w:rsidRPr="00912134" w:rsidRDefault="00EB16FD" w:rsidP="00EB16FD">
            <w:pPr>
              <w:ind w:left="113" w:right="113"/>
              <w:jc w:val="center"/>
              <w:rPr>
                <w:rFonts w:ascii="Calibri" w:hAnsi="Calibri"/>
                <w:color w:val="000000"/>
                <w:sz w:val="18"/>
                <w:szCs w:val="18"/>
              </w:rPr>
            </w:pPr>
          </w:p>
        </w:tc>
        <w:tc>
          <w:tcPr>
            <w:tcW w:w="1275" w:type="dxa"/>
            <w:vMerge/>
            <w:textDirection w:val="btLr"/>
            <w:vAlign w:val="center"/>
          </w:tcPr>
          <w:p w14:paraId="4F1E06E6" w14:textId="77777777" w:rsidR="00EB16FD" w:rsidRPr="00912134" w:rsidRDefault="00EB16FD" w:rsidP="00EB16FD">
            <w:pPr>
              <w:ind w:left="113" w:right="113"/>
              <w:jc w:val="center"/>
              <w:rPr>
                <w:rFonts w:ascii="Calibri" w:hAnsi="Calibri"/>
                <w:sz w:val="18"/>
                <w:szCs w:val="18"/>
              </w:rPr>
            </w:pPr>
          </w:p>
        </w:tc>
        <w:tc>
          <w:tcPr>
            <w:tcW w:w="1668" w:type="dxa"/>
            <w:tcBorders>
              <w:top w:val="single" w:sz="4" w:space="0" w:color="auto"/>
              <w:bottom w:val="single" w:sz="4" w:space="0" w:color="auto"/>
            </w:tcBorders>
            <w:shd w:val="clear" w:color="auto" w:fill="auto"/>
            <w:vAlign w:val="center"/>
          </w:tcPr>
          <w:p w14:paraId="4DFB7B32" w14:textId="77777777" w:rsidR="00EB16FD" w:rsidRPr="00912134" w:rsidRDefault="00EB16FD" w:rsidP="007F1961">
            <w:pPr>
              <w:jc w:val="center"/>
              <w:rPr>
                <w:rFonts w:ascii="Calibri" w:hAnsi="Calibri"/>
                <w:color w:val="000000"/>
                <w:sz w:val="18"/>
                <w:szCs w:val="18"/>
              </w:rPr>
            </w:pPr>
            <w:r>
              <w:rPr>
                <w:rFonts w:ascii="Calibri" w:hAnsi="Calibri"/>
                <w:color w:val="000000"/>
                <w:sz w:val="18"/>
                <w:szCs w:val="18"/>
              </w:rPr>
              <w:t>Oxidative Status</w:t>
            </w:r>
          </w:p>
        </w:tc>
        <w:tc>
          <w:tcPr>
            <w:tcW w:w="1703" w:type="dxa"/>
            <w:tcBorders>
              <w:top w:val="single" w:sz="4" w:space="0" w:color="auto"/>
              <w:bottom w:val="single" w:sz="4" w:space="0" w:color="auto"/>
            </w:tcBorders>
            <w:shd w:val="clear" w:color="auto" w:fill="auto"/>
            <w:vAlign w:val="center"/>
          </w:tcPr>
          <w:p w14:paraId="43B21E9B"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MDA and SOD in testes</w:t>
            </w:r>
          </w:p>
        </w:tc>
        <w:tc>
          <w:tcPr>
            <w:tcW w:w="2010" w:type="dxa"/>
            <w:tcBorders>
              <w:top w:val="single" w:sz="4" w:space="0" w:color="auto"/>
              <w:bottom w:val="single" w:sz="4" w:space="0" w:color="auto"/>
            </w:tcBorders>
            <w:shd w:val="clear" w:color="auto" w:fill="auto"/>
            <w:vAlign w:val="center"/>
          </w:tcPr>
          <w:p w14:paraId="234CFA4D"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Decreased SOD activity, Increased MDA (500 and 1000 mg/kg)</w:t>
            </w:r>
          </w:p>
          <w:p w14:paraId="5B2B1537" w14:textId="77777777" w:rsidR="00EB16FD" w:rsidRPr="00AF6261" w:rsidRDefault="00EB16FD" w:rsidP="007F1961">
            <w:pPr>
              <w:jc w:val="center"/>
              <w:rPr>
                <w:rFonts w:ascii="Calibri" w:hAnsi="Calibri"/>
                <w:color w:val="000000"/>
                <w:sz w:val="18"/>
                <w:szCs w:val="18"/>
                <w:lang w:val="en-US"/>
              </w:rPr>
            </w:pPr>
          </w:p>
        </w:tc>
        <w:tc>
          <w:tcPr>
            <w:tcW w:w="2273" w:type="dxa"/>
            <w:tcBorders>
              <w:top w:val="single" w:sz="4" w:space="0" w:color="auto"/>
              <w:bottom w:val="single" w:sz="4" w:space="0" w:color="auto"/>
            </w:tcBorders>
            <w:vAlign w:val="center"/>
          </w:tcPr>
          <w:p w14:paraId="1ED9D67E"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Decreased protection against oxidative stress, Occurance oxidative stress (ID210, ID1112, ID1249, ID1538, ID1869)</w:t>
            </w:r>
          </w:p>
          <w:p w14:paraId="26066EC0" w14:textId="77777777" w:rsidR="00EB16FD" w:rsidRPr="000270BA" w:rsidRDefault="00EB16FD" w:rsidP="007F1961">
            <w:pPr>
              <w:jc w:val="center"/>
              <w:rPr>
                <w:rFonts w:cstheme="minorHAnsi"/>
                <w:bCs/>
                <w:sz w:val="18"/>
                <w:szCs w:val="18"/>
                <w:lang w:val="en-US"/>
              </w:rPr>
            </w:pPr>
            <w:r w:rsidRPr="000270BA">
              <w:rPr>
                <w:rFonts w:cstheme="minorHAnsi"/>
                <w:bCs/>
                <w:sz w:val="18"/>
                <w:szCs w:val="18"/>
                <w:lang w:val="en-US"/>
              </w:rPr>
              <w:t>Lipid Peroxidation (ID1445 or ID1511)</w:t>
            </w:r>
          </w:p>
        </w:tc>
        <w:tc>
          <w:tcPr>
            <w:tcW w:w="2386" w:type="dxa"/>
            <w:tcBorders>
              <w:top w:val="single" w:sz="4" w:space="0" w:color="auto"/>
              <w:bottom w:val="single" w:sz="4" w:space="0" w:color="auto"/>
            </w:tcBorders>
            <w:shd w:val="clear" w:color="auto" w:fill="auto"/>
            <w:vAlign w:val="center"/>
          </w:tcPr>
          <w:p w14:paraId="5FD38075" w14:textId="2D792EC2"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Oxidative Damage</w:t>
            </w:r>
          </w:p>
          <w:p w14:paraId="4FF3F7FF"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(ID356)</w:t>
            </w:r>
          </w:p>
        </w:tc>
        <w:tc>
          <w:tcPr>
            <w:tcW w:w="851" w:type="dxa"/>
            <w:vMerge/>
            <w:tcBorders>
              <w:left w:val="nil"/>
              <w:right w:val="single" w:sz="4" w:space="0" w:color="auto"/>
            </w:tcBorders>
          </w:tcPr>
          <w:p w14:paraId="5D7DD644"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DC5D76" w14:paraId="4F8167AB" w14:textId="77777777" w:rsidTr="007F1961">
        <w:trPr>
          <w:trHeight w:val="195"/>
        </w:trPr>
        <w:tc>
          <w:tcPr>
            <w:tcW w:w="1408" w:type="dxa"/>
            <w:vMerge/>
            <w:tcBorders>
              <w:left w:val="single" w:sz="4" w:space="0" w:color="auto"/>
            </w:tcBorders>
            <w:shd w:val="clear" w:color="auto" w:fill="auto"/>
            <w:textDirection w:val="btLr"/>
            <w:vAlign w:val="center"/>
          </w:tcPr>
          <w:p w14:paraId="5673F1EB" w14:textId="77777777" w:rsidR="00EB16FD" w:rsidRPr="00912134" w:rsidRDefault="00EB16FD" w:rsidP="00EB16FD">
            <w:pPr>
              <w:ind w:left="113" w:right="113"/>
              <w:jc w:val="center"/>
              <w:rPr>
                <w:rFonts w:ascii="Calibri" w:hAnsi="Calibri"/>
                <w:color w:val="000000"/>
                <w:sz w:val="18"/>
                <w:szCs w:val="18"/>
              </w:rPr>
            </w:pPr>
          </w:p>
        </w:tc>
        <w:tc>
          <w:tcPr>
            <w:tcW w:w="1276" w:type="dxa"/>
            <w:vMerge/>
            <w:shd w:val="clear" w:color="auto" w:fill="auto"/>
            <w:textDirection w:val="btLr"/>
            <w:vAlign w:val="center"/>
          </w:tcPr>
          <w:p w14:paraId="3914A22F" w14:textId="77777777" w:rsidR="00EB16FD" w:rsidRPr="00912134" w:rsidRDefault="00EB16FD" w:rsidP="00EB16FD">
            <w:pPr>
              <w:ind w:left="113" w:right="113"/>
              <w:jc w:val="center"/>
              <w:rPr>
                <w:rFonts w:ascii="Calibri" w:hAnsi="Calibri"/>
                <w:color w:val="000000"/>
                <w:sz w:val="18"/>
                <w:szCs w:val="18"/>
              </w:rPr>
            </w:pPr>
          </w:p>
        </w:tc>
        <w:tc>
          <w:tcPr>
            <w:tcW w:w="1275" w:type="dxa"/>
            <w:vMerge/>
            <w:textDirection w:val="btLr"/>
            <w:vAlign w:val="center"/>
          </w:tcPr>
          <w:p w14:paraId="679EA86F" w14:textId="77777777" w:rsidR="00EB16FD" w:rsidRPr="00912134" w:rsidRDefault="00EB16FD" w:rsidP="00EB16FD">
            <w:pPr>
              <w:ind w:left="113" w:right="113"/>
              <w:jc w:val="center"/>
              <w:rPr>
                <w:rFonts w:ascii="Calibri" w:hAnsi="Calibri"/>
                <w:sz w:val="18"/>
                <w:szCs w:val="18"/>
              </w:rPr>
            </w:pPr>
          </w:p>
        </w:tc>
        <w:tc>
          <w:tcPr>
            <w:tcW w:w="1668" w:type="dxa"/>
            <w:tcBorders>
              <w:top w:val="single" w:sz="4" w:space="0" w:color="auto"/>
              <w:bottom w:val="single" w:sz="4" w:space="0" w:color="auto"/>
            </w:tcBorders>
            <w:shd w:val="clear" w:color="auto" w:fill="auto"/>
            <w:vAlign w:val="center"/>
          </w:tcPr>
          <w:p w14:paraId="4CB08F7A" w14:textId="77777777"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Hormonal Assessment</w:t>
            </w:r>
          </w:p>
        </w:tc>
        <w:tc>
          <w:tcPr>
            <w:tcW w:w="1703" w:type="dxa"/>
            <w:tcBorders>
              <w:top w:val="single" w:sz="4" w:space="0" w:color="auto"/>
              <w:bottom w:val="single" w:sz="4" w:space="0" w:color="auto"/>
            </w:tcBorders>
            <w:shd w:val="clear" w:color="auto" w:fill="auto"/>
            <w:vAlign w:val="center"/>
          </w:tcPr>
          <w:p w14:paraId="2C7D1D67" w14:textId="77777777"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Serum testosterone</w:t>
            </w:r>
          </w:p>
        </w:tc>
        <w:tc>
          <w:tcPr>
            <w:tcW w:w="2010" w:type="dxa"/>
            <w:tcBorders>
              <w:top w:val="single" w:sz="4" w:space="0" w:color="auto"/>
              <w:bottom w:val="single" w:sz="4" w:space="0" w:color="auto"/>
            </w:tcBorders>
            <w:shd w:val="clear" w:color="auto" w:fill="auto"/>
            <w:vAlign w:val="center"/>
          </w:tcPr>
          <w:p w14:paraId="56DDC957"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Reduction, testosterone level (500 and 1000 mg/kg)</w:t>
            </w:r>
          </w:p>
        </w:tc>
        <w:tc>
          <w:tcPr>
            <w:tcW w:w="2273" w:type="dxa"/>
            <w:tcBorders>
              <w:top w:val="single" w:sz="4" w:space="0" w:color="auto"/>
              <w:bottom w:val="single" w:sz="4" w:space="0" w:color="auto"/>
            </w:tcBorders>
            <w:vAlign w:val="center"/>
          </w:tcPr>
          <w:p w14:paraId="1581EF0B" w14:textId="77777777" w:rsidR="00EB16FD" w:rsidRPr="00B849DE" w:rsidRDefault="00EB16FD" w:rsidP="007F1961">
            <w:pPr>
              <w:jc w:val="center"/>
              <w:rPr>
                <w:sz w:val="18"/>
                <w:szCs w:val="18"/>
                <w:lang w:val="en-US"/>
              </w:rPr>
            </w:pPr>
            <w:r w:rsidRPr="000270BA">
              <w:rPr>
                <w:sz w:val="18"/>
                <w:szCs w:val="18"/>
                <w:lang w:val="en-US"/>
              </w:rPr>
              <w:t>Reduction, testosterone</w:t>
            </w:r>
            <w:r>
              <w:rPr>
                <w:sz w:val="18"/>
                <w:szCs w:val="18"/>
                <w:lang w:val="en-US"/>
              </w:rPr>
              <w:t xml:space="preserve"> level (ID1613, ID1689, ID1612)</w:t>
            </w:r>
          </w:p>
        </w:tc>
        <w:tc>
          <w:tcPr>
            <w:tcW w:w="2386" w:type="dxa"/>
            <w:tcBorders>
              <w:top w:val="single" w:sz="4" w:space="0" w:color="auto"/>
              <w:bottom w:val="single" w:sz="4" w:space="0" w:color="auto"/>
            </w:tcBorders>
            <w:shd w:val="clear" w:color="auto" w:fill="auto"/>
            <w:vAlign w:val="center"/>
          </w:tcPr>
          <w:p w14:paraId="34BC23B5" w14:textId="2C2C94FE"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Decreased sperm quantity or quality in the adult, Decreased fertility</w:t>
            </w:r>
          </w:p>
        </w:tc>
        <w:tc>
          <w:tcPr>
            <w:tcW w:w="851" w:type="dxa"/>
            <w:vMerge/>
            <w:tcBorders>
              <w:left w:val="nil"/>
              <w:right w:val="single" w:sz="4" w:space="0" w:color="auto"/>
            </w:tcBorders>
          </w:tcPr>
          <w:p w14:paraId="30B29EC3"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DC5D76" w14:paraId="7B473902" w14:textId="77777777" w:rsidTr="007F1961">
        <w:trPr>
          <w:trHeight w:val="514"/>
        </w:trPr>
        <w:tc>
          <w:tcPr>
            <w:tcW w:w="1408" w:type="dxa"/>
            <w:vMerge/>
            <w:tcBorders>
              <w:left w:val="single" w:sz="4" w:space="0" w:color="auto"/>
              <w:bottom w:val="single" w:sz="4" w:space="0" w:color="auto"/>
            </w:tcBorders>
            <w:shd w:val="clear" w:color="auto" w:fill="auto"/>
            <w:textDirection w:val="btLr"/>
            <w:vAlign w:val="center"/>
          </w:tcPr>
          <w:p w14:paraId="3272FA3E" w14:textId="77777777" w:rsidR="00EB16FD" w:rsidRPr="00AF6261" w:rsidRDefault="00EB16FD" w:rsidP="00EB16FD">
            <w:pPr>
              <w:ind w:left="113" w:right="113"/>
              <w:jc w:val="center"/>
              <w:rPr>
                <w:rFonts w:ascii="Calibri" w:hAnsi="Calibri"/>
                <w:color w:val="000000"/>
                <w:sz w:val="18"/>
                <w:szCs w:val="18"/>
                <w:lang w:val="en-US"/>
              </w:rPr>
            </w:pPr>
          </w:p>
        </w:tc>
        <w:tc>
          <w:tcPr>
            <w:tcW w:w="1276" w:type="dxa"/>
            <w:vMerge/>
            <w:tcBorders>
              <w:bottom w:val="single" w:sz="4" w:space="0" w:color="auto"/>
            </w:tcBorders>
            <w:shd w:val="clear" w:color="auto" w:fill="auto"/>
            <w:textDirection w:val="btLr"/>
            <w:vAlign w:val="center"/>
          </w:tcPr>
          <w:p w14:paraId="7FF6DE4F" w14:textId="77777777" w:rsidR="00EB16FD" w:rsidRPr="00AF6261" w:rsidRDefault="00EB16FD" w:rsidP="00EB16FD">
            <w:pPr>
              <w:ind w:left="113" w:right="113"/>
              <w:jc w:val="center"/>
              <w:rPr>
                <w:rFonts w:ascii="Calibri" w:hAnsi="Calibri"/>
                <w:color w:val="000000"/>
                <w:sz w:val="18"/>
                <w:szCs w:val="18"/>
                <w:lang w:val="en-US"/>
              </w:rPr>
            </w:pPr>
          </w:p>
        </w:tc>
        <w:tc>
          <w:tcPr>
            <w:tcW w:w="1275" w:type="dxa"/>
            <w:vMerge/>
            <w:tcBorders>
              <w:bottom w:val="single" w:sz="4" w:space="0" w:color="auto"/>
            </w:tcBorders>
            <w:textDirection w:val="btLr"/>
            <w:vAlign w:val="center"/>
          </w:tcPr>
          <w:p w14:paraId="3CBB68F9" w14:textId="77777777" w:rsidR="00EB16FD" w:rsidRPr="00AF6261" w:rsidRDefault="00EB16FD" w:rsidP="00EB16FD">
            <w:pPr>
              <w:ind w:left="113" w:right="113"/>
              <w:jc w:val="center"/>
              <w:rPr>
                <w:rFonts w:ascii="Calibri" w:hAnsi="Calibri"/>
                <w:sz w:val="18"/>
                <w:szCs w:val="18"/>
                <w:lang w:val="en-US"/>
              </w:rPr>
            </w:pPr>
          </w:p>
        </w:tc>
        <w:tc>
          <w:tcPr>
            <w:tcW w:w="1668" w:type="dxa"/>
            <w:tcBorders>
              <w:top w:val="single" w:sz="4" w:space="0" w:color="auto"/>
              <w:bottom w:val="single" w:sz="4" w:space="0" w:color="auto"/>
            </w:tcBorders>
            <w:shd w:val="clear" w:color="auto" w:fill="auto"/>
            <w:vAlign w:val="center"/>
          </w:tcPr>
          <w:p w14:paraId="7CB6DE10" w14:textId="77777777" w:rsidR="00EB16FD" w:rsidRPr="00912134" w:rsidRDefault="00EB16FD" w:rsidP="007F1961">
            <w:pPr>
              <w:jc w:val="center"/>
              <w:rPr>
                <w:rFonts w:ascii="Calibri" w:hAnsi="Calibri"/>
                <w:color w:val="000000"/>
                <w:sz w:val="18"/>
                <w:szCs w:val="18"/>
              </w:rPr>
            </w:pPr>
            <w:r w:rsidRPr="00912134">
              <w:rPr>
                <w:rFonts w:ascii="Calibri" w:hAnsi="Calibri"/>
                <w:color w:val="000000"/>
                <w:sz w:val="18"/>
                <w:szCs w:val="18"/>
              </w:rPr>
              <w:t>Histopathological Examination</w:t>
            </w:r>
          </w:p>
        </w:tc>
        <w:tc>
          <w:tcPr>
            <w:tcW w:w="1703" w:type="dxa"/>
            <w:tcBorders>
              <w:top w:val="single" w:sz="4" w:space="0" w:color="auto"/>
              <w:bottom w:val="single" w:sz="4" w:space="0" w:color="auto"/>
            </w:tcBorders>
            <w:shd w:val="clear" w:color="auto" w:fill="auto"/>
            <w:vAlign w:val="center"/>
          </w:tcPr>
          <w:p w14:paraId="0E720234" w14:textId="77777777" w:rsidR="00EB16FD" w:rsidRPr="00912134" w:rsidRDefault="00EB16FD" w:rsidP="007F1961">
            <w:pPr>
              <w:jc w:val="center"/>
              <w:rPr>
                <w:rFonts w:ascii="Calibri" w:hAnsi="Calibri"/>
                <w:color w:val="000000"/>
                <w:sz w:val="18"/>
                <w:szCs w:val="18"/>
              </w:rPr>
            </w:pPr>
          </w:p>
        </w:tc>
        <w:tc>
          <w:tcPr>
            <w:tcW w:w="2010" w:type="dxa"/>
            <w:tcBorders>
              <w:top w:val="single" w:sz="4" w:space="0" w:color="auto"/>
              <w:bottom w:val="single" w:sz="4" w:space="0" w:color="auto"/>
            </w:tcBorders>
            <w:shd w:val="clear" w:color="auto" w:fill="auto"/>
            <w:vAlign w:val="center"/>
          </w:tcPr>
          <w:p w14:paraId="46CB3811"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 xml:space="preserve">Disruption in the testicular architecture and loss in spermatogenic stages, testicular atrophy and loss in height of </w:t>
            </w:r>
            <w:r w:rsidRPr="00AF6261">
              <w:rPr>
                <w:rFonts w:ascii="Calibri" w:hAnsi="Calibri"/>
                <w:color w:val="000000"/>
                <w:sz w:val="18"/>
                <w:szCs w:val="18"/>
                <w:lang w:val="en-US"/>
              </w:rPr>
              <w:lastRenderedPageBreak/>
              <w:t>spermatogenic epithelium</w:t>
            </w:r>
          </w:p>
        </w:tc>
        <w:tc>
          <w:tcPr>
            <w:tcW w:w="2273" w:type="dxa"/>
            <w:tcBorders>
              <w:top w:val="single" w:sz="4" w:space="0" w:color="auto"/>
              <w:bottom w:val="single" w:sz="4" w:space="0" w:color="auto"/>
            </w:tcBorders>
            <w:vAlign w:val="center"/>
          </w:tcPr>
          <w:p w14:paraId="7D32C056"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lastRenderedPageBreak/>
              <w:t>Testicular atrophy</w:t>
            </w:r>
          </w:p>
          <w:p w14:paraId="1F098D1E"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(ID1506)</w:t>
            </w:r>
          </w:p>
        </w:tc>
        <w:tc>
          <w:tcPr>
            <w:tcW w:w="2386" w:type="dxa"/>
            <w:tcBorders>
              <w:top w:val="single" w:sz="4" w:space="0" w:color="auto"/>
              <w:bottom w:val="single" w:sz="4" w:space="0" w:color="auto"/>
            </w:tcBorders>
            <w:shd w:val="clear" w:color="auto" w:fill="auto"/>
            <w:vAlign w:val="center"/>
          </w:tcPr>
          <w:p w14:paraId="4C7784B3"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202AA7D6"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left w:val="nil"/>
              <w:bottom w:val="single" w:sz="4" w:space="0" w:color="auto"/>
              <w:right w:val="single" w:sz="4" w:space="0" w:color="auto"/>
            </w:tcBorders>
          </w:tcPr>
          <w:p w14:paraId="1F758A4C"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912134" w14:paraId="01B6303B" w14:textId="77777777" w:rsidTr="007F1961">
        <w:trPr>
          <w:cantSplit/>
          <w:trHeight w:val="2620"/>
        </w:trPr>
        <w:tc>
          <w:tcPr>
            <w:tcW w:w="1408" w:type="dxa"/>
            <w:vMerge w:val="restart"/>
            <w:tcBorders>
              <w:top w:val="single" w:sz="4" w:space="0" w:color="auto"/>
              <w:left w:val="single" w:sz="4" w:space="0" w:color="auto"/>
            </w:tcBorders>
            <w:shd w:val="clear" w:color="auto" w:fill="auto"/>
            <w:textDirection w:val="btLr"/>
            <w:vAlign w:val="center"/>
          </w:tcPr>
          <w:p w14:paraId="7662F2CA"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Size:45 nm</w:t>
            </w:r>
          </w:p>
          <w:p w14:paraId="4D093355"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Zeta potential: -20 mV</w:t>
            </w:r>
          </w:p>
        </w:tc>
        <w:tc>
          <w:tcPr>
            <w:tcW w:w="1276" w:type="dxa"/>
            <w:vMerge w:val="restart"/>
            <w:tcBorders>
              <w:top w:val="single" w:sz="4" w:space="0" w:color="auto"/>
            </w:tcBorders>
            <w:shd w:val="clear" w:color="auto" w:fill="auto"/>
            <w:textDirection w:val="btLr"/>
            <w:vAlign w:val="center"/>
          </w:tcPr>
          <w:p w14:paraId="750318C5"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New  Zealand  White  male  rabbits, intravenous</w:t>
            </w:r>
          </w:p>
        </w:tc>
        <w:tc>
          <w:tcPr>
            <w:tcW w:w="1275" w:type="dxa"/>
            <w:vMerge w:val="restart"/>
            <w:tcBorders>
              <w:top w:val="single" w:sz="4" w:space="0" w:color="auto"/>
            </w:tcBorders>
            <w:textDirection w:val="btLr"/>
            <w:vAlign w:val="center"/>
          </w:tcPr>
          <w:p w14:paraId="12DA360E" w14:textId="77777777" w:rsidR="00EB16FD" w:rsidRPr="00AF6261" w:rsidRDefault="00EB16FD" w:rsidP="00EB16FD">
            <w:pPr>
              <w:ind w:left="113" w:right="113"/>
              <w:jc w:val="center"/>
              <w:rPr>
                <w:rFonts w:ascii="Calibri" w:hAnsi="Calibri"/>
                <w:color w:val="000000"/>
                <w:sz w:val="18"/>
                <w:szCs w:val="18"/>
                <w:lang w:val="en-US"/>
              </w:rPr>
            </w:pPr>
            <w:r w:rsidRPr="00AF6261">
              <w:rPr>
                <w:rFonts w:ascii="Calibri" w:hAnsi="Calibri"/>
                <w:color w:val="000000"/>
                <w:sz w:val="18"/>
                <w:szCs w:val="18"/>
                <w:lang w:val="en-US"/>
              </w:rPr>
              <w:t>0.6 mg/kg  bw  single dose. Rabbit testicular tissue and semen were obtained from rabbits killed at days 21, 42, 84, 105, and 126 after NP treatment</w:t>
            </w:r>
          </w:p>
        </w:tc>
        <w:tc>
          <w:tcPr>
            <w:tcW w:w="1668" w:type="dxa"/>
            <w:tcBorders>
              <w:top w:val="single" w:sz="4" w:space="0" w:color="auto"/>
            </w:tcBorders>
            <w:shd w:val="clear" w:color="auto" w:fill="auto"/>
            <w:vAlign w:val="center"/>
          </w:tcPr>
          <w:p w14:paraId="58586D8F" w14:textId="77777777" w:rsidR="00EB16FD" w:rsidRPr="00912134" w:rsidRDefault="00EB16FD" w:rsidP="007F1961">
            <w:pPr>
              <w:jc w:val="center"/>
              <w:rPr>
                <w:rFonts w:ascii="Calibri" w:hAnsi="Calibri" w:cstheme="minorHAnsi"/>
                <w:color w:val="000000"/>
                <w:sz w:val="18"/>
                <w:szCs w:val="18"/>
              </w:rPr>
            </w:pPr>
            <w:r w:rsidRPr="00912134">
              <w:rPr>
                <w:rFonts w:ascii="Calibri" w:hAnsi="Calibri" w:cstheme="minorHAnsi"/>
                <w:color w:val="000000"/>
                <w:sz w:val="18"/>
                <w:szCs w:val="18"/>
              </w:rPr>
              <w:t>Sperm evaluation</w:t>
            </w:r>
          </w:p>
        </w:tc>
        <w:tc>
          <w:tcPr>
            <w:tcW w:w="1703" w:type="dxa"/>
            <w:tcBorders>
              <w:top w:val="single" w:sz="4" w:space="0" w:color="auto"/>
            </w:tcBorders>
            <w:shd w:val="clear" w:color="auto" w:fill="auto"/>
            <w:vAlign w:val="center"/>
          </w:tcPr>
          <w:p w14:paraId="536FE2CF" w14:textId="77777777" w:rsidR="00EB16FD" w:rsidRPr="00AF6261" w:rsidRDefault="00EB16FD" w:rsidP="007F1961">
            <w:pPr>
              <w:jc w:val="center"/>
              <w:rPr>
                <w:rFonts w:ascii="Calibri" w:hAnsi="Calibri" w:cstheme="minorHAnsi"/>
                <w:color w:val="000000"/>
                <w:sz w:val="18"/>
                <w:szCs w:val="18"/>
                <w:lang w:val="en-US"/>
              </w:rPr>
            </w:pPr>
            <w:r w:rsidRPr="00AF6261">
              <w:rPr>
                <w:rFonts w:ascii="Calibri" w:hAnsi="Calibri" w:cstheme="minorHAnsi"/>
                <w:color w:val="000000"/>
                <w:sz w:val="18"/>
                <w:szCs w:val="18"/>
                <w:lang w:val="en-US"/>
              </w:rPr>
              <w:t xml:space="preserve">Sperm morphology and Acrosome reaction (AR), </w:t>
            </w:r>
            <w:r w:rsidRPr="00AF6261">
              <w:rPr>
                <w:rFonts w:ascii="Calibri" w:hAnsi="Calibri" w:cstheme="minorHAnsi"/>
                <w:sz w:val="18"/>
                <w:szCs w:val="18"/>
                <w:lang w:val="en-US"/>
              </w:rPr>
              <w:t>Curvilinear velocity (VCL), Ag NP presence in sperm</w:t>
            </w:r>
          </w:p>
        </w:tc>
        <w:tc>
          <w:tcPr>
            <w:tcW w:w="2010" w:type="dxa"/>
            <w:tcBorders>
              <w:top w:val="single" w:sz="4" w:space="0" w:color="auto"/>
            </w:tcBorders>
            <w:shd w:val="clear" w:color="auto" w:fill="auto"/>
            <w:vAlign w:val="center"/>
          </w:tcPr>
          <w:p w14:paraId="065D1391"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Decreased Sperm motility; VCL, % of normal sperm; sperm oxygen consumption.</w:t>
            </w:r>
          </w:p>
          <w:p w14:paraId="3BC45886" w14:textId="455C9982"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Increased % of AR sperm; ultrastructural sperm damage,</w:t>
            </w:r>
          </w:p>
          <w:p w14:paraId="7684E504" w14:textId="77777777" w:rsidR="00EB16FD" w:rsidRPr="00AF6261" w:rsidRDefault="00EB16FD" w:rsidP="007F1961">
            <w:pPr>
              <w:jc w:val="center"/>
              <w:rPr>
                <w:rFonts w:ascii="Calibri" w:hAnsi="Calibri"/>
                <w:color w:val="000000"/>
                <w:sz w:val="18"/>
                <w:szCs w:val="18"/>
                <w:lang w:val="en-US"/>
              </w:rPr>
            </w:pPr>
            <w:r w:rsidRPr="00AF6261">
              <w:rPr>
                <w:rFonts w:ascii="Calibri" w:hAnsi="Calibri"/>
                <w:color w:val="000000"/>
                <w:sz w:val="18"/>
                <w:szCs w:val="18"/>
                <w:lang w:val="en-US"/>
              </w:rPr>
              <w:t>AgNPs in cytoplasmic residues, sections of nucleus, acrosome of semen samples (On days 7–126, except day 42)</w:t>
            </w:r>
          </w:p>
        </w:tc>
        <w:tc>
          <w:tcPr>
            <w:tcW w:w="2273" w:type="dxa"/>
            <w:tcBorders>
              <w:top w:val="single" w:sz="4" w:space="0" w:color="auto"/>
            </w:tcBorders>
            <w:vAlign w:val="center"/>
          </w:tcPr>
          <w:p w14:paraId="6352D093"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tcBorders>
            <w:shd w:val="clear" w:color="auto" w:fill="auto"/>
            <w:vAlign w:val="center"/>
          </w:tcPr>
          <w:p w14:paraId="7B1876A2"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Impaired fertility</w:t>
            </w:r>
          </w:p>
          <w:p w14:paraId="748C1FE2"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(ID330 , ID406)</w:t>
            </w:r>
          </w:p>
        </w:tc>
        <w:tc>
          <w:tcPr>
            <w:tcW w:w="851" w:type="dxa"/>
            <w:vMerge w:val="restart"/>
            <w:tcBorders>
              <w:top w:val="single" w:sz="4" w:space="0" w:color="auto"/>
              <w:left w:val="nil"/>
              <w:right w:val="single" w:sz="4" w:space="0" w:color="auto"/>
            </w:tcBorders>
            <w:vAlign w:val="center"/>
          </w:tcPr>
          <w:p w14:paraId="3EB004D5" w14:textId="30D0FFBC"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{"citationItems":[{"id":"ITEM-1","itemData":{"DOI":"10.3109/19396368.2014.891163","ISSN":"1939-6368","abstract":"Using the rabbit as an animal model, this study evaluated the long-term effect of silver nanoparticles (NPs) administered intravenously (0.6 mg/kg bw) on reproductive activity and sperm quality. Semen analysis was performed by optical microscopy and sperm motility evaluation by computer assisted sperm analyzer (CASA). Mitochondria oxygen consumption, light and transmission electron microscopy of rabbit testis and ejaculated sperm were also carried out. Throughout the experiment NP-treated rabbits showed higher seminal reactive oxygen species (ROS), less motile sperm, and lower curvilinear velocity and oxygen consumption than control animals. In contrast, libido, serum testosterone, sperm concentration , and semen volume were hardly affected by NPs. Transmission electron microscopy analysis did not show any evident morphological damage in testes; however, Ag NPs are visible in spermatids and ejaculated sperm. These preliminary results show that Ag NPs can reach the testes, compromising sperm motility, sperm speed, and acrosome and mitochondria shape and function.","author":[{"dropping-particle":"","family":"Castellini","given":"Cesare","non-dropping-particle":"","parse-names":false,"suffix":""},{"dropping-particle":"","family":"Ruggeri","given":"Silvia","non-dropping-particle":"","parse-names":false,"suffix":""},{"dropping-particle":"","family":"Mattioli","given":"Simona","non-dropping-particle":"","parse-names":false,"suffix":""},{"dropping-particle":"","family":"Bernardini","given":"Giovanni","non-dropping-particle":"","parse-names":false,"suffix":""},{"dropping-particle":"","family":"Macchioni","given":"Lara","non-dropping-particle":"","parse-names":false,"suffix":""},{"dropping-particle":"","family":"Moretti","given":"Elena","non-dropping-particle":"","parse-names":false,"suffix":""},{"dropping-particle":"","family":"Collodel","given":"Giulia","non-dropping-particle":"","parse-names":false,"suffix":""}],"container-title":"Syst Biol Reprod Med","id":"ITEM-1","issue":"3","issued":{"date-parts":[["2014"]]},"page":"143-150","publisher":"Informa Healthcare USA, Inc","title":"Systems Biology in Reproductive Medicine Long-term effects of silver nanoparticles on reproductive activity of rabbit buck Long-term effects of silver nanoparticles on reproductive activity of rabbit buck","type":"article-journal","volume":"60"},"uris":["http://www.mendeley.com/documents/?uuid=e3a7f870-b471-390b-bb18-86b1ecd3f1d6"]}],"mendeley":{"formattedCitation":"(34)","plainTextFormattedCitation":"(34)","previouslyFormattedCitation":"(Castellini et al. 2014)"},"properties":{"noteIndex":0},"schema":"https://github.com/citation-style-language/schema/raw/master/csl-citation.json"}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(34)</w:t>
            </w:r>
            <w:r w:rsidRPr="00912134">
              <w:rPr>
                <w:rFonts w:ascii="Calibri" w:eastAsia="Times New Roman" w:hAnsi="Calibri" w:cstheme="minorHAnsi"/>
                <w:color w:val="000000"/>
                <w:sz w:val="18"/>
                <w:szCs w:val="18"/>
                <w:lang w:eastAsia="fr-FR"/>
              </w:rPr>
              <w:fldChar w:fldCharType="end"/>
            </w:r>
          </w:p>
        </w:tc>
      </w:tr>
      <w:tr w:rsidR="00EB16FD" w:rsidRPr="00912134" w14:paraId="41ED6F71" w14:textId="77777777" w:rsidTr="007F1961">
        <w:trPr>
          <w:cantSplit/>
          <w:trHeight w:val="1134"/>
        </w:trPr>
        <w:tc>
          <w:tcPr>
            <w:tcW w:w="1408" w:type="dxa"/>
            <w:vMerge/>
            <w:tcBorders>
              <w:left w:val="single" w:sz="4" w:space="0" w:color="auto"/>
              <w:bottom w:val="single" w:sz="4" w:space="0" w:color="auto"/>
            </w:tcBorders>
            <w:shd w:val="clear" w:color="auto" w:fill="auto"/>
            <w:textDirection w:val="btLr"/>
            <w:vAlign w:val="center"/>
          </w:tcPr>
          <w:p w14:paraId="4564FA89" w14:textId="77777777" w:rsidR="00EB16FD" w:rsidRPr="00912134" w:rsidRDefault="00EB16FD" w:rsidP="00EB16FD">
            <w:pPr>
              <w:ind w:left="113" w:right="113"/>
              <w:jc w:val="center"/>
              <w:rPr>
                <w:rFonts w:ascii="Calibri" w:hAnsi="Calibri"/>
                <w:color w:val="000000"/>
                <w:sz w:val="18"/>
                <w:szCs w:val="18"/>
              </w:rPr>
            </w:pPr>
          </w:p>
        </w:tc>
        <w:tc>
          <w:tcPr>
            <w:tcW w:w="1276" w:type="dxa"/>
            <w:vMerge/>
            <w:tcBorders>
              <w:bottom w:val="single" w:sz="4" w:space="0" w:color="auto"/>
            </w:tcBorders>
            <w:shd w:val="clear" w:color="auto" w:fill="auto"/>
            <w:textDirection w:val="btLr"/>
            <w:vAlign w:val="center"/>
          </w:tcPr>
          <w:p w14:paraId="4DEC2EF7" w14:textId="77777777" w:rsidR="00EB16FD" w:rsidRPr="00912134" w:rsidRDefault="00EB16FD" w:rsidP="00EB16FD">
            <w:pPr>
              <w:ind w:left="113" w:right="113"/>
              <w:jc w:val="center"/>
              <w:rPr>
                <w:rFonts w:ascii="Calibri" w:hAnsi="Calibri"/>
                <w:sz w:val="18"/>
                <w:szCs w:val="18"/>
              </w:rPr>
            </w:pPr>
          </w:p>
        </w:tc>
        <w:tc>
          <w:tcPr>
            <w:tcW w:w="1275" w:type="dxa"/>
            <w:vMerge/>
            <w:tcBorders>
              <w:bottom w:val="single" w:sz="4" w:space="0" w:color="auto"/>
            </w:tcBorders>
            <w:textDirection w:val="btLr"/>
            <w:vAlign w:val="center"/>
          </w:tcPr>
          <w:p w14:paraId="78D2985D" w14:textId="77777777" w:rsidR="00EB16FD" w:rsidRPr="00912134" w:rsidRDefault="00EB16FD" w:rsidP="00EB16FD">
            <w:pPr>
              <w:ind w:left="113" w:right="113"/>
              <w:jc w:val="center"/>
              <w:rPr>
                <w:rFonts w:ascii="Calibri" w:hAnsi="Calibri"/>
                <w:sz w:val="18"/>
                <w:szCs w:val="18"/>
              </w:rPr>
            </w:pPr>
          </w:p>
        </w:tc>
        <w:tc>
          <w:tcPr>
            <w:tcW w:w="1668" w:type="dxa"/>
            <w:tcBorders>
              <w:top w:val="single" w:sz="4" w:space="0" w:color="auto"/>
              <w:bottom w:val="single" w:sz="4" w:space="0" w:color="auto"/>
            </w:tcBorders>
            <w:shd w:val="clear" w:color="auto" w:fill="auto"/>
            <w:vAlign w:val="center"/>
          </w:tcPr>
          <w:p w14:paraId="422C116F" w14:textId="77777777" w:rsidR="00EB16FD" w:rsidRPr="003912B8" w:rsidRDefault="00EB16FD" w:rsidP="007F1961">
            <w:pPr>
              <w:jc w:val="center"/>
              <w:rPr>
                <w:rFonts w:ascii="Calibri" w:hAnsi="Calibri"/>
                <w:sz w:val="18"/>
                <w:szCs w:val="18"/>
              </w:rPr>
            </w:pPr>
            <w:r w:rsidRPr="003912B8">
              <w:rPr>
                <w:rFonts w:ascii="Calibri" w:hAnsi="Calibri"/>
                <w:sz w:val="18"/>
                <w:szCs w:val="18"/>
              </w:rPr>
              <w:t>Histopathological Examination</w:t>
            </w:r>
          </w:p>
        </w:tc>
        <w:tc>
          <w:tcPr>
            <w:tcW w:w="1703" w:type="dxa"/>
            <w:tcBorders>
              <w:top w:val="single" w:sz="4" w:space="0" w:color="auto"/>
              <w:bottom w:val="single" w:sz="4" w:space="0" w:color="auto"/>
            </w:tcBorders>
            <w:shd w:val="clear" w:color="auto" w:fill="auto"/>
            <w:vAlign w:val="center"/>
          </w:tcPr>
          <w:p w14:paraId="2FA5ADA9" w14:textId="77777777" w:rsidR="00EB16FD" w:rsidRPr="003912B8" w:rsidRDefault="00EB16FD" w:rsidP="007F1961">
            <w:pPr>
              <w:jc w:val="center"/>
              <w:rPr>
                <w:rFonts w:ascii="Calibri" w:hAnsi="Calibri"/>
                <w:sz w:val="18"/>
                <w:szCs w:val="18"/>
              </w:rPr>
            </w:pPr>
          </w:p>
        </w:tc>
        <w:tc>
          <w:tcPr>
            <w:tcW w:w="2010" w:type="dxa"/>
            <w:tcBorders>
              <w:top w:val="single" w:sz="4" w:space="0" w:color="auto"/>
              <w:bottom w:val="single" w:sz="4" w:space="0" w:color="auto"/>
            </w:tcBorders>
            <w:shd w:val="clear" w:color="auto" w:fill="auto"/>
            <w:vAlign w:val="center"/>
          </w:tcPr>
          <w:p w14:paraId="0203FA2D" w14:textId="77777777" w:rsidR="00EB16FD" w:rsidRPr="00AF6261" w:rsidRDefault="00EB16FD" w:rsidP="007F1961">
            <w:pPr>
              <w:jc w:val="center"/>
              <w:rPr>
                <w:rFonts w:ascii="Calibri" w:hAnsi="Calibri"/>
                <w:sz w:val="18"/>
                <w:szCs w:val="18"/>
                <w:lang w:val="en-US"/>
              </w:rPr>
            </w:pPr>
            <w:r w:rsidRPr="00AF6261">
              <w:rPr>
                <w:rFonts w:ascii="Calibri" w:hAnsi="Calibri"/>
                <w:sz w:val="18"/>
                <w:szCs w:val="18"/>
                <w:lang w:val="en-US"/>
              </w:rPr>
              <w:t>No histopathological changes were observed in testes. Normal morphology of Sertoli and Leydig cells, and spermatids.</w:t>
            </w:r>
          </w:p>
        </w:tc>
        <w:tc>
          <w:tcPr>
            <w:tcW w:w="2273" w:type="dxa"/>
            <w:tcBorders>
              <w:top w:val="single" w:sz="4" w:space="0" w:color="auto"/>
              <w:bottom w:val="single" w:sz="4" w:space="0" w:color="auto"/>
            </w:tcBorders>
            <w:vAlign w:val="center"/>
          </w:tcPr>
          <w:p w14:paraId="6DA1324A" w14:textId="77777777" w:rsidR="00EB16FD" w:rsidRPr="003912B8" w:rsidRDefault="00EB16FD" w:rsidP="007F1961">
            <w:pPr>
              <w:jc w:val="center"/>
              <w:rPr>
                <w:rFonts w:ascii="Calibri" w:hAnsi="Calibri"/>
                <w:b/>
                <w:sz w:val="18"/>
                <w:szCs w:val="18"/>
              </w:rPr>
            </w:pPr>
            <w:r>
              <w:rPr>
                <w:rFonts w:ascii="Calibri" w:hAnsi="Calibri"/>
                <w:b/>
                <w:sz w:val="18"/>
                <w:szCs w:val="18"/>
              </w:rPr>
              <w:t>-</w:t>
            </w:r>
          </w:p>
        </w:tc>
        <w:tc>
          <w:tcPr>
            <w:tcW w:w="2386" w:type="dxa"/>
            <w:tcBorders>
              <w:top w:val="single" w:sz="4" w:space="0" w:color="auto"/>
              <w:bottom w:val="single" w:sz="4" w:space="0" w:color="auto"/>
            </w:tcBorders>
            <w:shd w:val="clear" w:color="auto" w:fill="auto"/>
            <w:vAlign w:val="center"/>
          </w:tcPr>
          <w:p w14:paraId="5C132596" w14:textId="77777777" w:rsidR="00EB16FD" w:rsidRPr="00912134" w:rsidRDefault="00EB16FD" w:rsidP="007F1961">
            <w:pPr>
              <w:jc w:val="center"/>
              <w:rPr>
                <w:rFonts w:ascii="Calibri" w:hAnsi="Calibri"/>
                <w:b/>
                <w:color w:val="000000"/>
                <w:sz w:val="18"/>
                <w:szCs w:val="18"/>
              </w:rPr>
            </w:pPr>
            <w:r>
              <w:rPr>
                <w:rFonts w:ascii="Calibri" w:hAnsi="Calibri"/>
                <w:b/>
                <w:color w:val="000000"/>
                <w:sz w:val="18"/>
                <w:szCs w:val="18"/>
              </w:rPr>
              <w:t>-</w:t>
            </w:r>
          </w:p>
        </w:tc>
        <w:tc>
          <w:tcPr>
            <w:tcW w:w="851" w:type="dxa"/>
            <w:vMerge/>
            <w:tcBorders>
              <w:left w:val="nil"/>
              <w:bottom w:val="single" w:sz="4" w:space="0" w:color="auto"/>
              <w:right w:val="single" w:sz="4" w:space="0" w:color="auto"/>
            </w:tcBorders>
            <w:vAlign w:val="center"/>
          </w:tcPr>
          <w:p w14:paraId="6595E134" w14:textId="7777777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912134" w14:paraId="7D6E1A39" w14:textId="77777777" w:rsidTr="007F1961">
        <w:trPr>
          <w:cantSplit/>
          <w:trHeight w:val="1134"/>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4CD91CF0"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lastRenderedPageBreak/>
              <w:t>Size:10-20 nm</w:t>
            </w:r>
          </w:p>
          <w:p w14:paraId="403809B1"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 xml:space="preserve">Shape: Spherical </w:t>
            </w:r>
          </w:p>
          <w:p w14:paraId="40D8915C"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Zeta potential: -15 mV</w:t>
            </w:r>
          </w:p>
        </w:tc>
        <w:tc>
          <w:tcPr>
            <w:tcW w:w="1276" w:type="dxa"/>
            <w:tcBorders>
              <w:top w:val="single" w:sz="4" w:space="0" w:color="auto"/>
              <w:bottom w:val="single" w:sz="4" w:space="0" w:color="auto"/>
            </w:tcBorders>
            <w:shd w:val="clear" w:color="auto" w:fill="auto"/>
            <w:textDirection w:val="btLr"/>
            <w:vAlign w:val="center"/>
          </w:tcPr>
          <w:p w14:paraId="4F4D49E4"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Adult male SD rats, intratracheal instillation</w:t>
            </w:r>
          </w:p>
        </w:tc>
        <w:tc>
          <w:tcPr>
            <w:tcW w:w="1275" w:type="dxa"/>
            <w:tcBorders>
              <w:top w:val="single" w:sz="4" w:space="0" w:color="auto"/>
              <w:bottom w:val="single" w:sz="4" w:space="0" w:color="auto"/>
            </w:tcBorders>
            <w:textDirection w:val="btLr"/>
            <w:vAlign w:val="center"/>
          </w:tcPr>
          <w:p w14:paraId="63189701"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 xml:space="preserve">50 µg/rat single dose, observation at day 7, or 28 </w:t>
            </w:r>
          </w:p>
        </w:tc>
        <w:tc>
          <w:tcPr>
            <w:tcW w:w="1668" w:type="dxa"/>
            <w:tcBorders>
              <w:top w:val="single" w:sz="4" w:space="0" w:color="auto"/>
              <w:bottom w:val="single" w:sz="4" w:space="0" w:color="auto"/>
            </w:tcBorders>
            <w:shd w:val="clear" w:color="auto" w:fill="auto"/>
            <w:vAlign w:val="center"/>
          </w:tcPr>
          <w:p w14:paraId="4165DFC6" w14:textId="77777777" w:rsidR="00EB16FD" w:rsidRPr="003912B8" w:rsidRDefault="00EB16FD" w:rsidP="007F1961">
            <w:pPr>
              <w:jc w:val="center"/>
              <w:rPr>
                <w:rFonts w:cstheme="minorHAnsi"/>
                <w:sz w:val="18"/>
                <w:szCs w:val="18"/>
              </w:rPr>
            </w:pPr>
            <w:r w:rsidRPr="003912B8">
              <w:rPr>
                <w:rFonts w:cstheme="minorHAnsi"/>
                <w:sz w:val="18"/>
                <w:szCs w:val="18"/>
              </w:rPr>
              <w:t>Oxidative stress in testes</w:t>
            </w:r>
          </w:p>
        </w:tc>
        <w:tc>
          <w:tcPr>
            <w:tcW w:w="1703" w:type="dxa"/>
            <w:tcBorders>
              <w:top w:val="single" w:sz="4" w:space="0" w:color="auto"/>
              <w:bottom w:val="single" w:sz="4" w:space="0" w:color="auto"/>
            </w:tcBorders>
            <w:shd w:val="clear" w:color="auto" w:fill="auto"/>
            <w:vAlign w:val="center"/>
          </w:tcPr>
          <w:p w14:paraId="7C4683AC" w14:textId="77777777" w:rsidR="00EB16FD" w:rsidRPr="00AF6261" w:rsidRDefault="00EB16FD" w:rsidP="007F1961">
            <w:pPr>
              <w:jc w:val="center"/>
              <w:rPr>
                <w:rFonts w:cstheme="minorHAnsi"/>
                <w:sz w:val="18"/>
                <w:szCs w:val="18"/>
                <w:lang w:val="en-US"/>
              </w:rPr>
            </w:pPr>
            <w:r w:rsidRPr="00AF6261">
              <w:rPr>
                <w:rFonts w:cstheme="minorHAnsi"/>
                <w:sz w:val="18"/>
                <w:szCs w:val="18"/>
                <w:lang w:val="en-US"/>
              </w:rPr>
              <w:t>Oxidative stress-related genes (</w:t>
            </w:r>
            <w:r w:rsidRPr="00AF6261">
              <w:rPr>
                <w:rFonts w:cstheme="minorHAnsi"/>
                <w:i/>
                <w:iCs/>
                <w:sz w:val="18"/>
                <w:szCs w:val="18"/>
                <w:lang w:val="en-US"/>
              </w:rPr>
              <w:t xml:space="preserve">Gpx1, SOD, FMO2 </w:t>
            </w:r>
            <w:r w:rsidRPr="00AF6261">
              <w:rPr>
                <w:rFonts w:cstheme="minorHAnsi"/>
                <w:sz w:val="18"/>
                <w:szCs w:val="18"/>
                <w:lang w:val="en-US"/>
              </w:rPr>
              <w:t xml:space="preserve">and </w:t>
            </w:r>
            <w:r w:rsidRPr="00AF6261">
              <w:rPr>
                <w:rFonts w:cstheme="minorHAnsi"/>
                <w:i/>
                <w:iCs/>
                <w:sz w:val="18"/>
                <w:szCs w:val="18"/>
                <w:lang w:val="en-US"/>
              </w:rPr>
              <w:t>GAPDH)</w:t>
            </w:r>
            <w:r w:rsidRPr="00AF6261">
              <w:rPr>
                <w:rFonts w:cstheme="minorHAnsi"/>
                <w:sz w:val="18"/>
                <w:szCs w:val="18"/>
                <w:lang w:val="en-US"/>
              </w:rPr>
              <w:t>, metal toxicity (</w:t>
            </w:r>
            <w:r w:rsidRPr="00AF6261">
              <w:rPr>
                <w:rFonts w:cstheme="minorHAnsi"/>
                <w:i/>
                <w:iCs/>
                <w:sz w:val="18"/>
                <w:szCs w:val="18"/>
                <w:lang w:val="en-US"/>
              </w:rPr>
              <w:t>Mt1</w:t>
            </w:r>
            <w:r w:rsidRPr="00AF6261">
              <w:rPr>
                <w:rFonts w:cstheme="minorHAnsi"/>
                <w:sz w:val="18"/>
                <w:szCs w:val="18"/>
                <w:lang w:val="en-US"/>
              </w:rPr>
              <w:t>), apoptosis/cell cycle (</w:t>
            </w:r>
            <w:r w:rsidRPr="00AF6261">
              <w:rPr>
                <w:rFonts w:cstheme="minorHAnsi"/>
                <w:i/>
                <w:iCs/>
                <w:sz w:val="18"/>
                <w:szCs w:val="18"/>
                <w:lang w:val="en-US"/>
              </w:rPr>
              <w:t>casp3</w:t>
            </w:r>
            <w:r w:rsidRPr="00AF6261">
              <w:rPr>
                <w:rFonts w:cstheme="minorHAnsi"/>
                <w:sz w:val="18"/>
                <w:szCs w:val="18"/>
                <w:lang w:val="en-US"/>
              </w:rPr>
              <w:t xml:space="preserve">, </w:t>
            </w:r>
            <w:r w:rsidRPr="00AF6261">
              <w:rPr>
                <w:rFonts w:cstheme="minorHAnsi"/>
                <w:i/>
                <w:iCs/>
                <w:sz w:val="18"/>
                <w:szCs w:val="18"/>
                <w:lang w:val="en-US"/>
              </w:rPr>
              <w:t>p53</w:t>
            </w:r>
            <w:r w:rsidRPr="00AF6261">
              <w:rPr>
                <w:rFonts w:cstheme="minorHAnsi"/>
                <w:sz w:val="18"/>
                <w:szCs w:val="18"/>
                <w:lang w:val="en-US"/>
              </w:rPr>
              <w:t>), and protein-folding processes (</w:t>
            </w:r>
            <w:r w:rsidRPr="00AF6261">
              <w:rPr>
                <w:rFonts w:cstheme="minorHAnsi"/>
                <w:i/>
                <w:iCs/>
                <w:sz w:val="18"/>
                <w:szCs w:val="18"/>
                <w:lang w:val="en-US"/>
              </w:rPr>
              <w:t>Hsp70</w:t>
            </w:r>
            <w:r w:rsidRPr="00AF6261">
              <w:rPr>
                <w:rFonts w:cstheme="minorHAnsi"/>
                <w:sz w:val="18"/>
                <w:szCs w:val="18"/>
                <w:lang w:val="en-US"/>
              </w:rPr>
              <w:t>)</w:t>
            </w:r>
          </w:p>
        </w:tc>
        <w:tc>
          <w:tcPr>
            <w:tcW w:w="2010" w:type="dxa"/>
            <w:tcBorders>
              <w:top w:val="single" w:sz="4" w:space="0" w:color="auto"/>
              <w:bottom w:val="single" w:sz="4" w:space="0" w:color="auto"/>
            </w:tcBorders>
            <w:shd w:val="clear" w:color="auto" w:fill="auto"/>
            <w:vAlign w:val="center"/>
          </w:tcPr>
          <w:p w14:paraId="38364809" w14:textId="77777777" w:rsidR="00EB16FD" w:rsidRPr="00AF6261" w:rsidRDefault="00EB16FD" w:rsidP="007F1961">
            <w:pPr>
              <w:jc w:val="center"/>
              <w:rPr>
                <w:rFonts w:cstheme="minorHAnsi"/>
                <w:sz w:val="18"/>
                <w:szCs w:val="18"/>
                <w:lang w:val="en-US"/>
              </w:rPr>
            </w:pPr>
            <w:r w:rsidRPr="00AF6261">
              <w:rPr>
                <w:rFonts w:cstheme="minorHAnsi"/>
                <w:sz w:val="18"/>
                <w:szCs w:val="18"/>
                <w:lang w:val="en-US"/>
              </w:rPr>
              <w:t>Increased expression of genes involved in oxidative stress (GPX1, SOD, FMO2, and GAPDH) in testes on day 7, but not day 28</w:t>
            </w:r>
          </w:p>
        </w:tc>
        <w:tc>
          <w:tcPr>
            <w:tcW w:w="2273" w:type="dxa"/>
            <w:tcBorders>
              <w:top w:val="single" w:sz="4" w:space="0" w:color="auto"/>
              <w:bottom w:val="single" w:sz="4" w:space="0" w:color="auto"/>
            </w:tcBorders>
            <w:vAlign w:val="center"/>
          </w:tcPr>
          <w:p w14:paraId="15764023" w14:textId="77777777" w:rsidR="00EB16FD" w:rsidRPr="003912B8" w:rsidRDefault="00EB16FD" w:rsidP="007F1961">
            <w:pPr>
              <w:jc w:val="center"/>
              <w:rPr>
                <w:rFonts w:ascii="Calibri" w:hAnsi="Calibri" w:cstheme="minorHAnsi"/>
                <w:b/>
                <w:sz w:val="18"/>
                <w:szCs w:val="18"/>
              </w:rPr>
            </w:pPr>
            <w:r>
              <w:rPr>
                <w:rFonts w:ascii="Calibri" w:hAnsi="Calibri" w:cstheme="minorHAnsi"/>
                <w:b/>
                <w:sz w:val="18"/>
                <w:szCs w:val="18"/>
              </w:rPr>
              <w:t>-</w:t>
            </w:r>
          </w:p>
        </w:tc>
        <w:tc>
          <w:tcPr>
            <w:tcW w:w="2386" w:type="dxa"/>
            <w:tcBorders>
              <w:top w:val="single" w:sz="4" w:space="0" w:color="auto"/>
              <w:bottom w:val="single" w:sz="4" w:space="0" w:color="auto"/>
            </w:tcBorders>
            <w:shd w:val="clear" w:color="auto" w:fill="auto"/>
            <w:vAlign w:val="center"/>
          </w:tcPr>
          <w:p w14:paraId="74874166" w14:textId="77777777" w:rsidR="00EB16FD" w:rsidRPr="00912134" w:rsidRDefault="00EB16FD" w:rsidP="007F1961">
            <w:pPr>
              <w:jc w:val="center"/>
              <w:rPr>
                <w:rFonts w:ascii="Calibri" w:hAnsi="Calibri" w:cstheme="minorHAnsi"/>
                <w:b/>
                <w:color w:val="000000"/>
                <w:sz w:val="18"/>
                <w:szCs w:val="18"/>
              </w:rPr>
            </w:pPr>
            <w:r>
              <w:rPr>
                <w:rFonts w:ascii="Calibri" w:hAnsi="Calibri" w:cstheme="minorHAnsi"/>
                <w:b/>
                <w:color w:val="FF0000"/>
                <w:sz w:val="18"/>
                <w:szCs w:val="18"/>
              </w:rPr>
              <w:t>-</w:t>
            </w:r>
          </w:p>
        </w:tc>
        <w:tc>
          <w:tcPr>
            <w:tcW w:w="851" w:type="dxa"/>
            <w:tcBorders>
              <w:top w:val="single" w:sz="4" w:space="0" w:color="auto"/>
              <w:left w:val="nil"/>
              <w:bottom w:val="single" w:sz="4" w:space="0" w:color="auto"/>
              <w:right w:val="single" w:sz="4" w:space="0" w:color="auto"/>
            </w:tcBorders>
            <w:vAlign w:val="center"/>
          </w:tcPr>
          <w:p w14:paraId="03E4D939" w14:textId="3DD394A7" w:rsidR="00EB16FD" w:rsidRPr="00912134" w:rsidRDefault="00EB16FD" w:rsidP="007F3FC3">
            <w:pPr>
              <w:spacing w:after="0" w:line="240" w:lineRule="auto"/>
              <w:jc w:val="center"/>
              <w:rPr>
                <w:rFonts w:ascii="Calibri" w:eastAsia="Times New Roman" w:hAnsi="Calibri" w:cstheme="minorHAnsi"/>
                <w:color w:val="000000"/>
                <w:sz w:val="18"/>
                <w:szCs w:val="18"/>
                <w:lang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{"citationItems":[{"id":"ITEM-1","itemData":{"DOI":"10.4172/2157-7439.1000227","abstract":"The expression profile of genes involved in oxidative stress, metal toxicity, apoptosis/cell cycle, and protein folding was investigated in liver and testis of Sprague-Dawley rats at different time intervals after i.t. instillation of AgNP (20 nm, 50 μg/rat). At 7 days, selective changes in the expression of genes encoding oxidative stress-related enzymes, namely Gpx1, SOD, FMO2 and GAPDH were observed in hepatic and testicular tissues. Other genes implicated in oxidative stress (Txnrd1, Gss, Gsr), metal toxicity (Mt1), apoptosis/cell cycle (casp3, p53), and protein-folding processes (Hsp70) were not modified. Gene expression was modulated by AgNPs in a tissue- and time-dependent manner. In particular, SOD was up-regulated in both tissues, but significant Gpx1, FMO2, and GAPDH overexpression was seen in testes only. No gene expression changes were seen in both tissues 28 days post-instillation. Unlike AgNPs, pulmonary treatment with AgNO3 (7 μg/rat), did not cause gene expression changes in both tissues at both time points studied, suggesting that dissimilar mechanisms are implicated in toxicity and/or biokinetics of nanoparticulate and ionic silver. The results demonstrate subtle systemic changes involving selected oxidative stress-related genes in the liver and testis of animals exposed by pulmonary route to a low dose of AgNPs. These effects were apparently reversible as changes were observed at day 7 but not day 28. Recovery could possibly reflect either compensatory mechanism contrasting the initial toxicogenomic response to AgNPs or the silver removal from the tested organs. These findings may be of toxicological relevance in relation to possible health risks associated with occupational or consumer exposure to nanosilver.","author":[{"dropping-particle":"","family":"Coccini","given":"Teresa","non-dropping-particle":"","parse-names":false,"suffix":""}],"container-title":"Journal of Nanomedicine &amp; Nanotechnology","id":"ITEM-1","issue":"05","issued":{"date-parts":[["2014"]]},"title":"Gene Expression Changes in Rat Liver and Testes after Lung Instillation of a Low Dose of Silver Nanoparticles","type":"article-journal","volume":"05"},"uris":["http://www.mendeley.com/documents/?uuid=3061aa48-6c4d-468e-919c-b2b5af9a5517"]}],"mendeley":{"formattedCitation":"(35)","plainTextFormattedCitation":"(35)","previouslyFormattedCitation":"(Coccini 2014)"},"properties":{"noteIndex":0},"schema":"https://github.com/citation-style-language/schema/raw/master/csl-citation.json"}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(35)</w:t>
            </w:r>
            <w:r w:rsidRPr="00912134">
              <w:rPr>
                <w:rFonts w:ascii="Calibri" w:eastAsia="Times New Roman" w:hAnsi="Calibri" w:cstheme="minorHAnsi"/>
                <w:color w:val="000000"/>
                <w:sz w:val="18"/>
                <w:szCs w:val="18"/>
                <w:lang w:eastAsia="fr-FR"/>
              </w:rPr>
              <w:fldChar w:fldCharType="end"/>
            </w:r>
          </w:p>
        </w:tc>
      </w:tr>
      <w:tr w:rsidR="00EB16FD" w:rsidRPr="00DC5D76" w14:paraId="6A950E72" w14:textId="77777777" w:rsidTr="007F1961">
        <w:trPr>
          <w:trHeight w:val="195"/>
        </w:trPr>
        <w:tc>
          <w:tcPr>
            <w:tcW w:w="1408" w:type="dxa"/>
            <w:vMerge w:val="restart"/>
            <w:tcBorders>
              <w:top w:val="single" w:sz="4" w:space="0" w:color="auto"/>
              <w:left w:val="single" w:sz="4" w:space="0" w:color="auto"/>
            </w:tcBorders>
            <w:shd w:val="clear" w:color="auto" w:fill="auto"/>
            <w:textDirection w:val="btLr"/>
            <w:vAlign w:val="center"/>
          </w:tcPr>
          <w:p w14:paraId="03F0F798" w14:textId="77777777" w:rsidR="00EB16FD" w:rsidRPr="009870F6" w:rsidRDefault="00EB16FD" w:rsidP="00EB16FD">
            <w:pPr>
              <w:ind w:left="113" w:right="113"/>
              <w:jc w:val="center"/>
              <w:rPr>
                <w:rFonts w:cstheme="minorHAnsi"/>
                <w:color w:val="000000"/>
                <w:sz w:val="18"/>
                <w:szCs w:val="18"/>
              </w:rPr>
            </w:pPr>
            <w:r w:rsidRPr="009870F6">
              <w:rPr>
                <w:rFonts w:cstheme="minorHAnsi"/>
                <w:color w:val="000000"/>
                <w:sz w:val="18"/>
                <w:szCs w:val="18"/>
              </w:rPr>
              <w:t>Size:70 nm</w:t>
            </w:r>
          </w:p>
        </w:tc>
        <w:tc>
          <w:tcPr>
            <w:tcW w:w="1276" w:type="dxa"/>
            <w:vMerge w:val="restart"/>
            <w:tcBorders>
              <w:top w:val="single" w:sz="4" w:space="0" w:color="auto"/>
            </w:tcBorders>
            <w:shd w:val="clear" w:color="auto" w:fill="auto"/>
            <w:textDirection w:val="btLr"/>
            <w:vAlign w:val="center"/>
          </w:tcPr>
          <w:p w14:paraId="4E57317F"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Male Wistar rats, Oral gavage</w:t>
            </w:r>
          </w:p>
        </w:tc>
        <w:tc>
          <w:tcPr>
            <w:tcW w:w="1275" w:type="dxa"/>
            <w:vMerge w:val="restart"/>
            <w:tcBorders>
              <w:top w:val="single" w:sz="4" w:space="0" w:color="auto"/>
            </w:tcBorders>
            <w:textDirection w:val="btLr"/>
            <w:vAlign w:val="center"/>
          </w:tcPr>
          <w:p w14:paraId="0212C695"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25, 50, 100, or200 mg/kg/day 48 days (every 12 h)</w:t>
            </w:r>
          </w:p>
        </w:tc>
        <w:tc>
          <w:tcPr>
            <w:tcW w:w="1668" w:type="dxa"/>
            <w:tcBorders>
              <w:top w:val="single" w:sz="4" w:space="0" w:color="auto"/>
              <w:bottom w:val="single" w:sz="4" w:space="0" w:color="auto"/>
            </w:tcBorders>
            <w:shd w:val="clear" w:color="auto" w:fill="auto"/>
            <w:vAlign w:val="center"/>
          </w:tcPr>
          <w:p w14:paraId="2558F5C2" w14:textId="77777777" w:rsidR="00EB16FD" w:rsidRPr="009870F6" w:rsidRDefault="00EB16FD" w:rsidP="007F1961">
            <w:pPr>
              <w:jc w:val="center"/>
              <w:rPr>
                <w:rFonts w:cstheme="minorHAnsi"/>
                <w:color w:val="000000"/>
                <w:sz w:val="18"/>
                <w:szCs w:val="18"/>
              </w:rPr>
            </w:pPr>
            <w:r w:rsidRPr="009870F6">
              <w:rPr>
                <w:rFonts w:cstheme="minorHAnsi"/>
                <w:color w:val="000000"/>
                <w:sz w:val="18"/>
                <w:szCs w:val="18"/>
              </w:rPr>
              <w:t>Sperm evaluation</w:t>
            </w:r>
          </w:p>
        </w:tc>
        <w:tc>
          <w:tcPr>
            <w:tcW w:w="1703" w:type="dxa"/>
            <w:tcBorders>
              <w:top w:val="single" w:sz="4" w:space="0" w:color="auto"/>
              <w:bottom w:val="single" w:sz="4" w:space="0" w:color="auto"/>
            </w:tcBorders>
            <w:shd w:val="clear" w:color="auto" w:fill="auto"/>
            <w:vAlign w:val="center"/>
          </w:tcPr>
          <w:p w14:paraId="60D8CCB9"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Morphology, count and acrosome reaction,</w:t>
            </w:r>
          </w:p>
        </w:tc>
        <w:tc>
          <w:tcPr>
            <w:tcW w:w="2010" w:type="dxa"/>
            <w:tcBorders>
              <w:top w:val="single" w:sz="4" w:space="0" w:color="auto"/>
              <w:bottom w:val="single" w:sz="4" w:space="0" w:color="auto"/>
            </w:tcBorders>
            <w:shd w:val="clear" w:color="auto" w:fill="auto"/>
            <w:vAlign w:val="center"/>
          </w:tcPr>
          <w:p w14:paraId="7832BD5B"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Abnormal morphology, Decreased sperm count, impaired acrosome reaction</w:t>
            </w:r>
          </w:p>
        </w:tc>
        <w:tc>
          <w:tcPr>
            <w:tcW w:w="2273" w:type="dxa"/>
            <w:tcBorders>
              <w:top w:val="single" w:sz="4" w:space="0" w:color="auto"/>
              <w:bottom w:val="single" w:sz="4" w:space="0" w:color="auto"/>
            </w:tcBorders>
            <w:vAlign w:val="center"/>
          </w:tcPr>
          <w:p w14:paraId="4D973854"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3D58DA7D"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Impaired fertility</w:t>
            </w:r>
          </w:p>
          <w:p w14:paraId="14C2BD70" w14:textId="77777777" w:rsidR="00EB16FD" w:rsidRPr="000270BA" w:rsidRDefault="00EB16FD" w:rsidP="007F1961">
            <w:pPr>
              <w:spacing w:after="0" w:line="240" w:lineRule="auto"/>
              <w:jc w:val="center"/>
              <w:rPr>
                <w:rFonts w:eastAsia="Times New Roman" w:cstheme="minorHAnsi"/>
                <w:sz w:val="18"/>
                <w:szCs w:val="18"/>
                <w:lang w:eastAsia="fr-FR"/>
              </w:rPr>
            </w:pPr>
            <w:r w:rsidRPr="000270BA">
              <w:rPr>
                <w:rFonts w:eastAsia="Times New Roman" w:cstheme="minorHAnsi"/>
                <w:sz w:val="18"/>
                <w:szCs w:val="18"/>
                <w:lang w:eastAsia="fr-FR"/>
              </w:rPr>
              <w:t>(ID330 , ID406)</w:t>
            </w:r>
          </w:p>
        </w:tc>
        <w:tc>
          <w:tcPr>
            <w:tcW w:w="851" w:type="dxa"/>
            <w:vMerge w:val="restart"/>
            <w:tcBorders>
              <w:top w:val="single" w:sz="4" w:space="0" w:color="auto"/>
              <w:left w:val="nil"/>
              <w:right w:val="single" w:sz="4" w:space="0" w:color="auto"/>
            </w:tcBorders>
            <w:vAlign w:val="center"/>
          </w:tcPr>
          <w:p w14:paraId="0DEA24DE" w14:textId="21D29ED2"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sidRPr="00912134">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{"citationItems":[{"id":"ITEM-1","itemData":{"ISBN":"3518247085","ISSN":"20082177","abstract":"Background: Nanoparticles have wide range of application while there are some reports regarding their probable effects on male reproductive system and spermatozoa. Objective: The aim of this study was to evaluate the effect of different doses of silver nanoparticles (AgNPs) (70nm) on acrosome of rat spermatozoa and number of spermatogenic cells. Materials and Methods: In this experimental study, in experimental group, 32 male wistar rats (8 rats/group) received oral feeding AgNPs every 12 hr in one spermatogenesis period (48 days) by means of gavages in 25, 50, 100 and 200 mg/kg concentration (experimental groups 1-4, respectively). The control group (8 rats) was treated on schedule with distilled water. Spermatozoa were stained by triple staining protocol for acrosome reaction. Histological evaluation on testis sections was performed using tissue processing and hematoxylin-eosin (H&amp;E) staining. Results: There was significant difference between the control group and the experimental group 1 for acrosome reaction (11.00±0.00 and 24.25±3.68, respectively, p=0.01). There was only significant reduction in spermatogonia cells in experimental group 4. Experimental groups 2, 3 and 4 showed a significant reduction in the number of primary spermatocytes and spermatids as well as spermatozoa. But there were no significant differences between different groups for Sertoli cell number and seminiferous tubule diameter. Conclusion: It seems that Ag NPs have acute and significant effects on spermatogenesis and number of spermatogenic cells and also on acrosome reaction in sperm cells. More experimental investiga</w:instrText>
            </w:r>
            <w:r w:rsidR="007F3FC3" w:rsidRPr="00AF6261">
              <w:rPr>
                <w:rFonts w:ascii="Calibri" w:eastAsia="Times New Roman" w:hAnsi="Calibri" w:cstheme="minorHAnsi"/>
                <w:color w:val="000000"/>
                <w:sz w:val="18"/>
                <w:szCs w:val="18"/>
                <w:lang w:val="en-US" w:eastAsia="fr-FR"/>
              </w:rPr>
              <w:instrText>tions are necessary to elucidate better conclusion regarding the safety of nanoparticles on male reproduction system.","author":[{"dropping-particle":"","family":"Miresmaeili","given":"Sayyed Mohsen","non-dropping-particle":"","parse-names":false,"suffix":""},{"dropping-particle":"","family":"Halvaei","given":"Iman","non-dropping-particle":"","parse-names":false,"suffix":""},{"dropping-particle":"","family":"Fesahat","given":"Farzaneh","non-dropping-particle":"","parse-names":false,"suffix":""},{"dropping-particle":"","family":"Fallah","given":"Asghar","non-dropping-particle":"","parse-names":false,"suffix":""},{"dropping-particle":"","family":"Nikonahad","given":"Narges","non-dropping-particle":"","parse-names":false,"suffix":""},{"dropping-particle":"","family":"Taherinejad","given":"Mohaddeseh","non-dropping-particle":"","parse-names":false,"suffix":""}],"container-title":"Iranian Journal of Reproductive Medicine","id":"ITEM-1","issue":"5","issued":{"date-parts":[["2013"]]},"page":"423-430","title":"Evaluating the role of silver nanoparticles on acrosomal reaction and spermatogenic cells in rat","type":"article-journal","volume":"11"},"uris":["http://www.mendeley.com/documents/?uuid=9da574e1-ef28-4265-b630-b8e1a47303fc"]}],"mendeley":{"formattedCitation":"(36)","plainTextFormattedCitation":"(36)","previouslyFormattedCitation":"(Miresmaeili et al. 2013)"},"properties":{"noteIndex":0},"schema":"https://github.com/citation-style-language/schema/raw/master/csl-citation.json"}</w:instrText>
            </w:r>
            <w:r w:rsidRPr="00912134">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(36)</w:t>
            </w:r>
            <w:r w:rsidRPr="00912134">
              <w:rPr>
                <w:rFonts w:ascii="Calibri" w:eastAsia="Times New Roman" w:hAnsi="Calibri" w:cstheme="minorHAnsi"/>
                <w:color w:val="000000"/>
                <w:sz w:val="18"/>
                <w:szCs w:val="18"/>
                <w:lang w:eastAsia="fr-FR"/>
              </w:rPr>
              <w:fldChar w:fldCharType="end"/>
            </w:r>
          </w:p>
        </w:tc>
      </w:tr>
      <w:tr w:rsidR="00EB16FD" w:rsidRPr="00DC5D76" w14:paraId="5CC192CB"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73581549" w14:textId="77777777" w:rsidR="00EB16FD" w:rsidRPr="00AF6261" w:rsidRDefault="00EB16FD" w:rsidP="00EB16FD">
            <w:pPr>
              <w:ind w:left="113" w:right="113"/>
              <w:jc w:val="center"/>
              <w:rPr>
                <w:rFonts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1535849D" w14:textId="77777777" w:rsidR="00EB16FD" w:rsidRPr="00AF6261" w:rsidRDefault="00EB16FD" w:rsidP="00EB16FD">
            <w:pPr>
              <w:ind w:left="113" w:right="113"/>
              <w:jc w:val="center"/>
              <w:rPr>
                <w:rFonts w:cstheme="minorHAnsi"/>
                <w:sz w:val="18"/>
                <w:szCs w:val="18"/>
                <w:lang w:val="en-US"/>
              </w:rPr>
            </w:pPr>
          </w:p>
        </w:tc>
        <w:tc>
          <w:tcPr>
            <w:tcW w:w="1275" w:type="dxa"/>
            <w:vMerge/>
            <w:tcBorders>
              <w:bottom w:val="single" w:sz="4" w:space="0" w:color="auto"/>
            </w:tcBorders>
            <w:textDirection w:val="btLr"/>
            <w:vAlign w:val="center"/>
          </w:tcPr>
          <w:p w14:paraId="412D2E83" w14:textId="77777777" w:rsidR="00EB16FD" w:rsidRPr="00AF6261" w:rsidRDefault="00EB16FD" w:rsidP="00EB16FD">
            <w:pPr>
              <w:ind w:left="113" w:right="113"/>
              <w:jc w:val="center"/>
              <w:rPr>
                <w:rFonts w:cstheme="minorHAnsi"/>
                <w:sz w:val="18"/>
                <w:szCs w:val="18"/>
                <w:lang w:val="en-US"/>
              </w:rPr>
            </w:pPr>
          </w:p>
        </w:tc>
        <w:tc>
          <w:tcPr>
            <w:tcW w:w="1668" w:type="dxa"/>
            <w:tcBorders>
              <w:top w:val="single" w:sz="4" w:space="0" w:color="auto"/>
              <w:bottom w:val="single" w:sz="4" w:space="0" w:color="auto"/>
            </w:tcBorders>
            <w:shd w:val="clear" w:color="auto" w:fill="auto"/>
            <w:vAlign w:val="center"/>
          </w:tcPr>
          <w:p w14:paraId="7D5E2942"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Histological assessment</w:t>
            </w:r>
          </w:p>
        </w:tc>
        <w:tc>
          <w:tcPr>
            <w:tcW w:w="1703" w:type="dxa"/>
            <w:tcBorders>
              <w:top w:val="single" w:sz="4" w:space="0" w:color="auto"/>
              <w:bottom w:val="single" w:sz="4" w:space="0" w:color="auto"/>
            </w:tcBorders>
            <w:shd w:val="clear" w:color="auto" w:fill="auto"/>
            <w:vAlign w:val="center"/>
          </w:tcPr>
          <w:p w14:paraId="2061C8BB"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Testes parameters</w:t>
            </w:r>
          </w:p>
        </w:tc>
        <w:tc>
          <w:tcPr>
            <w:tcW w:w="2010" w:type="dxa"/>
            <w:tcBorders>
              <w:top w:val="single" w:sz="4" w:space="0" w:color="auto"/>
              <w:bottom w:val="single" w:sz="4" w:space="0" w:color="auto"/>
            </w:tcBorders>
            <w:shd w:val="clear" w:color="auto" w:fill="auto"/>
            <w:vAlign w:val="center"/>
          </w:tcPr>
          <w:p w14:paraId="625E7C3B"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Damaged testis tubules</w:t>
            </w:r>
          </w:p>
        </w:tc>
        <w:tc>
          <w:tcPr>
            <w:tcW w:w="2273" w:type="dxa"/>
            <w:tcBorders>
              <w:top w:val="single" w:sz="4" w:space="0" w:color="auto"/>
              <w:bottom w:val="single" w:sz="4" w:space="0" w:color="auto"/>
            </w:tcBorders>
            <w:vAlign w:val="center"/>
          </w:tcPr>
          <w:p w14:paraId="5DD0DC84"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30A8A22D"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(ID1506)</w:t>
            </w:r>
          </w:p>
        </w:tc>
        <w:tc>
          <w:tcPr>
            <w:tcW w:w="2386" w:type="dxa"/>
            <w:tcBorders>
              <w:top w:val="single" w:sz="4" w:space="0" w:color="auto"/>
              <w:bottom w:val="single" w:sz="4" w:space="0" w:color="auto"/>
            </w:tcBorders>
            <w:shd w:val="clear" w:color="auto" w:fill="auto"/>
            <w:vAlign w:val="center"/>
          </w:tcPr>
          <w:p w14:paraId="5062533E"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Male reproductive tract malformations  (ID348)</w:t>
            </w:r>
          </w:p>
          <w:p w14:paraId="67204285" w14:textId="77777777" w:rsidR="00EB16FD" w:rsidRPr="000270BA" w:rsidRDefault="00EB16FD" w:rsidP="007F1961">
            <w:pPr>
              <w:spacing w:after="0" w:line="240" w:lineRule="auto"/>
              <w:jc w:val="center"/>
              <w:rPr>
                <w:rFonts w:eastAsia="Times New Roman" w:cstheme="minorHAnsi"/>
                <w:sz w:val="18"/>
                <w:szCs w:val="18"/>
                <w:lang w:val="en-US" w:eastAsia="fr-FR"/>
              </w:rPr>
            </w:pPr>
            <w:r w:rsidRPr="000270BA">
              <w:rPr>
                <w:rFonts w:eastAsia="Times New Roman" w:cstheme="minorHAnsi"/>
                <w:sz w:val="18"/>
                <w:szCs w:val="18"/>
                <w:lang w:val="en-US" w:eastAsia="fr-FR"/>
              </w:rPr>
              <w:t>Reduced, Reproductive Success (ID675)</w:t>
            </w:r>
          </w:p>
        </w:tc>
        <w:tc>
          <w:tcPr>
            <w:tcW w:w="851" w:type="dxa"/>
            <w:vMerge/>
            <w:tcBorders>
              <w:left w:val="nil"/>
              <w:bottom w:val="single" w:sz="4" w:space="0" w:color="auto"/>
              <w:right w:val="single" w:sz="4" w:space="0" w:color="auto"/>
            </w:tcBorders>
          </w:tcPr>
          <w:p w14:paraId="5BA4CFB7" w14:textId="77777777"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p>
        </w:tc>
      </w:tr>
      <w:tr w:rsidR="00EB16FD" w:rsidRPr="00AF6261" w14:paraId="7C95230F" w14:textId="77777777" w:rsidTr="007F1961">
        <w:trPr>
          <w:trHeight w:val="195"/>
        </w:trPr>
        <w:tc>
          <w:tcPr>
            <w:tcW w:w="1408" w:type="dxa"/>
            <w:vMerge w:val="restart"/>
            <w:tcBorders>
              <w:left w:val="single" w:sz="4" w:space="0" w:color="auto"/>
            </w:tcBorders>
            <w:shd w:val="clear" w:color="auto" w:fill="auto"/>
            <w:textDirection w:val="btLr"/>
            <w:vAlign w:val="center"/>
          </w:tcPr>
          <w:p w14:paraId="0929647E" w14:textId="7777777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Size: 60 nm</w:t>
            </w:r>
          </w:p>
          <w:p w14:paraId="1400FB16" w14:textId="77777777" w:rsidR="00EB16FD" w:rsidRPr="00AF6261" w:rsidRDefault="00EB16FD" w:rsidP="00EB16FD">
            <w:pPr>
              <w:ind w:left="113" w:right="113"/>
              <w:jc w:val="center"/>
              <w:rPr>
                <w:rFonts w:cstheme="minorHAnsi"/>
                <w:color w:val="000000"/>
                <w:sz w:val="18"/>
                <w:szCs w:val="18"/>
                <w:lang w:val="en-US"/>
              </w:rPr>
            </w:pPr>
          </w:p>
        </w:tc>
        <w:tc>
          <w:tcPr>
            <w:tcW w:w="1276" w:type="dxa"/>
            <w:vMerge w:val="restart"/>
            <w:shd w:val="clear" w:color="auto" w:fill="auto"/>
            <w:textDirection w:val="btLr"/>
            <w:vAlign w:val="center"/>
          </w:tcPr>
          <w:p w14:paraId="04AD2F25" w14:textId="7777777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Thirty newly weaned male Wistar rats</w:t>
            </w:r>
          </w:p>
          <w:p w14:paraId="02F6621B" w14:textId="7777777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Oral gavage</w:t>
            </w:r>
          </w:p>
        </w:tc>
        <w:tc>
          <w:tcPr>
            <w:tcW w:w="1275" w:type="dxa"/>
            <w:vMerge w:val="restart"/>
            <w:textDirection w:val="btLr"/>
            <w:vAlign w:val="center"/>
          </w:tcPr>
          <w:p w14:paraId="411E5A1C" w14:textId="77777777" w:rsidR="00EB16FD" w:rsidRPr="00AF6261" w:rsidRDefault="00EB16FD" w:rsidP="00EB16FD">
            <w:pPr>
              <w:ind w:left="113" w:right="113"/>
              <w:jc w:val="center"/>
              <w:rPr>
                <w:rFonts w:cstheme="minorHAnsi"/>
                <w:color w:val="231F20"/>
                <w:sz w:val="18"/>
                <w:szCs w:val="18"/>
                <w:lang w:val="en-US"/>
              </w:rPr>
            </w:pPr>
            <w:r w:rsidRPr="00AF6261">
              <w:rPr>
                <w:rFonts w:cstheme="minorHAnsi"/>
                <w:color w:val="231F20"/>
                <w:sz w:val="18"/>
                <w:szCs w:val="18"/>
                <w:lang w:val="en-US"/>
              </w:rPr>
              <w:t>PND53 until PND90</w:t>
            </w:r>
          </w:p>
          <w:p w14:paraId="4473B5C5" w14:textId="77777777" w:rsidR="00EB16FD" w:rsidRPr="00AF6261" w:rsidRDefault="00EB16FD" w:rsidP="00EB16FD">
            <w:pPr>
              <w:ind w:left="113" w:right="113"/>
              <w:jc w:val="center"/>
              <w:rPr>
                <w:rFonts w:cstheme="minorHAnsi"/>
                <w:sz w:val="18"/>
                <w:szCs w:val="18"/>
                <w:lang w:val="en-US"/>
              </w:rPr>
            </w:pPr>
            <w:r w:rsidRPr="00AF6261">
              <w:rPr>
                <w:rFonts w:cstheme="minorHAnsi"/>
                <w:color w:val="231F20"/>
                <w:sz w:val="18"/>
                <w:szCs w:val="18"/>
                <w:lang w:val="en-US"/>
              </w:rPr>
              <w:t xml:space="preserve">15, or 50 </w:t>
            </w:r>
            <w:r w:rsidRPr="009870F6">
              <w:rPr>
                <w:rFonts w:cstheme="minorHAnsi"/>
                <w:color w:val="231F20"/>
                <w:sz w:val="18"/>
                <w:szCs w:val="18"/>
              </w:rPr>
              <w:t>μ</w:t>
            </w:r>
            <w:r w:rsidRPr="00AF6261">
              <w:rPr>
                <w:rFonts w:cstheme="minorHAnsi"/>
                <w:color w:val="231F20"/>
                <w:sz w:val="18"/>
                <w:szCs w:val="18"/>
                <w:lang w:val="en-US"/>
              </w:rPr>
              <w:t>g</w:t>
            </w:r>
            <w:r w:rsidRPr="00AF6261">
              <w:rPr>
                <w:rFonts w:cstheme="minorHAnsi"/>
                <w:i/>
                <w:iCs/>
                <w:color w:val="231F20"/>
                <w:sz w:val="18"/>
                <w:szCs w:val="18"/>
                <w:lang w:val="en-US"/>
              </w:rPr>
              <w:t>/</w:t>
            </w:r>
            <w:r w:rsidRPr="00AF6261">
              <w:rPr>
                <w:rFonts w:cstheme="minorHAnsi"/>
                <w:color w:val="231F20"/>
                <w:sz w:val="18"/>
                <w:szCs w:val="18"/>
                <w:lang w:val="en-US"/>
              </w:rPr>
              <w:t>kg bw</w:t>
            </w:r>
          </w:p>
        </w:tc>
        <w:tc>
          <w:tcPr>
            <w:tcW w:w="1668" w:type="dxa"/>
            <w:tcBorders>
              <w:top w:val="single" w:sz="4" w:space="0" w:color="auto"/>
              <w:bottom w:val="single" w:sz="4" w:space="0" w:color="auto"/>
            </w:tcBorders>
            <w:shd w:val="clear" w:color="auto" w:fill="auto"/>
            <w:vAlign w:val="center"/>
          </w:tcPr>
          <w:p w14:paraId="26112FFE" w14:textId="77777777" w:rsidR="00EB16FD" w:rsidRPr="00AF6261" w:rsidRDefault="00EB16FD" w:rsidP="007F1961">
            <w:pPr>
              <w:spacing w:after="0" w:line="240" w:lineRule="auto"/>
              <w:jc w:val="center"/>
              <w:rPr>
                <w:rFonts w:eastAsia="Times New Roman" w:cstheme="minorHAnsi"/>
                <w:color w:val="000000"/>
                <w:sz w:val="18"/>
                <w:szCs w:val="18"/>
                <w:lang w:val="en-US" w:eastAsia="fr-FR"/>
              </w:rPr>
            </w:pPr>
            <w:r w:rsidRPr="00AF6261">
              <w:rPr>
                <w:rFonts w:eastAsia="Times New Roman" w:cstheme="minorHAnsi"/>
                <w:color w:val="000000"/>
                <w:sz w:val="18"/>
                <w:szCs w:val="18"/>
                <w:lang w:val="en-US" w:eastAsia="fr-FR"/>
              </w:rPr>
              <w:t>Sperm Evaluation</w:t>
            </w:r>
          </w:p>
        </w:tc>
        <w:tc>
          <w:tcPr>
            <w:tcW w:w="1703" w:type="dxa"/>
            <w:tcBorders>
              <w:top w:val="single" w:sz="4" w:space="0" w:color="auto"/>
              <w:bottom w:val="single" w:sz="4" w:space="0" w:color="auto"/>
            </w:tcBorders>
            <w:shd w:val="clear" w:color="auto" w:fill="auto"/>
            <w:vAlign w:val="center"/>
          </w:tcPr>
          <w:p w14:paraId="7C6AEC8D" w14:textId="77777777" w:rsidR="00EB16FD" w:rsidRPr="00AF6261" w:rsidRDefault="00EB16FD" w:rsidP="007F1961">
            <w:pPr>
              <w:spacing w:after="0" w:line="240" w:lineRule="auto"/>
              <w:jc w:val="center"/>
              <w:rPr>
                <w:rFonts w:eastAsia="Times New Roman" w:cstheme="minorHAnsi"/>
                <w:color w:val="000000"/>
                <w:sz w:val="18"/>
                <w:szCs w:val="18"/>
                <w:lang w:val="en-US" w:eastAsia="fr-FR"/>
              </w:rPr>
            </w:pPr>
            <w:r w:rsidRPr="00AF6261">
              <w:rPr>
                <w:rFonts w:eastAsia="Times New Roman" w:cstheme="minorHAnsi"/>
                <w:color w:val="000000"/>
                <w:sz w:val="18"/>
                <w:szCs w:val="18"/>
                <w:lang w:val="en-US" w:eastAsia="fr-FR"/>
              </w:rPr>
              <w:t>Sperm reserves, sperm transit time, sperm production</w:t>
            </w:r>
          </w:p>
        </w:tc>
        <w:tc>
          <w:tcPr>
            <w:tcW w:w="2010" w:type="dxa"/>
            <w:tcBorders>
              <w:top w:val="single" w:sz="4" w:space="0" w:color="auto"/>
              <w:bottom w:val="single" w:sz="4" w:space="0" w:color="auto"/>
            </w:tcBorders>
            <w:shd w:val="clear" w:color="auto" w:fill="auto"/>
            <w:vAlign w:val="center"/>
          </w:tcPr>
          <w:p w14:paraId="2D01CFCA" w14:textId="77777777" w:rsidR="00EB16FD" w:rsidRPr="00AF6261" w:rsidRDefault="00EB16FD" w:rsidP="007F1961">
            <w:pPr>
              <w:autoSpaceDE w:val="0"/>
              <w:autoSpaceDN w:val="0"/>
              <w:adjustRightInd w:val="0"/>
              <w:spacing w:after="0" w:line="240" w:lineRule="auto"/>
              <w:jc w:val="center"/>
              <w:rPr>
                <w:rFonts w:cstheme="minorHAnsi"/>
                <w:color w:val="231F20"/>
                <w:sz w:val="18"/>
                <w:szCs w:val="18"/>
                <w:lang w:val="en-US"/>
              </w:rPr>
            </w:pPr>
            <w:r w:rsidRPr="00AF6261">
              <w:rPr>
                <w:rFonts w:cstheme="minorHAnsi"/>
                <w:color w:val="231F20"/>
                <w:sz w:val="18"/>
                <w:szCs w:val="18"/>
                <w:lang w:val="en-US"/>
              </w:rPr>
              <w:t>Decreased sperm reserves in the epididymis and diminished</w:t>
            </w:r>
          </w:p>
          <w:p w14:paraId="398D47E2" w14:textId="77777777" w:rsidR="00EB16FD" w:rsidRPr="00AF6261" w:rsidRDefault="00EB16FD" w:rsidP="007F1961">
            <w:pPr>
              <w:autoSpaceDE w:val="0"/>
              <w:autoSpaceDN w:val="0"/>
              <w:adjustRightInd w:val="0"/>
              <w:spacing w:after="0" w:line="240" w:lineRule="auto"/>
              <w:jc w:val="center"/>
              <w:rPr>
                <w:rFonts w:cstheme="minorHAnsi"/>
                <w:color w:val="231F20"/>
                <w:sz w:val="18"/>
                <w:szCs w:val="18"/>
                <w:lang w:val="en-US"/>
              </w:rPr>
            </w:pPr>
            <w:r w:rsidRPr="00AF6261">
              <w:rPr>
                <w:rFonts w:cstheme="minorHAnsi"/>
                <w:color w:val="231F20"/>
                <w:sz w:val="18"/>
                <w:szCs w:val="18"/>
                <w:lang w:val="en-US"/>
              </w:rPr>
              <w:t>Sperm transit time at PND53.</w:t>
            </w:r>
          </w:p>
          <w:p w14:paraId="7C0B7839" w14:textId="77777777" w:rsidR="00EB16FD" w:rsidRPr="00AF6261" w:rsidRDefault="00EB16FD" w:rsidP="007F1961">
            <w:pPr>
              <w:autoSpaceDE w:val="0"/>
              <w:autoSpaceDN w:val="0"/>
              <w:adjustRightInd w:val="0"/>
              <w:spacing w:after="0" w:line="240" w:lineRule="auto"/>
              <w:jc w:val="center"/>
              <w:rPr>
                <w:rFonts w:cstheme="minorHAnsi"/>
                <w:color w:val="231F20"/>
                <w:sz w:val="18"/>
                <w:szCs w:val="18"/>
                <w:lang w:val="en-US"/>
              </w:rPr>
            </w:pPr>
            <w:r w:rsidRPr="00AF6261">
              <w:rPr>
                <w:rFonts w:cstheme="minorHAnsi"/>
                <w:color w:val="231F20"/>
                <w:sz w:val="18"/>
                <w:szCs w:val="18"/>
                <w:lang w:val="en-US"/>
              </w:rPr>
              <w:t>Reduction in the total and daily sperm production at PND90</w:t>
            </w:r>
          </w:p>
          <w:p w14:paraId="5F101BB7" w14:textId="77777777" w:rsidR="00EB16FD" w:rsidRPr="00AF6261" w:rsidRDefault="00EB16FD" w:rsidP="007F1961">
            <w:pPr>
              <w:spacing w:after="0" w:line="240" w:lineRule="auto"/>
              <w:jc w:val="center"/>
              <w:rPr>
                <w:rFonts w:eastAsia="Times New Roman" w:cstheme="minorHAnsi"/>
                <w:color w:val="000000"/>
                <w:sz w:val="18"/>
                <w:szCs w:val="18"/>
                <w:lang w:val="en-US" w:eastAsia="fr-FR"/>
              </w:rPr>
            </w:pPr>
          </w:p>
        </w:tc>
        <w:tc>
          <w:tcPr>
            <w:tcW w:w="2273" w:type="dxa"/>
            <w:tcBorders>
              <w:top w:val="single" w:sz="4" w:space="0" w:color="auto"/>
              <w:bottom w:val="single" w:sz="4" w:space="0" w:color="auto"/>
            </w:tcBorders>
            <w:vAlign w:val="center"/>
          </w:tcPr>
          <w:p w14:paraId="080422CF" w14:textId="77777777" w:rsidR="00EB16FD" w:rsidRPr="000270BA" w:rsidRDefault="00EB16FD" w:rsidP="007F1961">
            <w:pPr>
              <w:spacing w:after="0" w:line="240" w:lineRule="auto"/>
              <w:jc w:val="center"/>
              <w:rPr>
                <w:bCs/>
                <w:sz w:val="18"/>
                <w:szCs w:val="18"/>
                <w:lang w:val="en-US"/>
              </w:rPr>
            </w:pPr>
            <w:r w:rsidRPr="000270BA">
              <w:rPr>
                <w:bCs/>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21B8252F"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Impaired fertility</w:t>
            </w:r>
          </w:p>
          <w:p w14:paraId="30774894"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(ID330 , ID406)</w:t>
            </w:r>
          </w:p>
        </w:tc>
        <w:tc>
          <w:tcPr>
            <w:tcW w:w="851" w:type="dxa"/>
            <w:vMerge w:val="restart"/>
            <w:tcBorders>
              <w:left w:val="nil"/>
              <w:right w:val="single" w:sz="4" w:space="0" w:color="auto"/>
            </w:tcBorders>
            <w:vAlign w:val="center"/>
          </w:tcPr>
          <w:p w14:paraId="6B281AB3" w14:textId="7507DE7A" w:rsidR="00EB16FD" w:rsidRPr="00DC5D76" w:rsidRDefault="00EB16FD" w:rsidP="007F3FC3">
            <w:pPr>
              <w:spacing w:after="0" w:line="240" w:lineRule="auto"/>
              <w:jc w:val="center"/>
              <w:rPr>
                <w:rFonts w:ascii="Calibri" w:eastAsia="Times New Roman" w:hAnsi="Calibri" w:cstheme="minorHAnsi"/>
                <w:color w:val="000000"/>
                <w:sz w:val="18"/>
                <w:szCs w:val="18"/>
                <w:lang w:eastAsia="fr-FR"/>
              </w:rPr>
            </w:pPr>
            <w:r>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{"citationItems":[{"id":"ITEM-1","itemData":{"DOI":"10.1080/15287394.2013.831723","ISSN":"15287394","PMID":"24168038","abstract":"The incidence of male reproductive pathologies, such as hypospadias, cryptorchidism, testicular cancer, and low sperm production in adulthood, is increasing and may be related to exposure to environmental contaminants. The silver nanoparticles (AgNP) are a new class of chemical compounds commonly used in both medical and nonmedical settings, and they affect development of spermatogonial stem cells in vitro. The aim of this study was to examine the adverse productive toxic effects of AgNPs in male Wistar rats exposed during the prepubertal period and sacrificed at postnatal day (PND) 53 and PND90. Growth was assessed by daily weighing. The progress of puberty in the rats was measured by preputial separation, while s</w:instrText>
            </w:r>
            <w:r w:rsidR="007F3FC3">
              <w:rPr>
                <w:rFonts w:ascii="Calibri" w:eastAsia="Times New Roman" w:hAnsi="Calibri" w:cstheme="minorHAnsi"/>
                <w:color w:val="000000"/>
                <w:sz w:val="18"/>
                <w:szCs w:val="18"/>
                <w:lang w:eastAsia="fr-FR"/>
              </w:rPr>
              <w:instrText>permatogenesis was assayed by (1) measuring the sperm count in testes and epididymis and (2) examining the morphology and morphometry of seminiferous epithelium using stereological analysis. In addition, testosterone and estradiol levels were assayed by radioimmunoassay. The weight of the animals at PND90 did not change markedly, but growth was less in the group treated with AgNP at 50 μg/kg from PND34 to PND53. AgNP exposure produced a delay in puberty in both treated groups. Decreased sperm reserves in the epididymis and diminished sperm transit time were observed at PND53, while a reduction in sperm production occurred at PND90. The morphology</w:instrText>
            </w:r>
            <w:r w:rsidR="007F3FC3" w:rsidRPr="00DC5D76">
              <w:rPr>
                <w:rFonts w:ascii="Calibri" w:eastAsia="Times New Roman" w:hAnsi="Calibri" w:cstheme="minorHAnsi"/>
                <w:color w:val="000000"/>
                <w:sz w:val="18"/>
                <w:szCs w:val="18"/>
                <w:lang w:eastAsia="fr-FR"/>
              </w:rPr>
              <w:instrText xml:space="preserve"> of the seminiferous epithelium was markedly altered. Data demonstrated that prepubertal exposure to AgNP altered reproductive development in prepubertal male Wistar rats, as evidenced by impairment in spermatogenesis and a lower sperm count in adulthood. © 2013 Copyright Taylor and Francis Group, LLC.","author":[{"dropping-particle":"","family":"Sleiman","given":"Hanan Khaled","non-dropping-particle":"","parse-names":false,"suffix":""},{"dropping-particle":"","family":"Romano","given":"Renata Marino","non-dropping-particle":"","parse-names":false,"suffix":""},{"dropping-particle":"De","family":"Oliveira","given":"Claudio Alvarenga","non-dropping-particle":"","parse-names":false,"suffix":""},{"dropping-particle":"","family":"Romano","given":"Marco Aurelio","non-dropping-particle":"","parse-names":false,"suffix":""}],"container-title":"Journal of Toxicology and Environmental Health - Part A: Current Issues","id":"ITEM-1","issue":"17","issued":{"date-parts":[["2013"]]},"page":"1023-1032","title":"Effects of prepubertal exposure to silver nanoparticles on reproductive parameters in adult male wistar rats","type":"article-journal","volume":"76"},"uris":["http://www.mendeley.com/documents/?uuid=28dd9e74-0386-4c26-b9d2-53b4905168be"]}],"mendeley":{"formattedCitation":"(37)","plainTextFormattedCitation":"(37)","previouslyFormattedCitation":"(Sleiman et al. 2013)"},"properties":{"noteIndex":0},"schema":"https://github.com/citation-style-language/schema/raw/master/csl-citation.json"}</w:instrText>
            </w:r>
            <w:r>
              <w:rPr>
                <w:rFonts w:ascii="Calibri" w:eastAsia="Times New Roman" w:hAnsi="Calibri" w:cstheme="minorHAnsi"/>
                <w:color w:val="000000"/>
                <w:sz w:val="18"/>
                <w:szCs w:val="18"/>
                <w:lang w:eastAsia="fr-FR"/>
              </w:rPr>
              <w:fldChar w:fldCharType="separate"/>
            </w:r>
            <w:r w:rsidR="007F3FC3" w:rsidRPr="00DC5D76">
              <w:rPr>
                <w:rFonts w:ascii="Calibri" w:eastAsia="Times New Roman" w:hAnsi="Calibri" w:cstheme="minorHAnsi"/>
                <w:noProof/>
                <w:color w:val="000000"/>
                <w:sz w:val="18"/>
                <w:szCs w:val="18"/>
                <w:lang w:eastAsia="fr-FR"/>
              </w:rPr>
              <w:t>(37)</w:t>
            </w:r>
            <w:r>
              <w:rPr>
                <w:rFonts w:ascii="Calibri" w:eastAsia="Times New Roman" w:hAnsi="Calibri" w:cstheme="minorHAnsi"/>
                <w:color w:val="000000"/>
                <w:sz w:val="18"/>
                <w:szCs w:val="18"/>
                <w:lang w:eastAsia="fr-FR"/>
              </w:rPr>
              <w:fldChar w:fldCharType="end"/>
            </w:r>
          </w:p>
        </w:tc>
      </w:tr>
      <w:tr w:rsidR="00EB16FD" w:rsidRPr="00AF6261" w14:paraId="66C4B023" w14:textId="77777777" w:rsidTr="007F1961">
        <w:trPr>
          <w:trHeight w:val="195"/>
        </w:trPr>
        <w:tc>
          <w:tcPr>
            <w:tcW w:w="1408" w:type="dxa"/>
            <w:vMerge/>
            <w:tcBorders>
              <w:left w:val="single" w:sz="4" w:space="0" w:color="auto"/>
            </w:tcBorders>
            <w:shd w:val="clear" w:color="auto" w:fill="auto"/>
            <w:textDirection w:val="btLr"/>
            <w:vAlign w:val="center"/>
          </w:tcPr>
          <w:p w14:paraId="006EF528" w14:textId="77777777" w:rsidR="00EB16FD" w:rsidRPr="00DC5D76" w:rsidRDefault="00EB16FD" w:rsidP="00EB16FD">
            <w:pPr>
              <w:ind w:left="113" w:right="113"/>
              <w:jc w:val="center"/>
              <w:rPr>
                <w:rFonts w:cstheme="minorHAnsi"/>
                <w:color w:val="000000"/>
                <w:sz w:val="18"/>
                <w:szCs w:val="18"/>
              </w:rPr>
            </w:pPr>
          </w:p>
        </w:tc>
        <w:tc>
          <w:tcPr>
            <w:tcW w:w="1276" w:type="dxa"/>
            <w:vMerge/>
            <w:shd w:val="clear" w:color="auto" w:fill="auto"/>
            <w:textDirection w:val="btLr"/>
            <w:vAlign w:val="center"/>
          </w:tcPr>
          <w:p w14:paraId="3BBFB900" w14:textId="77777777" w:rsidR="00EB16FD" w:rsidRPr="00DC5D76" w:rsidRDefault="00EB16FD" w:rsidP="00EB16FD">
            <w:pPr>
              <w:ind w:left="113" w:right="113"/>
              <w:jc w:val="center"/>
              <w:rPr>
                <w:rFonts w:cstheme="minorHAnsi"/>
                <w:sz w:val="18"/>
                <w:szCs w:val="18"/>
              </w:rPr>
            </w:pPr>
          </w:p>
        </w:tc>
        <w:tc>
          <w:tcPr>
            <w:tcW w:w="1275" w:type="dxa"/>
            <w:vMerge/>
            <w:textDirection w:val="btLr"/>
            <w:vAlign w:val="center"/>
          </w:tcPr>
          <w:p w14:paraId="45291B0E" w14:textId="77777777" w:rsidR="00EB16FD" w:rsidRPr="00DC5D76" w:rsidRDefault="00EB16FD" w:rsidP="00EB16FD">
            <w:pPr>
              <w:ind w:left="113" w:right="113"/>
              <w:jc w:val="center"/>
              <w:rPr>
                <w:rFonts w:cstheme="minorHAnsi"/>
                <w:sz w:val="18"/>
                <w:szCs w:val="18"/>
              </w:rPr>
            </w:pPr>
          </w:p>
        </w:tc>
        <w:tc>
          <w:tcPr>
            <w:tcW w:w="1668" w:type="dxa"/>
            <w:tcBorders>
              <w:top w:val="single" w:sz="4" w:space="0" w:color="auto"/>
              <w:bottom w:val="single" w:sz="4" w:space="0" w:color="auto"/>
            </w:tcBorders>
            <w:shd w:val="clear" w:color="auto" w:fill="auto"/>
            <w:vAlign w:val="center"/>
          </w:tcPr>
          <w:p w14:paraId="54FFB629" w14:textId="77777777" w:rsidR="00EB16FD" w:rsidRPr="00DC5D76" w:rsidRDefault="00EB16FD" w:rsidP="007F1961">
            <w:pPr>
              <w:spacing w:after="0" w:line="240" w:lineRule="auto"/>
              <w:jc w:val="center"/>
              <w:rPr>
                <w:rFonts w:eastAsia="Times New Roman" w:cstheme="minorHAnsi"/>
                <w:color w:val="000000"/>
                <w:sz w:val="18"/>
                <w:szCs w:val="18"/>
                <w:lang w:eastAsia="fr-FR"/>
              </w:rPr>
            </w:pPr>
            <w:r w:rsidRPr="00DC5D76">
              <w:rPr>
                <w:rFonts w:eastAsia="Times New Roman" w:cstheme="minorHAnsi"/>
                <w:color w:val="000000"/>
                <w:sz w:val="18"/>
                <w:szCs w:val="18"/>
                <w:lang w:eastAsia="fr-FR"/>
              </w:rPr>
              <w:t>Hormonal Assessment</w:t>
            </w:r>
          </w:p>
        </w:tc>
        <w:tc>
          <w:tcPr>
            <w:tcW w:w="1703" w:type="dxa"/>
            <w:tcBorders>
              <w:top w:val="single" w:sz="4" w:space="0" w:color="auto"/>
              <w:bottom w:val="single" w:sz="4" w:space="0" w:color="auto"/>
            </w:tcBorders>
            <w:shd w:val="clear" w:color="auto" w:fill="auto"/>
            <w:vAlign w:val="center"/>
          </w:tcPr>
          <w:p w14:paraId="70FC2712" w14:textId="77777777" w:rsidR="00EB16FD" w:rsidRPr="00DC5D76" w:rsidRDefault="00EB16FD" w:rsidP="007F1961">
            <w:pPr>
              <w:spacing w:after="0" w:line="240" w:lineRule="auto"/>
              <w:jc w:val="center"/>
              <w:rPr>
                <w:rFonts w:eastAsia="Times New Roman" w:cstheme="minorHAnsi"/>
                <w:color w:val="000000"/>
                <w:sz w:val="18"/>
                <w:szCs w:val="18"/>
                <w:lang w:eastAsia="fr-FR"/>
              </w:rPr>
            </w:pPr>
            <w:r w:rsidRPr="00DC5D76">
              <w:rPr>
                <w:rFonts w:eastAsia="Times New Roman" w:cstheme="minorHAnsi"/>
                <w:color w:val="000000"/>
                <w:sz w:val="18"/>
                <w:szCs w:val="18"/>
                <w:lang w:eastAsia="fr-FR"/>
              </w:rPr>
              <w:t>Serum testosterone, estradiol</w:t>
            </w:r>
          </w:p>
        </w:tc>
        <w:tc>
          <w:tcPr>
            <w:tcW w:w="2010" w:type="dxa"/>
            <w:tcBorders>
              <w:top w:val="single" w:sz="4" w:space="0" w:color="auto"/>
              <w:bottom w:val="single" w:sz="4" w:space="0" w:color="auto"/>
            </w:tcBorders>
            <w:shd w:val="clear" w:color="auto" w:fill="auto"/>
            <w:vAlign w:val="center"/>
          </w:tcPr>
          <w:p w14:paraId="1473D820" w14:textId="77777777" w:rsidR="00EB16FD" w:rsidRPr="00DC5D76" w:rsidRDefault="00EB16FD" w:rsidP="007F1961">
            <w:pPr>
              <w:autoSpaceDE w:val="0"/>
              <w:autoSpaceDN w:val="0"/>
              <w:adjustRightInd w:val="0"/>
              <w:spacing w:after="0" w:line="240" w:lineRule="auto"/>
              <w:jc w:val="center"/>
              <w:rPr>
                <w:rFonts w:cstheme="minorHAnsi"/>
                <w:color w:val="231F20"/>
                <w:sz w:val="18"/>
                <w:szCs w:val="18"/>
              </w:rPr>
            </w:pPr>
            <w:r w:rsidRPr="00DC5D76">
              <w:rPr>
                <w:rFonts w:cstheme="minorHAnsi"/>
                <w:color w:val="231F20"/>
                <w:sz w:val="18"/>
                <w:szCs w:val="18"/>
              </w:rPr>
              <w:t>No alteration testosterone estradiol serum concentrations</w:t>
            </w:r>
          </w:p>
        </w:tc>
        <w:tc>
          <w:tcPr>
            <w:tcW w:w="2273" w:type="dxa"/>
            <w:tcBorders>
              <w:top w:val="single" w:sz="4" w:space="0" w:color="auto"/>
              <w:bottom w:val="single" w:sz="4" w:space="0" w:color="auto"/>
            </w:tcBorders>
            <w:vAlign w:val="center"/>
          </w:tcPr>
          <w:p w14:paraId="3B36FD65" w14:textId="77777777" w:rsidR="00EB16FD" w:rsidRPr="00DC5D76" w:rsidRDefault="00EB16FD" w:rsidP="007F1961">
            <w:pPr>
              <w:spacing w:after="0" w:line="240" w:lineRule="auto"/>
              <w:jc w:val="center"/>
              <w:rPr>
                <w:rFonts w:cstheme="minorHAnsi"/>
                <w:b/>
                <w:bCs/>
                <w:sz w:val="18"/>
                <w:szCs w:val="20"/>
              </w:rPr>
            </w:pPr>
            <w:r w:rsidRPr="00DC5D76">
              <w:rPr>
                <w:rFonts w:cstheme="minorHAnsi"/>
                <w:b/>
                <w:bCs/>
                <w:sz w:val="18"/>
                <w:szCs w:val="20"/>
              </w:rPr>
              <w:t>-</w:t>
            </w:r>
          </w:p>
        </w:tc>
        <w:tc>
          <w:tcPr>
            <w:tcW w:w="2386" w:type="dxa"/>
            <w:tcBorders>
              <w:top w:val="single" w:sz="4" w:space="0" w:color="auto"/>
              <w:bottom w:val="single" w:sz="4" w:space="0" w:color="auto"/>
            </w:tcBorders>
            <w:shd w:val="clear" w:color="auto" w:fill="auto"/>
            <w:vAlign w:val="center"/>
          </w:tcPr>
          <w:p w14:paraId="47A3E741" w14:textId="77777777" w:rsidR="00EB16FD" w:rsidRPr="00DC5D76" w:rsidRDefault="00EB16FD" w:rsidP="007F1961">
            <w:pPr>
              <w:spacing w:after="0" w:line="240" w:lineRule="auto"/>
              <w:jc w:val="center"/>
              <w:rPr>
                <w:rFonts w:eastAsia="Times New Roman" w:cstheme="minorHAnsi"/>
                <w:b/>
                <w:sz w:val="18"/>
                <w:szCs w:val="20"/>
                <w:lang w:eastAsia="fr-FR"/>
              </w:rPr>
            </w:pPr>
            <w:r w:rsidRPr="00DC5D76">
              <w:rPr>
                <w:rFonts w:eastAsia="Times New Roman" w:cstheme="minorHAnsi"/>
                <w:b/>
                <w:sz w:val="18"/>
                <w:szCs w:val="20"/>
                <w:lang w:eastAsia="fr-FR"/>
              </w:rPr>
              <w:t>-</w:t>
            </w:r>
          </w:p>
        </w:tc>
        <w:tc>
          <w:tcPr>
            <w:tcW w:w="851" w:type="dxa"/>
            <w:vMerge/>
            <w:tcBorders>
              <w:left w:val="nil"/>
              <w:right w:val="single" w:sz="4" w:space="0" w:color="auto"/>
            </w:tcBorders>
          </w:tcPr>
          <w:p w14:paraId="75EB811A" w14:textId="77777777" w:rsidR="00EB16FD" w:rsidRPr="00DC5D76"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AF6261" w14:paraId="09D7B1FB" w14:textId="77777777" w:rsidTr="007F1961">
        <w:trPr>
          <w:trHeight w:val="195"/>
        </w:trPr>
        <w:tc>
          <w:tcPr>
            <w:tcW w:w="1408" w:type="dxa"/>
            <w:vMerge/>
            <w:tcBorders>
              <w:left w:val="single" w:sz="4" w:space="0" w:color="auto"/>
              <w:bottom w:val="single" w:sz="4" w:space="0" w:color="auto"/>
            </w:tcBorders>
            <w:shd w:val="clear" w:color="auto" w:fill="auto"/>
            <w:textDirection w:val="btLr"/>
            <w:vAlign w:val="center"/>
          </w:tcPr>
          <w:p w14:paraId="22A62BEC" w14:textId="77777777" w:rsidR="00EB16FD" w:rsidRPr="00DC5D76" w:rsidRDefault="00EB16FD" w:rsidP="00EB16FD">
            <w:pPr>
              <w:ind w:left="113" w:right="113"/>
              <w:jc w:val="center"/>
              <w:rPr>
                <w:rFonts w:cstheme="minorHAnsi"/>
                <w:color w:val="000000"/>
                <w:sz w:val="18"/>
                <w:szCs w:val="18"/>
              </w:rPr>
            </w:pPr>
          </w:p>
        </w:tc>
        <w:tc>
          <w:tcPr>
            <w:tcW w:w="1276" w:type="dxa"/>
            <w:vMerge/>
            <w:tcBorders>
              <w:bottom w:val="single" w:sz="4" w:space="0" w:color="auto"/>
            </w:tcBorders>
            <w:shd w:val="clear" w:color="auto" w:fill="auto"/>
            <w:textDirection w:val="btLr"/>
            <w:vAlign w:val="center"/>
          </w:tcPr>
          <w:p w14:paraId="5BEFC437" w14:textId="77777777" w:rsidR="00EB16FD" w:rsidRPr="00DC5D76" w:rsidRDefault="00EB16FD" w:rsidP="00EB16FD">
            <w:pPr>
              <w:ind w:left="113" w:right="113"/>
              <w:jc w:val="center"/>
              <w:rPr>
                <w:rFonts w:cstheme="minorHAnsi"/>
                <w:sz w:val="18"/>
                <w:szCs w:val="18"/>
              </w:rPr>
            </w:pPr>
          </w:p>
        </w:tc>
        <w:tc>
          <w:tcPr>
            <w:tcW w:w="1275" w:type="dxa"/>
            <w:vMerge/>
            <w:tcBorders>
              <w:bottom w:val="single" w:sz="4" w:space="0" w:color="auto"/>
            </w:tcBorders>
            <w:textDirection w:val="btLr"/>
            <w:vAlign w:val="center"/>
          </w:tcPr>
          <w:p w14:paraId="184756C3" w14:textId="77777777" w:rsidR="00EB16FD" w:rsidRPr="00DC5D76" w:rsidRDefault="00EB16FD" w:rsidP="00EB16FD">
            <w:pPr>
              <w:ind w:left="113" w:right="113"/>
              <w:jc w:val="center"/>
              <w:rPr>
                <w:rFonts w:cstheme="minorHAnsi"/>
                <w:sz w:val="18"/>
                <w:szCs w:val="18"/>
              </w:rPr>
            </w:pPr>
          </w:p>
        </w:tc>
        <w:tc>
          <w:tcPr>
            <w:tcW w:w="1668" w:type="dxa"/>
            <w:tcBorders>
              <w:top w:val="single" w:sz="4" w:space="0" w:color="auto"/>
              <w:bottom w:val="single" w:sz="4" w:space="0" w:color="auto"/>
            </w:tcBorders>
            <w:shd w:val="clear" w:color="auto" w:fill="auto"/>
            <w:vAlign w:val="center"/>
          </w:tcPr>
          <w:p w14:paraId="03D83615" w14:textId="77777777" w:rsidR="00EB16FD" w:rsidRPr="00DC5D76" w:rsidRDefault="00EB16FD" w:rsidP="007F1961">
            <w:pPr>
              <w:spacing w:after="0" w:line="240" w:lineRule="auto"/>
              <w:jc w:val="center"/>
              <w:rPr>
                <w:rFonts w:ascii="Calibri" w:eastAsia="Times New Roman" w:hAnsi="Calibri" w:cstheme="minorHAnsi"/>
                <w:color w:val="000000"/>
                <w:sz w:val="18"/>
                <w:szCs w:val="18"/>
                <w:lang w:eastAsia="fr-FR"/>
              </w:rPr>
            </w:pPr>
            <w:r w:rsidRPr="00DC5D76">
              <w:rPr>
                <w:rFonts w:ascii="Calibri" w:eastAsia="Times New Roman" w:hAnsi="Calibri" w:cstheme="minorHAnsi"/>
                <w:color w:val="000000"/>
                <w:sz w:val="18"/>
                <w:szCs w:val="18"/>
                <w:lang w:eastAsia="fr-FR"/>
              </w:rPr>
              <w:t>Histopathological Examination</w:t>
            </w:r>
          </w:p>
        </w:tc>
        <w:tc>
          <w:tcPr>
            <w:tcW w:w="1703" w:type="dxa"/>
            <w:tcBorders>
              <w:top w:val="single" w:sz="4" w:space="0" w:color="auto"/>
              <w:bottom w:val="single" w:sz="4" w:space="0" w:color="auto"/>
            </w:tcBorders>
            <w:shd w:val="clear" w:color="auto" w:fill="auto"/>
            <w:vAlign w:val="center"/>
          </w:tcPr>
          <w:p w14:paraId="189F82CC" w14:textId="77777777" w:rsidR="00EB16FD" w:rsidRPr="00DC5D76" w:rsidRDefault="00EB16FD" w:rsidP="007F1961">
            <w:pPr>
              <w:spacing w:after="0" w:line="240" w:lineRule="auto"/>
              <w:jc w:val="center"/>
              <w:rPr>
                <w:rFonts w:ascii="Calibri" w:eastAsia="Times New Roman" w:hAnsi="Calibri" w:cstheme="minorHAnsi"/>
                <w:color w:val="000000"/>
                <w:sz w:val="18"/>
                <w:szCs w:val="18"/>
                <w:lang w:eastAsia="fr-FR"/>
              </w:rPr>
            </w:pPr>
            <w:r w:rsidRPr="00DC5D76">
              <w:rPr>
                <w:rFonts w:ascii="Calibri" w:eastAsia="Times New Roman" w:hAnsi="Calibri" w:cstheme="minorHAnsi"/>
                <w:color w:val="000000"/>
                <w:sz w:val="18"/>
                <w:szCs w:val="18"/>
                <w:lang w:eastAsia="fr-FR"/>
              </w:rPr>
              <w:t>Testis and Seminiferous tubules</w:t>
            </w:r>
          </w:p>
          <w:p w14:paraId="3A69844E" w14:textId="77777777" w:rsidR="00EB16FD" w:rsidRPr="00DC5D76" w:rsidRDefault="00EB16FD" w:rsidP="007F1961">
            <w:pPr>
              <w:spacing w:after="0" w:line="240" w:lineRule="auto"/>
              <w:jc w:val="center"/>
              <w:rPr>
                <w:rFonts w:ascii="Calibri" w:eastAsia="Times New Roman" w:hAnsi="Calibri" w:cstheme="minorHAnsi"/>
                <w:color w:val="000000"/>
                <w:sz w:val="18"/>
                <w:szCs w:val="18"/>
                <w:lang w:eastAsia="fr-FR"/>
              </w:rPr>
            </w:pPr>
          </w:p>
        </w:tc>
        <w:tc>
          <w:tcPr>
            <w:tcW w:w="2010" w:type="dxa"/>
            <w:tcBorders>
              <w:top w:val="single" w:sz="4" w:space="0" w:color="auto"/>
              <w:bottom w:val="single" w:sz="4" w:space="0" w:color="auto"/>
            </w:tcBorders>
            <w:shd w:val="clear" w:color="auto" w:fill="auto"/>
            <w:vAlign w:val="center"/>
          </w:tcPr>
          <w:p w14:paraId="7D058703" w14:textId="77777777" w:rsidR="00EB16FD" w:rsidRPr="00DC5D76" w:rsidRDefault="00EB16FD" w:rsidP="007F1961">
            <w:pPr>
              <w:autoSpaceDE w:val="0"/>
              <w:autoSpaceDN w:val="0"/>
              <w:adjustRightInd w:val="0"/>
              <w:spacing w:after="0" w:line="240" w:lineRule="auto"/>
              <w:jc w:val="center"/>
              <w:rPr>
                <w:rFonts w:cstheme="minorHAnsi"/>
                <w:color w:val="231F20"/>
                <w:sz w:val="18"/>
                <w:szCs w:val="18"/>
              </w:rPr>
            </w:pPr>
            <w:r w:rsidRPr="00DC5D76">
              <w:rPr>
                <w:rFonts w:cstheme="minorHAnsi"/>
                <w:color w:val="231F20"/>
                <w:sz w:val="18"/>
                <w:szCs w:val="18"/>
              </w:rPr>
              <w:lastRenderedPageBreak/>
              <w:t>No significant change</w:t>
            </w:r>
          </w:p>
        </w:tc>
        <w:tc>
          <w:tcPr>
            <w:tcW w:w="2273" w:type="dxa"/>
            <w:tcBorders>
              <w:top w:val="single" w:sz="4" w:space="0" w:color="auto"/>
              <w:bottom w:val="single" w:sz="4" w:space="0" w:color="auto"/>
            </w:tcBorders>
            <w:vAlign w:val="center"/>
          </w:tcPr>
          <w:p w14:paraId="581986C2" w14:textId="77777777" w:rsidR="00EB16FD" w:rsidRPr="00DC5D76" w:rsidRDefault="00EB16FD" w:rsidP="007F1961">
            <w:pPr>
              <w:spacing w:after="0" w:line="240" w:lineRule="auto"/>
              <w:jc w:val="center"/>
              <w:rPr>
                <w:rFonts w:cstheme="minorHAnsi"/>
                <w:b/>
                <w:bCs/>
                <w:sz w:val="18"/>
                <w:szCs w:val="20"/>
              </w:rPr>
            </w:pPr>
            <w:r w:rsidRPr="00DC5D76">
              <w:rPr>
                <w:rFonts w:cstheme="minorHAnsi"/>
                <w:b/>
                <w:bCs/>
                <w:sz w:val="18"/>
                <w:szCs w:val="20"/>
              </w:rPr>
              <w:t>-</w:t>
            </w:r>
          </w:p>
        </w:tc>
        <w:tc>
          <w:tcPr>
            <w:tcW w:w="2386" w:type="dxa"/>
            <w:tcBorders>
              <w:top w:val="single" w:sz="4" w:space="0" w:color="auto"/>
              <w:bottom w:val="single" w:sz="4" w:space="0" w:color="auto"/>
            </w:tcBorders>
            <w:shd w:val="clear" w:color="auto" w:fill="auto"/>
            <w:vAlign w:val="center"/>
          </w:tcPr>
          <w:p w14:paraId="6653A64D" w14:textId="77777777" w:rsidR="00EB16FD" w:rsidRPr="00DC5D76" w:rsidRDefault="00EB16FD" w:rsidP="007F1961">
            <w:pPr>
              <w:spacing w:after="0" w:line="240" w:lineRule="auto"/>
              <w:jc w:val="center"/>
              <w:rPr>
                <w:rFonts w:eastAsia="Times New Roman" w:cstheme="minorHAnsi"/>
                <w:b/>
                <w:sz w:val="18"/>
                <w:szCs w:val="20"/>
                <w:lang w:eastAsia="fr-FR"/>
              </w:rPr>
            </w:pPr>
            <w:r w:rsidRPr="00DC5D76">
              <w:rPr>
                <w:rFonts w:eastAsia="Times New Roman" w:cstheme="minorHAnsi"/>
                <w:b/>
                <w:sz w:val="18"/>
                <w:szCs w:val="20"/>
                <w:lang w:eastAsia="fr-FR"/>
              </w:rPr>
              <w:t>-</w:t>
            </w:r>
          </w:p>
        </w:tc>
        <w:tc>
          <w:tcPr>
            <w:tcW w:w="851" w:type="dxa"/>
            <w:vMerge/>
            <w:tcBorders>
              <w:left w:val="nil"/>
              <w:bottom w:val="single" w:sz="4" w:space="0" w:color="auto"/>
              <w:right w:val="single" w:sz="4" w:space="0" w:color="auto"/>
            </w:tcBorders>
          </w:tcPr>
          <w:p w14:paraId="321FD268" w14:textId="77777777" w:rsidR="00EB16FD" w:rsidRPr="00DC5D76" w:rsidRDefault="00EB16FD" w:rsidP="007F3FC3">
            <w:pPr>
              <w:spacing w:after="0" w:line="240" w:lineRule="auto"/>
              <w:jc w:val="center"/>
              <w:rPr>
                <w:rFonts w:ascii="Calibri" w:eastAsia="Times New Roman" w:hAnsi="Calibri" w:cstheme="minorHAnsi"/>
                <w:color w:val="000000"/>
                <w:sz w:val="18"/>
                <w:szCs w:val="18"/>
                <w:lang w:eastAsia="fr-FR"/>
              </w:rPr>
            </w:pPr>
          </w:p>
        </w:tc>
      </w:tr>
      <w:tr w:rsidR="00EB16FD" w:rsidRPr="00AF6261" w14:paraId="33013865" w14:textId="77777777" w:rsidTr="007F1961">
        <w:trPr>
          <w:cantSplit/>
          <w:trHeight w:val="3207"/>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23F81BD7" w14:textId="77777777" w:rsidR="00EB16FD" w:rsidRPr="00AF6261" w:rsidRDefault="00EB16FD" w:rsidP="00EB16FD">
            <w:pPr>
              <w:ind w:left="113" w:right="113"/>
              <w:jc w:val="center"/>
              <w:rPr>
                <w:rFonts w:cstheme="minorHAnsi"/>
                <w:color w:val="000000"/>
                <w:sz w:val="18"/>
                <w:szCs w:val="18"/>
                <w:lang w:val="en-US"/>
              </w:rPr>
            </w:pPr>
            <w:r w:rsidRPr="00DC5D76">
              <w:rPr>
                <w:rFonts w:cstheme="minorHAnsi"/>
                <w:color w:val="000000"/>
                <w:sz w:val="18"/>
                <w:szCs w:val="18"/>
                <w:lang w:val="en-US"/>
              </w:rPr>
              <w:t xml:space="preserve">AgNPs in the 0.9% citrate solution, Size: 10 nm and 25 </w:t>
            </w:r>
            <w:r w:rsidRPr="00AF6261">
              <w:rPr>
                <w:rFonts w:cstheme="minorHAnsi"/>
                <w:color w:val="000000"/>
                <w:sz w:val="18"/>
                <w:szCs w:val="18"/>
                <w:lang w:val="en-US"/>
              </w:rPr>
              <w:t>nm</w:t>
            </w:r>
          </w:p>
        </w:tc>
        <w:tc>
          <w:tcPr>
            <w:tcW w:w="1276" w:type="dxa"/>
            <w:tcBorders>
              <w:top w:val="single" w:sz="4" w:space="0" w:color="auto"/>
              <w:bottom w:val="single" w:sz="4" w:space="0" w:color="auto"/>
            </w:tcBorders>
            <w:shd w:val="clear" w:color="auto" w:fill="auto"/>
            <w:textDirection w:val="btLr"/>
            <w:vAlign w:val="center"/>
          </w:tcPr>
          <w:p w14:paraId="0050CAB2" w14:textId="7777777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Male SD rats, Oral gavage</w:t>
            </w:r>
          </w:p>
        </w:tc>
        <w:tc>
          <w:tcPr>
            <w:tcW w:w="1275" w:type="dxa"/>
            <w:tcBorders>
              <w:top w:val="single" w:sz="4" w:space="0" w:color="auto"/>
              <w:bottom w:val="single" w:sz="4" w:space="0" w:color="auto"/>
            </w:tcBorders>
            <w:textDirection w:val="btLr"/>
            <w:vAlign w:val="center"/>
          </w:tcPr>
          <w:p w14:paraId="367CBBFF" w14:textId="7777777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 xml:space="preserve">100 or 500 mg/kg/day over 28 days </w:t>
            </w:r>
          </w:p>
          <w:p w14:paraId="6A44FB5B" w14:textId="7777777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Observation : At the end of exposure or 1, 2, or 4 months after ceasing exposure</w:t>
            </w:r>
          </w:p>
        </w:tc>
        <w:tc>
          <w:tcPr>
            <w:tcW w:w="1668" w:type="dxa"/>
            <w:tcBorders>
              <w:top w:val="single" w:sz="4" w:space="0" w:color="auto"/>
              <w:bottom w:val="single" w:sz="4" w:space="0" w:color="auto"/>
            </w:tcBorders>
            <w:shd w:val="clear" w:color="auto" w:fill="auto"/>
            <w:vAlign w:val="center"/>
          </w:tcPr>
          <w:p w14:paraId="736BB27D" w14:textId="0C79E3C6"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Determination of tissue Ag</w:t>
            </w:r>
          </w:p>
        </w:tc>
        <w:tc>
          <w:tcPr>
            <w:tcW w:w="1703" w:type="dxa"/>
            <w:tcBorders>
              <w:top w:val="single" w:sz="4" w:space="0" w:color="auto"/>
              <w:bottom w:val="single" w:sz="4" w:space="0" w:color="auto"/>
            </w:tcBorders>
            <w:shd w:val="clear" w:color="auto" w:fill="auto"/>
            <w:vAlign w:val="center"/>
          </w:tcPr>
          <w:p w14:paraId="05AB5CDA"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Ag presence in testes AAS</w:t>
            </w:r>
          </w:p>
        </w:tc>
        <w:tc>
          <w:tcPr>
            <w:tcW w:w="2010" w:type="dxa"/>
            <w:tcBorders>
              <w:top w:val="single" w:sz="4" w:space="0" w:color="auto"/>
              <w:bottom w:val="single" w:sz="4" w:space="0" w:color="auto"/>
            </w:tcBorders>
            <w:shd w:val="clear" w:color="auto" w:fill="auto"/>
            <w:vAlign w:val="center"/>
          </w:tcPr>
          <w:p w14:paraId="1A15B8FE" w14:textId="3B23EAB6"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Ag NPs accumulation in testes</w:t>
            </w:r>
          </w:p>
          <w:p w14:paraId="4E6698AD"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No histopathological changes in testes.</w:t>
            </w:r>
          </w:p>
        </w:tc>
        <w:tc>
          <w:tcPr>
            <w:tcW w:w="2273" w:type="dxa"/>
            <w:tcBorders>
              <w:top w:val="single" w:sz="4" w:space="0" w:color="auto"/>
              <w:bottom w:val="single" w:sz="4" w:space="0" w:color="auto"/>
            </w:tcBorders>
            <w:vAlign w:val="center"/>
          </w:tcPr>
          <w:p w14:paraId="50FC0BB9" w14:textId="77777777" w:rsidR="00EB16FD" w:rsidRPr="00AF6261" w:rsidRDefault="00EB16FD" w:rsidP="007F1961">
            <w:pPr>
              <w:jc w:val="center"/>
              <w:rPr>
                <w:rFonts w:ascii="Calibri" w:hAnsi="Calibri"/>
                <w:sz w:val="18"/>
                <w:szCs w:val="18"/>
                <w:lang w:val="en-US"/>
              </w:rPr>
            </w:pPr>
            <w:r w:rsidRPr="00AF6261">
              <w:rPr>
                <w:rFonts w:ascii="Calibri" w:hAnsi="Calibri"/>
                <w:sz w:val="18"/>
                <w:szCs w:val="18"/>
                <w:lang w:val="en-US"/>
              </w:rPr>
              <w:t>-</w:t>
            </w:r>
          </w:p>
        </w:tc>
        <w:tc>
          <w:tcPr>
            <w:tcW w:w="2386" w:type="dxa"/>
            <w:tcBorders>
              <w:top w:val="single" w:sz="4" w:space="0" w:color="auto"/>
              <w:bottom w:val="single" w:sz="4" w:space="0" w:color="auto"/>
            </w:tcBorders>
            <w:shd w:val="clear" w:color="auto" w:fill="auto"/>
            <w:vAlign w:val="center"/>
          </w:tcPr>
          <w:p w14:paraId="705AA11B" w14:textId="77777777" w:rsidR="00EB16FD" w:rsidRPr="00AF6261" w:rsidRDefault="00EB16FD" w:rsidP="007F1961">
            <w:pPr>
              <w:jc w:val="center"/>
              <w:rPr>
                <w:rFonts w:ascii="Calibri" w:hAnsi="Calibri"/>
                <w:sz w:val="18"/>
                <w:szCs w:val="18"/>
                <w:lang w:val="en-US"/>
              </w:rPr>
            </w:pPr>
            <w:r w:rsidRPr="00AF6261">
              <w:rPr>
                <w:rFonts w:ascii="Calibri" w:hAnsi="Calibri"/>
                <w:sz w:val="18"/>
                <w:szCs w:val="18"/>
                <w:lang w:val="en-US"/>
              </w:rPr>
              <w:t>-</w:t>
            </w:r>
          </w:p>
        </w:tc>
        <w:tc>
          <w:tcPr>
            <w:tcW w:w="851" w:type="dxa"/>
            <w:tcBorders>
              <w:top w:val="single" w:sz="4" w:space="0" w:color="auto"/>
              <w:left w:val="nil"/>
              <w:bottom w:val="single" w:sz="4" w:space="0" w:color="auto"/>
              <w:right w:val="single" w:sz="4" w:space="0" w:color="auto"/>
            </w:tcBorders>
          </w:tcPr>
          <w:p w14:paraId="5FE36E09" w14:textId="602CD091" w:rsidR="00EB16FD" w:rsidRPr="00DC5D76" w:rsidRDefault="00EB16FD" w:rsidP="007F3FC3">
            <w:pPr>
              <w:spacing w:after="0" w:line="240" w:lineRule="auto"/>
              <w:jc w:val="center"/>
              <w:rPr>
                <w:rFonts w:ascii="Calibri" w:eastAsia="Times New Roman" w:hAnsi="Calibri" w:cstheme="minorHAnsi"/>
                <w:color w:val="000000"/>
                <w:sz w:val="18"/>
                <w:szCs w:val="18"/>
                <w:lang w:eastAsia="fr-FR"/>
              </w:rPr>
            </w:pPr>
            <w:r>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{"citationItems":[{"id":"ITEM-1","itemData":{"DOI":"10.1186/1743-8977-10-36","ISSN":"1743-8977","PMID":"24059869","abstract":"Silver nanoparticles are known to be distributed in many tissues after oral or inhalation exposure. Thus, understanding the tissue clearance of such distributed nanoparticles is very important to understand the behavior of silver nanoparticles in vivo. For risk assessment purposes, easy clearance indicates a lower overall cumulative toxicity. Accordingly, to investigate the clearance of tissue silver concentrations following oral silver nanoparticle exposure, Sprague-Dawley rats were assigned to 3 groups: control, low dose (100 mg/kg body weight), and high dose (500 mg/kg body weight), and exposed to two different sizes of silver nanoparticles (average diameter 10 and 25 nm) over 28 days. Thereafter, the rats were allowed to recover for 4 months. Regardless of the silver nanoparticle size, the silv</w:instrText>
            </w:r>
            <w:r w:rsidR="007F3FC3">
              <w:rPr>
                <w:rFonts w:ascii="Calibri" w:eastAsia="Times New Roman" w:hAnsi="Calibri" w:cstheme="minorHAnsi"/>
                <w:color w:val="000000"/>
                <w:sz w:val="18"/>
                <w:szCs w:val="18"/>
                <w:lang w:eastAsia="fr-FR"/>
              </w:rPr>
              <w:instrText>er content in most tissues gradually decreased during the 4-month recovery period, indicating tissue clearance of the accumulated silver. The exceptions were the silver concentrations in the brain and testes, which did not clear well, even after the 4-month recovery period, indicating an obstruction in transporting the accumulated silver out of these tissues. Therefore, the results showed that the size of the silver nanoparticles did not affect their tissue distribution. Furthermore, biological barriers, such as the blood-brain barrier and blood-testis barrier, seemed to play an important role in the silver clearance from these tissues. © 2013 Lee et al.; licensee BioMed Central Ltd.","author":[{"dropping-particle":"","family":"Lee","given":"JH","non-dropping-particle":"","parse-names":false,"suffix":""},{"dropping-particle":"","family":"Kim","given":"YS","non-dropping-particle":"","parse-names":false,"suffix":""},{"dropping-particle":"","family":"Song","given":"KS","non-dropping-particle":"","parse-names":false,"suffix":""},{"dropping-particle":"","family":"Ryu","given":"HR","non-dropping-particle":"","parse-names":false,"suffix":""},{"dropping-particle":"","family":"Sung","given":"JH","non-dropping-particle":"","parse-names":false,"suffix":""},{"dropping-par</w:instrText>
            </w:r>
            <w:r w:rsidR="007F3FC3" w:rsidRPr="00DC5D76">
              <w:rPr>
                <w:rFonts w:ascii="Calibri" w:eastAsia="Times New Roman" w:hAnsi="Calibri" w:cstheme="minorHAnsi"/>
                <w:color w:val="000000"/>
                <w:sz w:val="18"/>
                <w:szCs w:val="18"/>
                <w:lang w:eastAsia="fr-FR"/>
              </w:rPr>
              <w:instrText>ticle":"","family":"Park","given":"JD","non-dropping-particle":"","parse-names":false,"suffix":""},{"dropping-particle":"","family":"Park","given":"HM","non-dropping-particle":"","parse-names":false,"suffix":""},{"dropping-particle":"","family":"Song","given":"NW","non-dropping-particle":"","parse-names":false,"suffix":""},{"dropping-particle":"","family":"Shin","given":"BS","non-dropping-particle":"","parse-names":false,"suffix":""},{"dropping-particle":"","family":"Marshak","given":"D","non-dropping-particle":"","parse-names":false,"suffix":""},{"dropping-particle":"","family":"Ahn","given":"K","non-dropping-particle":"","parse-names":false,"suffix":""},{"dropping-particle":"","family":"Lee","given":"JE","non-dropping-particle":"","parse-names":false,"suffix":""},{"dropping-particle":"","family":"Yu","given":"D","non-dropping-particle":"","parse-names":false,"suffix":""}],"container-title":"Particle and fibre toxicology","id":"ITEM-1","issue":"1","issued":{"date-parts":[["2013","8","1"]]},"publisher":"Part Fibre Toxicol","title":"Biopersistence of silver nanoparticles in tissues from Sprague-Dawley rats","type":"article-journal","volume":"10"},"uris":["http://www.mendeley.com/documents/?uuid=c2869360-d805-31b3-a5df-cae8bdf5d2dc"]}],"mendeley":{"formattedCitation":"(38)","plainTextFormattedCitation":"(38)","previouslyFormattedCitation":"(Lee et al. 2013)"},"properties":{"noteIndex":0},"schema":"https://github.com/citation-style-language/schema/raw/master/csl-citation.json"}</w:instrText>
            </w:r>
            <w:r>
              <w:rPr>
                <w:rFonts w:ascii="Calibri" w:eastAsia="Times New Roman" w:hAnsi="Calibri" w:cstheme="minorHAnsi"/>
                <w:color w:val="000000"/>
                <w:sz w:val="18"/>
                <w:szCs w:val="18"/>
                <w:lang w:eastAsia="fr-FR"/>
              </w:rPr>
              <w:fldChar w:fldCharType="separate"/>
            </w:r>
            <w:r w:rsidR="007F3FC3" w:rsidRPr="00DC5D76">
              <w:rPr>
                <w:rFonts w:ascii="Calibri" w:eastAsia="Times New Roman" w:hAnsi="Calibri" w:cstheme="minorHAnsi"/>
                <w:noProof/>
                <w:color w:val="000000"/>
                <w:sz w:val="18"/>
                <w:szCs w:val="18"/>
                <w:lang w:eastAsia="fr-FR"/>
              </w:rPr>
              <w:t>(38)</w:t>
            </w:r>
            <w:r>
              <w:rPr>
                <w:rFonts w:ascii="Calibri" w:eastAsia="Times New Roman" w:hAnsi="Calibri" w:cstheme="minorHAnsi"/>
                <w:color w:val="000000"/>
                <w:sz w:val="18"/>
                <w:szCs w:val="18"/>
                <w:lang w:eastAsia="fr-FR"/>
              </w:rPr>
              <w:fldChar w:fldCharType="end"/>
            </w:r>
          </w:p>
        </w:tc>
      </w:tr>
      <w:tr w:rsidR="00EB16FD" w:rsidRPr="00912134" w14:paraId="5BEAA84F" w14:textId="77777777" w:rsidTr="007F1961">
        <w:trPr>
          <w:cantSplit/>
          <w:trHeight w:val="2462"/>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50DD4E76" w14:textId="77777777" w:rsidR="00EB16FD" w:rsidRPr="00DC5D76" w:rsidRDefault="00EB16FD" w:rsidP="00EB16FD">
            <w:pPr>
              <w:ind w:left="113" w:right="113"/>
              <w:jc w:val="center"/>
              <w:rPr>
                <w:rFonts w:cstheme="minorHAnsi"/>
                <w:color w:val="000000"/>
                <w:sz w:val="18"/>
                <w:szCs w:val="18"/>
              </w:rPr>
            </w:pPr>
            <w:r w:rsidRPr="00DC5D76">
              <w:rPr>
                <w:rFonts w:cstheme="minorHAnsi"/>
                <w:color w:val="000000"/>
                <w:sz w:val="18"/>
                <w:szCs w:val="18"/>
              </w:rPr>
              <w:t>AgNPs (AS: 17.7 nm) and PVP-AgNPs(AS: 12.2 nm, 75% PVP coating</w:t>
            </w:r>
          </w:p>
        </w:tc>
        <w:tc>
          <w:tcPr>
            <w:tcW w:w="1276" w:type="dxa"/>
            <w:tcBorders>
              <w:top w:val="single" w:sz="4" w:space="0" w:color="auto"/>
              <w:bottom w:val="single" w:sz="4" w:space="0" w:color="auto"/>
            </w:tcBorders>
            <w:shd w:val="clear" w:color="auto" w:fill="auto"/>
            <w:textDirection w:val="btLr"/>
            <w:vAlign w:val="center"/>
          </w:tcPr>
          <w:p w14:paraId="5517E18D" w14:textId="77777777" w:rsidR="00EB16FD" w:rsidRPr="00DC5D76" w:rsidRDefault="00EB16FD" w:rsidP="00EB16FD">
            <w:pPr>
              <w:ind w:left="113" w:right="113"/>
              <w:jc w:val="center"/>
              <w:rPr>
                <w:rFonts w:cstheme="minorHAnsi"/>
                <w:sz w:val="18"/>
                <w:szCs w:val="18"/>
              </w:rPr>
            </w:pPr>
            <w:r w:rsidRPr="00DC5D76">
              <w:rPr>
                <w:rFonts w:cstheme="minorHAnsi"/>
                <w:sz w:val="18"/>
                <w:szCs w:val="18"/>
              </w:rPr>
              <w:t>Male SD rats,Oral Gavage</w:t>
            </w:r>
          </w:p>
        </w:tc>
        <w:tc>
          <w:tcPr>
            <w:tcW w:w="1275" w:type="dxa"/>
            <w:tcBorders>
              <w:top w:val="single" w:sz="4" w:space="0" w:color="auto"/>
              <w:bottom w:val="single" w:sz="4" w:space="0" w:color="auto"/>
            </w:tcBorders>
            <w:textDirection w:val="btLr"/>
            <w:vAlign w:val="center"/>
          </w:tcPr>
          <w:p w14:paraId="1034D284" w14:textId="77777777" w:rsidR="00EB16FD" w:rsidRPr="00DC5D76" w:rsidRDefault="00EB16FD" w:rsidP="00EB16FD">
            <w:pPr>
              <w:ind w:left="113" w:right="113"/>
              <w:jc w:val="center"/>
              <w:rPr>
                <w:rFonts w:cstheme="minorHAnsi"/>
                <w:sz w:val="18"/>
                <w:szCs w:val="18"/>
              </w:rPr>
            </w:pPr>
            <w:r w:rsidRPr="00DC5D76">
              <w:rPr>
                <w:rFonts w:cstheme="minorHAnsi"/>
                <w:sz w:val="18"/>
                <w:szCs w:val="18"/>
              </w:rPr>
              <w:t xml:space="preserve">90 mg/kg/day over 28 days AgNPs and PVP-AgNPs </w:t>
            </w:r>
          </w:p>
          <w:p w14:paraId="557CC1D5" w14:textId="77777777" w:rsidR="00EB16FD" w:rsidRPr="00DC5D76" w:rsidRDefault="00EB16FD" w:rsidP="00EB16FD">
            <w:pPr>
              <w:ind w:left="113" w:right="113"/>
              <w:jc w:val="center"/>
              <w:rPr>
                <w:rFonts w:cstheme="minorHAnsi"/>
                <w:sz w:val="18"/>
                <w:szCs w:val="18"/>
              </w:rPr>
            </w:pPr>
            <w:r w:rsidRPr="00DC5D76">
              <w:rPr>
                <w:rFonts w:cstheme="minorHAnsi"/>
                <w:sz w:val="18"/>
                <w:szCs w:val="18"/>
              </w:rPr>
              <w:t>Oservation : day 29, 36, 84</w:t>
            </w:r>
          </w:p>
        </w:tc>
        <w:tc>
          <w:tcPr>
            <w:tcW w:w="1668" w:type="dxa"/>
            <w:tcBorders>
              <w:top w:val="single" w:sz="4" w:space="0" w:color="auto"/>
              <w:bottom w:val="single" w:sz="4" w:space="0" w:color="auto"/>
            </w:tcBorders>
            <w:shd w:val="clear" w:color="auto" w:fill="auto"/>
            <w:vAlign w:val="center"/>
          </w:tcPr>
          <w:p w14:paraId="2E24E4D8" w14:textId="6BF02267" w:rsidR="00EB16FD" w:rsidRPr="00DC5D76" w:rsidRDefault="00EB16FD" w:rsidP="007F1961">
            <w:pPr>
              <w:jc w:val="center"/>
              <w:rPr>
                <w:rFonts w:cstheme="minorHAnsi"/>
                <w:color w:val="000000"/>
                <w:sz w:val="18"/>
                <w:szCs w:val="18"/>
              </w:rPr>
            </w:pPr>
            <w:r w:rsidRPr="00DC5D76">
              <w:rPr>
                <w:rFonts w:cstheme="minorHAnsi"/>
                <w:color w:val="000000"/>
                <w:sz w:val="18"/>
                <w:szCs w:val="18"/>
              </w:rPr>
              <w:t>Determination of tissue Ag</w:t>
            </w:r>
          </w:p>
        </w:tc>
        <w:tc>
          <w:tcPr>
            <w:tcW w:w="1703" w:type="dxa"/>
            <w:tcBorders>
              <w:top w:val="single" w:sz="4" w:space="0" w:color="auto"/>
              <w:bottom w:val="single" w:sz="4" w:space="0" w:color="auto"/>
            </w:tcBorders>
            <w:shd w:val="clear" w:color="auto" w:fill="auto"/>
            <w:vAlign w:val="center"/>
          </w:tcPr>
          <w:p w14:paraId="586BEB7D" w14:textId="7664C4E6" w:rsidR="00EB16FD" w:rsidRPr="00DC5D76" w:rsidRDefault="00EB16FD" w:rsidP="007F1961">
            <w:pPr>
              <w:jc w:val="center"/>
              <w:rPr>
                <w:rFonts w:cstheme="minorHAnsi"/>
                <w:color w:val="000000"/>
                <w:sz w:val="18"/>
                <w:szCs w:val="18"/>
              </w:rPr>
            </w:pPr>
            <w:r w:rsidRPr="00DC5D76">
              <w:rPr>
                <w:rFonts w:cstheme="minorHAnsi"/>
                <w:color w:val="000000"/>
                <w:sz w:val="18"/>
                <w:szCs w:val="18"/>
              </w:rPr>
              <w:t>Ag presence in testes</w:t>
            </w:r>
          </w:p>
        </w:tc>
        <w:tc>
          <w:tcPr>
            <w:tcW w:w="2010" w:type="dxa"/>
            <w:tcBorders>
              <w:top w:val="single" w:sz="4" w:space="0" w:color="auto"/>
              <w:bottom w:val="single" w:sz="4" w:space="0" w:color="auto"/>
            </w:tcBorders>
            <w:shd w:val="clear" w:color="auto" w:fill="auto"/>
            <w:vAlign w:val="center"/>
          </w:tcPr>
          <w:p w14:paraId="3F35FD04" w14:textId="77777777" w:rsidR="00EB16FD" w:rsidRPr="00DC5D76" w:rsidRDefault="00EB16FD" w:rsidP="007F1961">
            <w:pPr>
              <w:jc w:val="center"/>
              <w:rPr>
                <w:rFonts w:cstheme="minorHAnsi"/>
                <w:color w:val="000000"/>
                <w:sz w:val="18"/>
                <w:szCs w:val="18"/>
              </w:rPr>
            </w:pPr>
            <w:r w:rsidRPr="00DC5D76">
              <w:rPr>
                <w:rFonts w:cstheme="minorHAnsi"/>
                <w:color w:val="000000"/>
                <w:sz w:val="18"/>
                <w:szCs w:val="18"/>
              </w:rPr>
              <w:t>High Ag levels in testes</w:t>
            </w:r>
          </w:p>
        </w:tc>
        <w:tc>
          <w:tcPr>
            <w:tcW w:w="2273" w:type="dxa"/>
            <w:tcBorders>
              <w:top w:val="single" w:sz="4" w:space="0" w:color="auto"/>
              <w:bottom w:val="single" w:sz="4" w:space="0" w:color="auto"/>
            </w:tcBorders>
            <w:vAlign w:val="center"/>
          </w:tcPr>
          <w:p w14:paraId="15385DCB" w14:textId="77777777" w:rsidR="00EB16FD" w:rsidRPr="00AF6261" w:rsidRDefault="00EB16FD" w:rsidP="007F1961">
            <w:pPr>
              <w:jc w:val="center"/>
              <w:rPr>
                <w:rFonts w:ascii="Calibri" w:hAnsi="Calibri"/>
                <w:sz w:val="18"/>
                <w:szCs w:val="18"/>
                <w:lang w:val="en-US"/>
              </w:rPr>
            </w:pPr>
            <w:r w:rsidRPr="00DC5D76">
              <w:rPr>
                <w:rFonts w:ascii="Calibri" w:hAnsi="Calibri"/>
                <w:sz w:val="18"/>
                <w:szCs w:val="18"/>
                <w:lang w:val="en-US"/>
              </w:rPr>
              <w:t>Increased blood–testis barri</w:t>
            </w:r>
            <w:r w:rsidRPr="00AF6261">
              <w:rPr>
                <w:rFonts w:ascii="Calibri" w:hAnsi="Calibri"/>
                <w:sz w:val="18"/>
                <w:szCs w:val="18"/>
                <w:lang w:val="en-US"/>
              </w:rPr>
              <w:t>er (BTB) permeability</w:t>
            </w:r>
          </w:p>
        </w:tc>
        <w:tc>
          <w:tcPr>
            <w:tcW w:w="2386" w:type="dxa"/>
            <w:tcBorders>
              <w:top w:val="single" w:sz="4" w:space="0" w:color="auto"/>
              <w:bottom w:val="single" w:sz="4" w:space="0" w:color="auto"/>
            </w:tcBorders>
            <w:shd w:val="clear" w:color="auto" w:fill="auto"/>
            <w:vAlign w:val="center"/>
          </w:tcPr>
          <w:p w14:paraId="2E72F855"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0BADA894" w14:textId="77777777" w:rsidR="00EB16FD" w:rsidRPr="00AF6261" w:rsidRDefault="00EB16FD" w:rsidP="007F1961">
            <w:pPr>
              <w:jc w:val="center"/>
              <w:rPr>
                <w:rFonts w:ascii="Calibri" w:hAnsi="Calibri"/>
                <w:sz w:val="18"/>
                <w:szCs w:val="18"/>
                <w:lang w:val="en-US"/>
              </w:rPr>
            </w:pPr>
            <w:r w:rsidRPr="00AF6261">
              <w:rPr>
                <w:rFonts w:eastAsia="Times New Roman" w:cstheme="minorHAnsi"/>
                <w:sz w:val="18"/>
                <w:szCs w:val="18"/>
                <w:lang w:val="en-US" w:eastAsia="fr-FR"/>
              </w:rPr>
              <w:t>(ID1506)</w:t>
            </w:r>
          </w:p>
        </w:tc>
        <w:tc>
          <w:tcPr>
            <w:tcW w:w="851" w:type="dxa"/>
            <w:tcBorders>
              <w:top w:val="single" w:sz="4" w:space="0" w:color="auto"/>
              <w:left w:val="nil"/>
              <w:bottom w:val="single" w:sz="4" w:space="0" w:color="auto"/>
              <w:right w:val="single" w:sz="4" w:space="0" w:color="auto"/>
            </w:tcBorders>
          </w:tcPr>
          <w:p w14:paraId="2028E51F" w14:textId="0AE3F126" w:rsidR="00EB16FD" w:rsidRDefault="00EB16FD" w:rsidP="007F3FC3">
            <w:pPr>
              <w:spacing w:after="0" w:line="240" w:lineRule="auto"/>
              <w:jc w:val="center"/>
              <w:rPr>
                <w:rFonts w:ascii="Calibri" w:eastAsia="Times New Roman" w:hAnsi="Calibri" w:cstheme="minorHAnsi"/>
                <w:color w:val="000000"/>
                <w:sz w:val="18"/>
                <w:szCs w:val="18"/>
                <w:lang w:eastAsia="fr-FR"/>
              </w:rPr>
            </w:pPr>
            <w:r>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{"citationItems":[{"id":"ITEM-1","itemData":{"DOI":"10.1021/NN302649P","abstract":"We report the results of a 28-day oral exposure study in rats, exposed to &lt;20 nm noncoated, or &lt;15 nm PVP-coated silver nanoparticles ([Ag] = 90 mg/kg body weight (bw)), or AgNO3 ([Ag] = 9 mg/kg bw...","author":[{"dropping-particle":"","family":"Zande","given":"Meike","non-dropping-particle":"van der","parse-names":false,"suffix":""},{"dropping-particle":"","family":"Vandebriel","given":"Rob J.","non-dropping-particle":"","parse-names":false,"suffix":""},{"dropping-particle":"Van","family":"Doren","given":"Elke","non-dropping-particle":"","parse-names":false,"suffix":""},{"dropping-particle":"","family":"Kramer","given":"Evelien","non-dropping-particle":"","parse-names":false,"suffix":""},{"dropping-particle":"","family":"Rivera","given":"Zahira Herrera","non-dropping-particle":"","parse-names":false,"suffix":""},{"dropping-particle":"","family":"Serrano-Rojero","given":"Cecilia S.","non-dropping-particle":"","parse-names":false,"suffix":""},{"dropping-particle":"","family":"Gremmer","given":"Eric R.","non-dropping-particle":"","parse-names":false,"suffix":""</w:instrText>
            </w:r>
            <w:r w:rsidR="007F3FC3">
              <w:rPr>
                <w:rFonts w:ascii="Calibri" w:eastAsia="Times New Roman" w:hAnsi="Calibri" w:cstheme="minorHAnsi"/>
                <w:color w:val="000000"/>
                <w:sz w:val="18"/>
                <w:szCs w:val="18"/>
                <w:lang w:eastAsia="fr-FR"/>
              </w:rPr>
              <w:instrText>},{"dropping-particle":"","family":"Mast","given":"Jan","non-dropping-particle":"","parse-names":false,"suffix":""},{"dropping-particle":"","family":"Peters","given":"Ruud J. B.","non-dropping-particle":"","parse-names":false,"suffix":""},{"dropping-particle":"","family":"Hollman","given":"Peter C. H.","non-dropping-particle":"","parse-names":false,"suffix":""},{"dropping-particle":"","family":"Hendriksen","given":"Peter J. M.","non-dropping-particle":"","parse-names":false,"suffix":""},{"dropping-particle":"","family":"Marvin","given":"Hans J. P.","non-dropping-particle":"","parse-names":false,"suffix":""},{"dropping-particle":"","family":"Peijnenburg","given":"Ad A. C. M.","non-dropping-particle":"","parse-names":false,"suffix":""},{"dropping-particle":"","family":"Bouwmeester","given":"Hans","non-dropping-particle":"","parse-names":false,"suffix":""}],"container-title":"ACS Nano","id":"ITEM-1","issue":"8","issued":{"date-parts":[["2012","8","28"]]},"page":"7427-7442","publisher":"American Chemical Society","title":"Distribution, Elimination, and Toxicity of Silver Nanoparticles and Silver Ions in Rats after 28-Day Oral Exposure","type":"article-journal","volume":"6"},"uris":["http://www.mendeley.com/documents/?uuid=514590d0-7abc-38d5-8399-ba2a4b33f478"]}],"mendeley":{"formattedCitation":"(39)","plainTextFormattedCitation":"(39)","previouslyFormattedCitation":"(van der Zande et al. 2012)"},"properties":{"noteIndex":0},"schema":"https://github.com/citation-style-language/schema/raw/master/csl-citation.json"}</w:instrText>
            </w:r>
            <w:r>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(39)</w:t>
            </w:r>
            <w:r>
              <w:rPr>
                <w:rFonts w:ascii="Calibri" w:eastAsia="Times New Roman" w:hAnsi="Calibri" w:cstheme="minorHAnsi"/>
                <w:color w:val="000000"/>
                <w:sz w:val="18"/>
                <w:szCs w:val="18"/>
                <w:lang w:eastAsia="fr-FR"/>
              </w:rPr>
              <w:fldChar w:fldCharType="end"/>
            </w:r>
          </w:p>
        </w:tc>
      </w:tr>
      <w:tr w:rsidR="00EB16FD" w:rsidRPr="00912134" w14:paraId="5A5A5C67" w14:textId="77777777" w:rsidTr="007F1961">
        <w:trPr>
          <w:cantSplit/>
          <w:trHeight w:val="1507"/>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59CA19AF" w14:textId="77777777" w:rsidR="00EB16FD" w:rsidRDefault="00EB16FD" w:rsidP="00EB16FD">
            <w:pPr>
              <w:ind w:left="113" w:right="113"/>
              <w:jc w:val="center"/>
              <w:rPr>
                <w:rFonts w:cstheme="minorHAnsi"/>
                <w:color w:val="000000"/>
                <w:sz w:val="18"/>
                <w:szCs w:val="18"/>
              </w:rPr>
            </w:pPr>
            <w:r w:rsidRPr="009870F6">
              <w:rPr>
                <w:rFonts w:cstheme="minorHAnsi"/>
                <w:color w:val="000000"/>
                <w:sz w:val="18"/>
                <w:szCs w:val="18"/>
              </w:rPr>
              <w:t>Size : 56 nm</w:t>
            </w:r>
            <w:r>
              <w:rPr>
                <w:rFonts w:cstheme="minorHAnsi"/>
                <w:color w:val="000000"/>
                <w:sz w:val="18"/>
                <w:szCs w:val="18"/>
              </w:rPr>
              <w:t xml:space="preserve"> </w:t>
            </w:r>
          </w:p>
          <w:p w14:paraId="56AB5F49" w14:textId="394845F0" w:rsidR="00EB16FD" w:rsidRDefault="00EB16FD" w:rsidP="00EB16FD">
            <w:pPr>
              <w:ind w:left="113" w:right="113"/>
              <w:jc w:val="center"/>
              <w:rPr>
                <w:rFonts w:cstheme="minorHAnsi"/>
                <w:color w:val="000000"/>
                <w:sz w:val="18"/>
                <w:szCs w:val="18"/>
              </w:rPr>
            </w:pPr>
            <w:r w:rsidRPr="009870F6">
              <w:rPr>
                <w:rFonts w:cstheme="minorHAnsi"/>
                <w:color w:val="000000"/>
                <w:sz w:val="18"/>
                <w:szCs w:val="18"/>
              </w:rPr>
              <w:t>Shape : Spherical</w:t>
            </w:r>
          </w:p>
        </w:tc>
        <w:tc>
          <w:tcPr>
            <w:tcW w:w="1276" w:type="dxa"/>
            <w:tcBorders>
              <w:top w:val="single" w:sz="4" w:space="0" w:color="auto"/>
              <w:bottom w:val="single" w:sz="4" w:space="0" w:color="auto"/>
            </w:tcBorders>
            <w:shd w:val="clear" w:color="auto" w:fill="auto"/>
            <w:textDirection w:val="btLr"/>
            <w:vAlign w:val="center"/>
          </w:tcPr>
          <w:p w14:paraId="077359A7" w14:textId="24AFC93A" w:rsidR="00EB16FD" w:rsidRPr="00844062" w:rsidRDefault="00EB16FD" w:rsidP="00EB16FD">
            <w:pPr>
              <w:ind w:left="113" w:right="113"/>
              <w:jc w:val="center"/>
              <w:rPr>
                <w:rFonts w:cstheme="minorHAnsi"/>
                <w:sz w:val="18"/>
                <w:szCs w:val="18"/>
              </w:rPr>
            </w:pPr>
            <w:r w:rsidRPr="009870F6">
              <w:rPr>
                <w:rFonts w:cstheme="minorHAnsi"/>
                <w:sz w:val="18"/>
                <w:szCs w:val="18"/>
              </w:rPr>
              <w:t>Fisher 344 rat</w:t>
            </w:r>
            <w:r>
              <w:rPr>
                <w:rFonts w:cstheme="minorHAnsi"/>
                <w:sz w:val="18"/>
                <w:szCs w:val="18"/>
              </w:rPr>
              <w:t>s,</w:t>
            </w:r>
            <w:r w:rsidRPr="009870F6">
              <w:rPr>
                <w:rFonts w:cstheme="minorHAnsi"/>
                <w:sz w:val="18"/>
                <w:szCs w:val="18"/>
              </w:rPr>
              <w:t xml:space="preserve"> Oral gavage</w:t>
            </w:r>
          </w:p>
        </w:tc>
        <w:tc>
          <w:tcPr>
            <w:tcW w:w="1275" w:type="dxa"/>
            <w:tcBorders>
              <w:top w:val="single" w:sz="4" w:space="0" w:color="auto"/>
              <w:bottom w:val="single" w:sz="4" w:space="0" w:color="auto"/>
            </w:tcBorders>
            <w:textDirection w:val="btLr"/>
            <w:vAlign w:val="center"/>
          </w:tcPr>
          <w:p w14:paraId="6F42FEE2" w14:textId="06C7830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13 week 0, 125, or500 mg/kg/day</w:t>
            </w:r>
          </w:p>
        </w:tc>
        <w:tc>
          <w:tcPr>
            <w:tcW w:w="1668" w:type="dxa"/>
            <w:tcBorders>
              <w:top w:val="single" w:sz="4" w:space="0" w:color="auto"/>
              <w:bottom w:val="single" w:sz="4" w:space="0" w:color="auto"/>
            </w:tcBorders>
            <w:shd w:val="clear" w:color="auto" w:fill="auto"/>
            <w:vAlign w:val="center"/>
          </w:tcPr>
          <w:p w14:paraId="78390C2D" w14:textId="12E29296" w:rsidR="00EB16FD" w:rsidRPr="00844062" w:rsidRDefault="00EB16FD" w:rsidP="007F1961">
            <w:pPr>
              <w:jc w:val="center"/>
              <w:rPr>
                <w:rFonts w:cstheme="minorHAnsi"/>
                <w:color w:val="000000"/>
                <w:sz w:val="18"/>
                <w:szCs w:val="18"/>
              </w:rPr>
            </w:pPr>
            <w:r>
              <w:rPr>
                <w:rFonts w:cstheme="minorHAnsi"/>
                <w:color w:val="000000"/>
                <w:sz w:val="18"/>
                <w:szCs w:val="18"/>
              </w:rPr>
              <w:t>Determination of tissue Ag</w:t>
            </w:r>
          </w:p>
        </w:tc>
        <w:tc>
          <w:tcPr>
            <w:tcW w:w="1703" w:type="dxa"/>
            <w:tcBorders>
              <w:top w:val="single" w:sz="4" w:space="0" w:color="auto"/>
              <w:bottom w:val="single" w:sz="4" w:space="0" w:color="auto"/>
            </w:tcBorders>
            <w:shd w:val="clear" w:color="auto" w:fill="auto"/>
            <w:vAlign w:val="center"/>
          </w:tcPr>
          <w:p w14:paraId="3F94FFBA" w14:textId="524B6A9F"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Ag presence in testes AAS</w:t>
            </w:r>
          </w:p>
        </w:tc>
        <w:tc>
          <w:tcPr>
            <w:tcW w:w="2010" w:type="dxa"/>
            <w:tcBorders>
              <w:top w:val="single" w:sz="4" w:space="0" w:color="auto"/>
              <w:bottom w:val="single" w:sz="4" w:space="0" w:color="auto"/>
            </w:tcBorders>
            <w:shd w:val="clear" w:color="auto" w:fill="auto"/>
            <w:vAlign w:val="center"/>
          </w:tcPr>
          <w:p w14:paraId="52235344" w14:textId="3246304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Dose-dependent increase in testicular Ag levels</w:t>
            </w:r>
          </w:p>
        </w:tc>
        <w:tc>
          <w:tcPr>
            <w:tcW w:w="2273" w:type="dxa"/>
            <w:tcBorders>
              <w:top w:val="single" w:sz="4" w:space="0" w:color="auto"/>
              <w:bottom w:val="single" w:sz="4" w:space="0" w:color="auto"/>
            </w:tcBorders>
            <w:vAlign w:val="center"/>
          </w:tcPr>
          <w:p w14:paraId="303E4998" w14:textId="49B6D774" w:rsidR="00EB16FD" w:rsidRPr="00AF6261" w:rsidRDefault="00EB16FD" w:rsidP="007F1961">
            <w:pPr>
              <w:jc w:val="center"/>
              <w:rPr>
                <w:rFonts w:ascii="Calibri" w:hAnsi="Calibri"/>
                <w:sz w:val="18"/>
                <w:szCs w:val="18"/>
                <w:lang w:val="en-US"/>
              </w:rPr>
            </w:pPr>
            <w:r w:rsidRPr="00AF6261">
              <w:rPr>
                <w:rFonts w:ascii="Calibri" w:hAnsi="Calibri"/>
                <w:sz w:val="18"/>
                <w:szCs w:val="18"/>
                <w:lang w:val="en-US"/>
              </w:rPr>
              <w:t>Penetration to the blood–testis barrier</w:t>
            </w:r>
          </w:p>
        </w:tc>
        <w:tc>
          <w:tcPr>
            <w:tcW w:w="2386" w:type="dxa"/>
            <w:tcBorders>
              <w:top w:val="single" w:sz="4" w:space="0" w:color="auto"/>
              <w:bottom w:val="single" w:sz="4" w:space="0" w:color="auto"/>
            </w:tcBorders>
            <w:shd w:val="clear" w:color="auto" w:fill="auto"/>
            <w:vAlign w:val="center"/>
          </w:tcPr>
          <w:p w14:paraId="067457CF" w14:textId="77777777" w:rsidR="00EB16FD" w:rsidRPr="007F3FC3" w:rsidRDefault="00EB16FD" w:rsidP="007F1961">
            <w:pPr>
              <w:spacing w:after="0" w:line="240" w:lineRule="auto"/>
              <w:jc w:val="center"/>
              <w:rPr>
                <w:rFonts w:eastAsia="Times New Roman" w:cstheme="minorHAnsi"/>
                <w:sz w:val="18"/>
                <w:szCs w:val="18"/>
                <w:lang w:eastAsia="fr-FR"/>
              </w:rPr>
            </w:pPr>
            <w:r w:rsidRPr="007F3FC3">
              <w:rPr>
                <w:rFonts w:eastAsia="Times New Roman" w:cstheme="minorHAnsi"/>
                <w:sz w:val="18"/>
                <w:szCs w:val="18"/>
                <w:lang w:eastAsia="fr-FR"/>
              </w:rPr>
              <w:t>Testicular atrophy</w:t>
            </w:r>
          </w:p>
          <w:p w14:paraId="609A29A7" w14:textId="38594B6F" w:rsidR="00EB16FD" w:rsidRPr="007F3FC3" w:rsidRDefault="00EB16FD" w:rsidP="007F1961">
            <w:pPr>
              <w:spacing w:after="0" w:line="240" w:lineRule="auto"/>
              <w:jc w:val="center"/>
              <w:rPr>
                <w:rFonts w:eastAsia="Times New Roman" w:cstheme="minorHAnsi"/>
                <w:sz w:val="18"/>
                <w:szCs w:val="18"/>
                <w:lang w:eastAsia="fr-FR"/>
              </w:rPr>
            </w:pPr>
            <w:r w:rsidRPr="007F3FC3">
              <w:rPr>
                <w:rFonts w:eastAsia="Times New Roman" w:cstheme="minorHAnsi"/>
                <w:sz w:val="18"/>
                <w:szCs w:val="18"/>
                <w:lang w:eastAsia="fr-FR"/>
              </w:rPr>
              <w:t>(ID1506)</w:t>
            </w:r>
          </w:p>
        </w:tc>
        <w:tc>
          <w:tcPr>
            <w:tcW w:w="851" w:type="dxa"/>
            <w:tcBorders>
              <w:top w:val="single" w:sz="4" w:space="0" w:color="auto"/>
              <w:left w:val="nil"/>
              <w:bottom w:val="single" w:sz="4" w:space="0" w:color="auto"/>
              <w:right w:val="single" w:sz="4" w:space="0" w:color="auto"/>
            </w:tcBorders>
          </w:tcPr>
          <w:p w14:paraId="153CD8EB" w14:textId="2B08C491" w:rsidR="00EB16FD" w:rsidRDefault="00EB16FD" w:rsidP="007F3FC3">
            <w:pPr>
              <w:spacing w:after="0" w:line="240" w:lineRule="auto"/>
              <w:jc w:val="center"/>
              <w:rPr>
                <w:rFonts w:ascii="Calibri" w:eastAsia="Times New Roman" w:hAnsi="Calibri" w:cstheme="minorHAnsi"/>
                <w:color w:val="000000"/>
                <w:sz w:val="18"/>
                <w:szCs w:val="18"/>
                <w:lang w:eastAsia="fr-FR"/>
              </w:rPr>
            </w:pPr>
            <w:r>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{"citationItems":[{"id":"ITEM-1","itemData":{"abstract":"Background: The antibacterial effect of silver nanoparticles has resulted in their extensive application in health, electronic, consumer, medicinal, pesticide, and home products; however, silver nanoparticles remain a controversial area of research with respect to their toxicity in biological and ecological systems.","author":[{"dropping-particle":"","family":"Soon Kim","given":"Yong","non-dropping-particle":"","parse-names":false,"suffix":""},{"dropping-particle":"","family":"Yong Song","given":"Moon","non-dropping-particle":"","parse-names":false,"suffix":""},{"dropping-particle":"","family":"Duck Park","given":"Jung","non-dropping-particle":"","parse-names":false,"suffix":""},{"dropping-particle":"","family":"Seuk Song","given":"Kyung","non-dropping-particle":"","parse-names":false,"suffix":""},{"dropping-particle":"","family":"Ryol Ryu","given":"Hyeon","non-dropping-particle":"","parse-names":false,"suffix":""},{"dropping-particle":"","family":"Hyun Chung","given":"Yong","non-dropping-particle":"","parse-names":false,"suffix":""},{"dropping-particle":"","family":"Kyung Chang","given":"Hee","non-dropping-particle":"","parse-names":false,"suffix":""},{"dropping-particle":"","family":"Hyun Lee","given":"Ji","non-dropping-particle":"","parse-names":false,"suffix":""},{"dropping-particle":"","family":"Hui Oh","given":"Kyung","non-dropping-particle":"","parse-names":false,"suffix":""},{"dropping-particle":"","family":"Kelman","given":"Bruce J","non-dropping-particle":"","parse-names":false,"suffix":""},{"dropping-particle":"","family":"Koo Hwang","given":"In","non-dropping-particle":"","parse-names":false,"suffix":""},{"dropping-particle":"","family":"Je Yu","given":"Il","non-dropping-particle":"","parse-names":false,"suffix":""}],"id":"ITEM-1","issued":{"date-parts":[["2010"]]},"title":"Subchronic oral toxicity of silver nanoparticles","type":"article-journal"},"uris":["http://www.mendeley.com/documents/?uuid=698bbc16-8ae6-3c5d-867d-d14a3d8b994e"]}],"mendeley":{"formattedCitation":"(40)","plainTextFormattedCitation":"(40)","previouslyFormattedCitation":"(Soon Kim et al. 2010)"},"properties":{"noteIndex":0},"schema":"https://github.com/citation-style-language/schema/raw/master/csl-citation.json"}</w:instrText>
            </w:r>
            <w:r>
              <w:rPr>
                <w:rFonts w:ascii="Calibri" w:eastAsia="Times New Roman" w:hAnsi="Calibri" w:cstheme="minorHAnsi"/>
                <w:color w:val="000000"/>
                <w:sz w:val="18"/>
                <w:szCs w:val="18"/>
                <w:lang w:eastAsia="fr-FR"/>
              </w:rPr>
              <w:fldChar w:fldCharType="separate"/>
            </w:r>
            <w:r w:rsidR="007F3FC3" w:rsidRPr="007F3FC3">
              <w:rPr>
                <w:rFonts w:ascii="Calibri" w:eastAsia="Times New Roman" w:hAnsi="Calibri" w:cstheme="minorHAnsi"/>
                <w:noProof/>
                <w:color w:val="000000"/>
                <w:sz w:val="18"/>
                <w:szCs w:val="18"/>
                <w:lang w:eastAsia="fr-FR"/>
              </w:rPr>
              <w:t>(40)</w:t>
            </w:r>
            <w:r>
              <w:rPr>
                <w:rFonts w:ascii="Calibri" w:eastAsia="Times New Roman" w:hAnsi="Calibri" w:cstheme="minorHAnsi"/>
                <w:color w:val="000000"/>
                <w:sz w:val="18"/>
                <w:szCs w:val="18"/>
                <w:lang w:eastAsia="fr-FR"/>
              </w:rPr>
              <w:fldChar w:fldCharType="end"/>
            </w:r>
          </w:p>
        </w:tc>
      </w:tr>
      <w:tr w:rsidR="00EB16FD" w:rsidRPr="00DC5D76" w14:paraId="1F3FE0CB" w14:textId="77777777" w:rsidTr="007F3FC3">
        <w:trPr>
          <w:cantSplit/>
          <w:trHeight w:val="1506"/>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5447B491" w14:textId="1A8CDCD6"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lastRenderedPageBreak/>
              <w:t>AgNPs (Sigma–Aldrich 484059)</w:t>
            </w:r>
          </w:p>
          <w:p w14:paraId="5DE6FEA8"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Size : 22, 42, 71, or 323 nm</w:t>
            </w:r>
          </w:p>
        </w:tc>
        <w:tc>
          <w:tcPr>
            <w:tcW w:w="1276" w:type="dxa"/>
            <w:tcBorders>
              <w:top w:val="single" w:sz="4" w:space="0" w:color="auto"/>
              <w:bottom w:val="single" w:sz="4" w:space="0" w:color="auto"/>
            </w:tcBorders>
            <w:shd w:val="clear" w:color="auto" w:fill="auto"/>
            <w:textDirection w:val="btLr"/>
            <w:vAlign w:val="center"/>
          </w:tcPr>
          <w:p w14:paraId="01C46706" w14:textId="7777777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Male ICR mice, Oral gavage</w:t>
            </w:r>
          </w:p>
        </w:tc>
        <w:tc>
          <w:tcPr>
            <w:tcW w:w="1275" w:type="dxa"/>
            <w:tcBorders>
              <w:top w:val="single" w:sz="4" w:space="0" w:color="auto"/>
              <w:bottom w:val="single" w:sz="4" w:space="0" w:color="auto"/>
            </w:tcBorders>
            <w:textDirection w:val="btLr"/>
            <w:vAlign w:val="center"/>
          </w:tcPr>
          <w:p w14:paraId="66B10B8C" w14:textId="7777777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1 mg/kg/day over 14 days</w:t>
            </w:r>
          </w:p>
        </w:tc>
        <w:tc>
          <w:tcPr>
            <w:tcW w:w="1668" w:type="dxa"/>
            <w:tcBorders>
              <w:top w:val="single" w:sz="4" w:space="0" w:color="auto"/>
              <w:bottom w:val="single" w:sz="4" w:space="0" w:color="auto"/>
            </w:tcBorders>
            <w:shd w:val="clear" w:color="auto" w:fill="auto"/>
            <w:vAlign w:val="center"/>
          </w:tcPr>
          <w:p w14:paraId="3114E6CF" w14:textId="77777777" w:rsidR="00EB16FD" w:rsidRPr="00844062" w:rsidRDefault="00EB16FD" w:rsidP="00EB16FD">
            <w:pPr>
              <w:jc w:val="center"/>
              <w:rPr>
                <w:rFonts w:cstheme="minorHAnsi"/>
                <w:color w:val="000000"/>
                <w:sz w:val="18"/>
                <w:szCs w:val="18"/>
              </w:rPr>
            </w:pPr>
            <w:r w:rsidRPr="00844062">
              <w:rPr>
                <w:rFonts w:cstheme="minorHAnsi"/>
                <w:color w:val="000000"/>
                <w:sz w:val="18"/>
                <w:szCs w:val="18"/>
              </w:rPr>
              <w:t xml:space="preserve">Determination of tissue Ag </w:t>
            </w:r>
          </w:p>
        </w:tc>
        <w:tc>
          <w:tcPr>
            <w:tcW w:w="1703" w:type="dxa"/>
            <w:tcBorders>
              <w:top w:val="single" w:sz="4" w:space="0" w:color="auto"/>
              <w:bottom w:val="single" w:sz="4" w:space="0" w:color="auto"/>
            </w:tcBorders>
            <w:shd w:val="clear" w:color="auto" w:fill="auto"/>
            <w:vAlign w:val="center"/>
          </w:tcPr>
          <w:p w14:paraId="09E761BA"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Ag presence in testes AAS</w:t>
            </w:r>
          </w:p>
        </w:tc>
        <w:tc>
          <w:tcPr>
            <w:tcW w:w="2010" w:type="dxa"/>
            <w:tcBorders>
              <w:top w:val="single" w:sz="4" w:space="0" w:color="auto"/>
              <w:bottom w:val="single" w:sz="4" w:space="0" w:color="auto"/>
            </w:tcBorders>
            <w:shd w:val="clear" w:color="auto" w:fill="auto"/>
            <w:vAlign w:val="center"/>
          </w:tcPr>
          <w:p w14:paraId="0C9CDDD6" w14:textId="77777777" w:rsidR="00EB16FD" w:rsidRPr="009870F6" w:rsidRDefault="00EB16FD" w:rsidP="00EB16FD">
            <w:pPr>
              <w:jc w:val="center"/>
              <w:rPr>
                <w:rFonts w:cstheme="minorHAnsi"/>
                <w:color w:val="000000"/>
                <w:sz w:val="18"/>
                <w:szCs w:val="18"/>
              </w:rPr>
            </w:pPr>
            <w:r w:rsidRPr="009870F6">
              <w:rPr>
                <w:rFonts w:cstheme="minorHAnsi"/>
                <w:color w:val="000000"/>
                <w:sz w:val="18"/>
                <w:szCs w:val="18"/>
              </w:rPr>
              <w:t>NP accumulation in testes</w:t>
            </w:r>
          </w:p>
        </w:tc>
        <w:tc>
          <w:tcPr>
            <w:tcW w:w="2273" w:type="dxa"/>
            <w:tcBorders>
              <w:top w:val="single" w:sz="4" w:space="0" w:color="auto"/>
              <w:bottom w:val="single" w:sz="4" w:space="0" w:color="auto"/>
            </w:tcBorders>
            <w:vAlign w:val="center"/>
          </w:tcPr>
          <w:p w14:paraId="78F7163B" w14:textId="77777777" w:rsidR="00EB16FD" w:rsidRPr="00AF6261" w:rsidRDefault="00EB16FD" w:rsidP="007F1961">
            <w:pPr>
              <w:jc w:val="center"/>
              <w:rPr>
                <w:rFonts w:ascii="Calibri" w:hAnsi="Calibri"/>
                <w:sz w:val="18"/>
                <w:szCs w:val="18"/>
                <w:lang w:val="en-US"/>
              </w:rPr>
            </w:pPr>
            <w:r w:rsidRPr="00AF6261">
              <w:rPr>
                <w:rFonts w:ascii="Calibri" w:hAnsi="Calibri"/>
                <w:sz w:val="18"/>
                <w:szCs w:val="18"/>
                <w:lang w:val="en-US"/>
              </w:rPr>
              <w:t>Increased blood–testis barrier (BTB) permeability</w:t>
            </w:r>
          </w:p>
        </w:tc>
        <w:tc>
          <w:tcPr>
            <w:tcW w:w="2386" w:type="dxa"/>
            <w:tcBorders>
              <w:top w:val="single" w:sz="4" w:space="0" w:color="auto"/>
              <w:bottom w:val="single" w:sz="4" w:space="0" w:color="auto"/>
            </w:tcBorders>
            <w:shd w:val="clear" w:color="auto" w:fill="auto"/>
            <w:vAlign w:val="center"/>
          </w:tcPr>
          <w:p w14:paraId="3A1CDE2E" w14:textId="77777777" w:rsidR="00EB16FD" w:rsidRPr="007F3FC3" w:rsidRDefault="00EB16FD" w:rsidP="007F1961">
            <w:pPr>
              <w:spacing w:after="0" w:line="240" w:lineRule="auto"/>
              <w:jc w:val="center"/>
              <w:rPr>
                <w:rFonts w:eastAsia="Times New Roman" w:cstheme="minorHAnsi"/>
                <w:sz w:val="18"/>
                <w:szCs w:val="18"/>
                <w:lang w:eastAsia="fr-FR"/>
              </w:rPr>
            </w:pPr>
            <w:r w:rsidRPr="007F3FC3">
              <w:rPr>
                <w:rFonts w:eastAsia="Times New Roman" w:cstheme="minorHAnsi"/>
                <w:sz w:val="18"/>
                <w:szCs w:val="18"/>
                <w:lang w:eastAsia="fr-FR"/>
              </w:rPr>
              <w:t>Testicular atrophy</w:t>
            </w:r>
          </w:p>
          <w:p w14:paraId="00845139" w14:textId="77777777" w:rsidR="00EB16FD" w:rsidRPr="007F3FC3" w:rsidRDefault="00EB16FD" w:rsidP="007F1961">
            <w:pPr>
              <w:jc w:val="center"/>
              <w:rPr>
                <w:rFonts w:ascii="Calibri" w:hAnsi="Calibri"/>
                <w:sz w:val="18"/>
                <w:szCs w:val="18"/>
              </w:rPr>
            </w:pPr>
            <w:r w:rsidRPr="007F3FC3">
              <w:rPr>
                <w:rFonts w:eastAsia="Times New Roman" w:cstheme="minorHAnsi"/>
                <w:sz w:val="18"/>
                <w:szCs w:val="18"/>
                <w:lang w:eastAsia="fr-FR"/>
              </w:rPr>
              <w:t>(ID1506)</w:t>
            </w:r>
          </w:p>
        </w:tc>
        <w:tc>
          <w:tcPr>
            <w:tcW w:w="851" w:type="dxa"/>
            <w:tcBorders>
              <w:top w:val="single" w:sz="4" w:space="0" w:color="auto"/>
              <w:left w:val="nil"/>
              <w:bottom w:val="single" w:sz="4" w:space="0" w:color="auto"/>
              <w:right w:val="single" w:sz="4" w:space="0" w:color="auto"/>
            </w:tcBorders>
          </w:tcPr>
          <w:p w14:paraId="6F2CA842" w14:textId="42F6D8E6"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Pr>
                <w:rFonts w:ascii="Calibri" w:eastAsia="Times New Roman" w:hAnsi="Calibri" w:cstheme="minorHAnsi"/>
                <w:color w:val="000000"/>
                <w:sz w:val="18"/>
                <w:szCs w:val="18"/>
                <w:lang w:eastAsia="fr-FR"/>
              </w:rPr>
              <w:fldChar w:fldCharType="begin" w:fldLock="1"/>
            </w:r>
            <w:r w:rsidR="007F3FC3">
              <w:rPr>
                <w:rFonts w:ascii="Calibri" w:eastAsia="Times New Roman" w:hAnsi="Calibri" w:cstheme="minorHAnsi"/>
                <w:color w:val="000000"/>
                <w:sz w:val="18"/>
                <w:szCs w:val="18"/>
                <w:lang w:eastAsia="fr-FR"/>
              </w:rPr>
              <w:instrText>ADDIN CSL_CITATION {"citationItems":[{"id":"ITEM-1","itemData":{"DOI":"10.1016/J.ETAP.2010.05.004","ISSN":"1382-6689","abstract":"Toxicity of nanoparticles depends on many factors including size, shape, chemical composition, surface area, surface charge, and others. In this study, we compared the toxicity of different sized-silver nanoparticles (AgNPs) which are being widely used in consumer products due to its unique antimicrobial activity. When mice were treated with AgNPs 1 mg/kg for 14 days by oral administration, small-sized AgNPs (22 nm, 42 nm, and 71 nm) were distributed to the organs including brain, lung, liver, kidney, and testis while large-sized AgNPs (323. nm) were not detected in those tissues. The levels of TGF-β in serum were also significantly increased in the treated group of small-sized AgNPs but not in large-sized AgNPs. In addition, B cell distribution was increased in small-sized AgNPs but not in large-sized-AgNPs by the phenotype analysis. However, body weight or in the ratio of organ/body weight were not different between the control group and all the AgNPs-treated groups. The repeated-dose toxicity of AgNPs (42. nm) was also investigated in mice by oral administration for 28 days. By the administration of AgNPs (0.25. mg/kg, 0.50. mg/kg, 1.00. mg/kg), adverse impacts on liver and kidney were observed in a high dose-treated group (1.00. mg/kg), when determined by blood chemistry and histipathological analysis. Cytokines including IL-1, IL-6, IL-4, IL-10, IL-12, and TGF-β were also increased in a dose-dependent manner by repeated oral administration. In addition, B cell distribution in lymphocyte and IgE production were increased. Based on these results, it is suggested that repeated oral administration of nano-sized AgNPs may cause organ toxicity and inflammatory responses in mice. © 2010 Elsevier B.V.","author":[{"dropping-particle":"","family":"Park","given":"Eun Jung","non-dropping-particle":"","parse-names":false,"suffix":""},{"dropping-particle":"","family":"Bae","given":"Eunjoo","non-dropping-particle":"","parse-names":false,"suffi</w:instrText>
            </w:r>
            <w:r w:rsidR="007F3FC3" w:rsidRPr="00AF6261">
              <w:rPr>
                <w:rFonts w:ascii="Calibri" w:eastAsia="Times New Roman" w:hAnsi="Calibri" w:cstheme="minorHAnsi"/>
                <w:color w:val="000000"/>
                <w:sz w:val="18"/>
                <w:szCs w:val="18"/>
                <w:lang w:val="en-US" w:eastAsia="fr-FR"/>
              </w:rPr>
              <w:instrText>x":""},{"dropping-particle":"","family":"Yi","given":"Jongheop","non-dropping-particle":"","parse-names":false,"suffix":""},{"dropping-particle":"","family":"Kim","given":"Younghun","non-dropping-particle":"","parse-names":false,"suffix":""},{"dropping-particle":"","family":"Choi","given":"Kyunghee","non-dropping-particle":"","parse-names":false,"suffix":""},{"dropping-particle":"","family":"Lee","given":"Sang Hee","non-dropping-particle":"","parse-names":false,"suffix":""},{"dropping-particle":"","family":"Yoon","given":"Junheon","non-dropping-particle":"","parse-names":false,"suffix":""},{"dropping-particle":"","family":"Lee","given":"Byung Chun","non-dropping-particle":"","parse-names":false,"suffix":""},{"dropping-particle":"","family":"Park","given":"Kwangsik","non-dropping-particle":"","parse-names":false,"suffix":""}],"container-title":"Environmental Toxicology and Pharmacology","id":"ITEM-1","issue":"2","issued":{"date-parts":[["2010","9","1"]]},"page":"162-168","publisher":"Elsevier","title":"Repeated-dose toxicity and inflammatory responses in mice by oral administration of silver nanoparticles","type":"article-journal","volume":"30"},"uris":["http://www.mendeley.com/documents/?uuid=7038cc80-d184-3c5e-a667-08df3e0fe7b3"]}],"mendeley":{"formattedCitation":"(41)","plainTextFormattedCitation":"(41)","previouslyFormattedCitation":"(Park et al. 2010)"},"properties":{"noteIndex":0},"schema":"https://github.com/citation-style-language/schema/raw/master/csl-citation.json"}</w:instrText>
            </w:r>
            <w:r>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(41)</w:t>
            </w:r>
            <w:r>
              <w:rPr>
                <w:rFonts w:ascii="Calibri" w:eastAsia="Times New Roman" w:hAnsi="Calibri" w:cstheme="minorHAnsi"/>
                <w:color w:val="000000"/>
                <w:sz w:val="18"/>
                <w:szCs w:val="18"/>
                <w:lang w:eastAsia="fr-FR"/>
              </w:rPr>
              <w:fldChar w:fldCharType="end"/>
            </w:r>
          </w:p>
        </w:tc>
      </w:tr>
      <w:tr w:rsidR="00EB16FD" w:rsidRPr="00DC5D76" w14:paraId="68011BB9" w14:textId="77777777" w:rsidTr="007F3FC3">
        <w:trPr>
          <w:cantSplit/>
          <w:trHeight w:val="1411"/>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709F91A7"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sz w:val="18"/>
                <w:szCs w:val="18"/>
                <w:lang w:val="en-US"/>
              </w:rPr>
              <w:t>Size : 20, 80 and 110 nm, Shape: Spherical</w:t>
            </w:r>
          </w:p>
        </w:tc>
        <w:tc>
          <w:tcPr>
            <w:tcW w:w="1276" w:type="dxa"/>
            <w:tcBorders>
              <w:top w:val="single" w:sz="4" w:space="0" w:color="auto"/>
              <w:bottom w:val="single" w:sz="4" w:space="0" w:color="auto"/>
            </w:tcBorders>
            <w:shd w:val="clear" w:color="auto" w:fill="auto"/>
            <w:textDirection w:val="btLr"/>
            <w:vAlign w:val="center"/>
          </w:tcPr>
          <w:p w14:paraId="34A39F91" w14:textId="7777777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Wistar rats, intravenous</w:t>
            </w:r>
          </w:p>
        </w:tc>
        <w:tc>
          <w:tcPr>
            <w:tcW w:w="1275" w:type="dxa"/>
            <w:tcBorders>
              <w:top w:val="single" w:sz="4" w:space="0" w:color="auto"/>
              <w:bottom w:val="single" w:sz="4" w:space="0" w:color="auto"/>
            </w:tcBorders>
            <w:textDirection w:val="btLr"/>
            <w:vAlign w:val="center"/>
          </w:tcPr>
          <w:p w14:paraId="042D46BC" w14:textId="7777777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1 mL nanosilver dispersion once daily for 5 consecutive days.</w:t>
            </w:r>
          </w:p>
        </w:tc>
        <w:tc>
          <w:tcPr>
            <w:tcW w:w="1668" w:type="dxa"/>
            <w:tcBorders>
              <w:top w:val="single" w:sz="4" w:space="0" w:color="auto"/>
              <w:bottom w:val="single" w:sz="4" w:space="0" w:color="auto"/>
            </w:tcBorders>
            <w:shd w:val="clear" w:color="auto" w:fill="auto"/>
            <w:vAlign w:val="center"/>
          </w:tcPr>
          <w:p w14:paraId="57FF5198"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 xml:space="preserve">Determination of tissue Ag </w:t>
            </w:r>
          </w:p>
        </w:tc>
        <w:tc>
          <w:tcPr>
            <w:tcW w:w="1703" w:type="dxa"/>
            <w:tcBorders>
              <w:top w:val="single" w:sz="4" w:space="0" w:color="auto"/>
              <w:bottom w:val="single" w:sz="4" w:space="0" w:color="auto"/>
            </w:tcBorders>
            <w:shd w:val="clear" w:color="auto" w:fill="auto"/>
            <w:vAlign w:val="center"/>
          </w:tcPr>
          <w:p w14:paraId="78EA1001"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Ag presence in testes AAS</w:t>
            </w:r>
          </w:p>
        </w:tc>
        <w:tc>
          <w:tcPr>
            <w:tcW w:w="2010" w:type="dxa"/>
            <w:tcBorders>
              <w:top w:val="single" w:sz="4" w:space="0" w:color="auto"/>
              <w:bottom w:val="single" w:sz="4" w:space="0" w:color="auto"/>
            </w:tcBorders>
            <w:shd w:val="clear" w:color="auto" w:fill="auto"/>
            <w:vAlign w:val="center"/>
          </w:tcPr>
          <w:p w14:paraId="4674E3C2"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NP accumulation in testes</w:t>
            </w:r>
          </w:p>
        </w:tc>
        <w:tc>
          <w:tcPr>
            <w:tcW w:w="2273" w:type="dxa"/>
            <w:tcBorders>
              <w:top w:val="single" w:sz="4" w:space="0" w:color="auto"/>
              <w:bottom w:val="single" w:sz="4" w:space="0" w:color="auto"/>
            </w:tcBorders>
            <w:vAlign w:val="center"/>
          </w:tcPr>
          <w:p w14:paraId="0D526AD0" w14:textId="77777777" w:rsidR="00EB16FD" w:rsidRPr="00AF6261" w:rsidRDefault="00EB16FD" w:rsidP="007F1961">
            <w:pPr>
              <w:jc w:val="center"/>
              <w:rPr>
                <w:rFonts w:ascii="Calibri" w:hAnsi="Calibri"/>
                <w:sz w:val="18"/>
                <w:szCs w:val="18"/>
                <w:lang w:val="en-US"/>
              </w:rPr>
            </w:pPr>
            <w:r w:rsidRPr="00AF6261">
              <w:rPr>
                <w:rFonts w:ascii="Calibri" w:hAnsi="Calibri"/>
                <w:sz w:val="18"/>
                <w:szCs w:val="18"/>
                <w:lang w:val="en-US"/>
              </w:rPr>
              <w:t>Increased blood–testis barrier (BTB) permeability</w:t>
            </w:r>
          </w:p>
        </w:tc>
        <w:tc>
          <w:tcPr>
            <w:tcW w:w="2386" w:type="dxa"/>
            <w:tcBorders>
              <w:top w:val="single" w:sz="4" w:space="0" w:color="auto"/>
              <w:bottom w:val="single" w:sz="4" w:space="0" w:color="auto"/>
            </w:tcBorders>
            <w:shd w:val="clear" w:color="auto" w:fill="auto"/>
            <w:vAlign w:val="center"/>
          </w:tcPr>
          <w:p w14:paraId="2DD85F2B" w14:textId="77777777" w:rsidR="00EB16FD" w:rsidRPr="00AF6261" w:rsidRDefault="00EB16FD" w:rsidP="007F1961">
            <w:pPr>
              <w:spacing w:after="0" w:line="240" w:lineRule="auto"/>
              <w:jc w:val="center"/>
              <w:rPr>
                <w:rFonts w:eastAsia="Times New Roman" w:cstheme="minorHAnsi"/>
                <w:sz w:val="18"/>
                <w:szCs w:val="18"/>
                <w:lang w:val="en-US" w:eastAsia="fr-FR"/>
              </w:rPr>
            </w:pPr>
            <w:r w:rsidRPr="00AF6261">
              <w:rPr>
                <w:rFonts w:eastAsia="Times New Roman" w:cstheme="minorHAnsi"/>
                <w:sz w:val="18"/>
                <w:szCs w:val="18"/>
                <w:lang w:val="en-US" w:eastAsia="fr-FR"/>
              </w:rPr>
              <w:t>Testicular atrophy</w:t>
            </w:r>
          </w:p>
          <w:p w14:paraId="60C7B189" w14:textId="77777777" w:rsidR="00EB16FD" w:rsidRPr="00AF6261" w:rsidRDefault="00EB16FD" w:rsidP="007F1961">
            <w:pPr>
              <w:jc w:val="center"/>
              <w:rPr>
                <w:rFonts w:ascii="Calibri" w:hAnsi="Calibri"/>
                <w:sz w:val="18"/>
                <w:szCs w:val="18"/>
                <w:lang w:val="en-US"/>
              </w:rPr>
            </w:pPr>
            <w:r w:rsidRPr="00AF6261">
              <w:rPr>
                <w:rFonts w:eastAsia="Times New Roman" w:cstheme="minorHAnsi"/>
                <w:sz w:val="18"/>
                <w:szCs w:val="18"/>
                <w:lang w:val="en-US" w:eastAsia="fr-FR"/>
              </w:rPr>
              <w:t>(ID1506)</w:t>
            </w:r>
          </w:p>
        </w:tc>
        <w:tc>
          <w:tcPr>
            <w:tcW w:w="851" w:type="dxa"/>
            <w:tcBorders>
              <w:top w:val="single" w:sz="4" w:space="0" w:color="auto"/>
              <w:left w:val="nil"/>
              <w:bottom w:val="single" w:sz="4" w:space="0" w:color="auto"/>
              <w:right w:val="single" w:sz="4" w:space="0" w:color="auto"/>
            </w:tcBorders>
            <w:vAlign w:val="center"/>
          </w:tcPr>
          <w:p w14:paraId="67F2C875" w14:textId="698C0452" w:rsidR="00EB16FD" w:rsidRPr="00AF6261" w:rsidRDefault="00EB16FD" w:rsidP="007F3FC3">
            <w:pPr>
              <w:spacing w:after="0" w:line="240" w:lineRule="auto"/>
              <w:jc w:val="center"/>
              <w:rPr>
                <w:rFonts w:ascii="Calibri" w:eastAsia="Times New Roman" w:hAnsi="Calibri" w:cstheme="minorHAnsi"/>
                <w:color w:val="000000"/>
                <w:sz w:val="18"/>
                <w:szCs w:val="18"/>
                <w:lang w:val="en-US" w:eastAsia="fr-FR"/>
              </w:rPr>
            </w:pPr>
            <w:r>
              <w:rPr>
                <w:rFonts w:ascii="Calibri" w:eastAsia="Times New Roman" w:hAnsi="Calibri" w:cstheme="minorHAnsi"/>
                <w:color w:val="000000"/>
                <w:sz w:val="18"/>
                <w:szCs w:val="18"/>
                <w:lang w:eastAsia="fr-FR"/>
              </w:rPr>
              <w:fldChar w:fldCharType="begin" w:fldLock="1"/>
            </w:r>
            <w:r w:rsidR="007F3FC3" w:rsidRPr="00AF6261">
              <w:rPr>
                <w:rFonts w:ascii="Calibri" w:eastAsia="Times New Roman" w:hAnsi="Calibri" w:cstheme="minorHAnsi"/>
                <w:color w:val="000000"/>
                <w:sz w:val="18"/>
                <w:szCs w:val="18"/>
                <w:lang w:val="en-US" w:eastAsia="fr-FR"/>
              </w:rPr>
              <w:instrText>ADDIN CSL_CITATION {"citationItems":[{"id":"ITEM-1","itemData":{"DOI":"10.1016/J.BIOMATERIALS.2010.07.045","ISSN":"0142-9612","abstract":"Blood kinetics and tissue distribution of 20, 80 and 110 nm silver nanoparticles were investigated in rats up to 16 days after intravenous administration once daily for 5 consecutive days. Following both single and repeated injection, silver nanoparticles disappeared rapidly from the blood and distributed to all organs evaluated (liver, lungs, spleen, brain, heart, kidneys and testes) regardless of size. The 20 nm particles distributed mainly to liver, followed by kidneys and spleen, whereas the larger particles distributed mainly to spleen followed by liver and lung. In the other organs evaluated, no major differences between the sizes were observed. Size-dependent tissue distribution suggests size-dependent toxicity and health risks. Repeated administration resulted in accumulation in liver, lung and spleen, indicating that these organs may be potential target organs for toxicity after repeated exposure. A physiologically based pharmacokinetic (PBPK) model for nanoparticles which describes the kinetics of silver nanoparticles was developed. Model p</w:instrText>
            </w:r>
            <w:r w:rsidR="007F3FC3">
              <w:rPr>
                <w:rFonts w:ascii="Calibri" w:eastAsia="Times New Roman" w:hAnsi="Calibri" w:cstheme="minorHAnsi"/>
                <w:color w:val="000000"/>
                <w:sz w:val="18"/>
                <w:szCs w:val="18"/>
                <w:lang w:eastAsia="fr-FR"/>
              </w:rPr>
              <w:instrText>arameter values were estimated by fitting to data. No clear relation between parameter values and corresponding particle diameters became apparent. © 2010 Elsevier Ltd.","author":[{"dropping-particle":"","family":"Lankveld","given":"D. P.K.","non-dropping-particle":"","parse-names":false,"suffix":""},{"dropping-particle":"","family":"Oomen","given":"A. G.","non-dropping-particl</w:instrText>
            </w:r>
            <w:r w:rsidR="007F3FC3" w:rsidRPr="00AF6261">
              <w:rPr>
                <w:rFonts w:ascii="Calibri" w:eastAsia="Times New Roman" w:hAnsi="Calibri" w:cstheme="minorHAnsi"/>
                <w:color w:val="000000"/>
                <w:sz w:val="18"/>
                <w:szCs w:val="18"/>
                <w:lang w:val="en-US" w:eastAsia="fr-FR"/>
              </w:rPr>
              <w:instrText>e":"","parse-names":false,"suffix":""},{"dropping-particle":"","family":"Krystek","given":"P.","non-dropping-particle":"","parse-names":false,"suffix":""},{"dropping-particle":"","family":"Neigh","given":"A.","non-dropping-particle":"","parse-names":false,"suffix":""},{"dropping-particle":"","family":"Troost - de Jong","given":"A.","non-dropping-particle":"","parse-names":false,"suffix":""},{"dropping-particle":"","family":"Noorlander","given":"C. W.","non-dropping-particle":"","parse-names":false,"suffix":""},{"dropping-particle":"","family":"Eijkeren","given":"J. C.H.","non-dropping-particle":"Van","parse-names":false,"suffix":""},{"dropping-particle":"","family":"Geertsma","given":"R. E.","non-dropping-particle":"","parse-names":false,"suffix":""},{"dropping-particle":"","family":"Jong","given":"W. H.","non-dropping-particle":"De","parse-names":false,"suffix":""}],"container-title":"Biomaterials","id":"ITEM-1","issue":"32","issued":{"date-parts":[["2010","11","1"]]},"page":"8350-8361","publisher":"Elsevier","title":"The kinetics of the tissue distribution of silver nanoparticles of different sizes","type":"article-journal","volume":"31"},"uris":["http://www.mendeley.com/documents/?uuid=f4e489c5-3829-360a-a8ac-ba42676cc8a4"]}],"mendeley":{"formattedCitation":"(42)","plainTextFormattedCitation":"(42)","previouslyFormattedCitation":"(Lankveld et al. 2010)"},"properties":{"noteIndex":0},"schema":"https://github.com/citation-style-language/schema/raw/master/csl-citation.json"}</w:instrText>
            </w:r>
            <w:r>
              <w:rPr>
                <w:rFonts w:ascii="Calibri" w:eastAsia="Times New Roman" w:hAnsi="Calibri" w:cstheme="minorHAnsi"/>
                <w:color w:val="000000"/>
                <w:sz w:val="18"/>
                <w:szCs w:val="18"/>
                <w:lang w:eastAsia="fr-FR"/>
              </w:rPr>
              <w:fldChar w:fldCharType="separate"/>
            </w:r>
            <w:r w:rsidR="007F3FC3" w:rsidRPr="00AF6261">
              <w:rPr>
                <w:rFonts w:ascii="Calibri" w:eastAsia="Times New Roman" w:hAnsi="Calibri" w:cstheme="minorHAnsi"/>
                <w:noProof/>
                <w:color w:val="000000"/>
                <w:sz w:val="18"/>
                <w:szCs w:val="18"/>
                <w:lang w:val="en-US" w:eastAsia="fr-FR"/>
              </w:rPr>
              <w:t>(42)</w:t>
            </w:r>
            <w:r>
              <w:rPr>
                <w:rFonts w:ascii="Calibri" w:eastAsia="Times New Roman" w:hAnsi="Calibri" w:cstheme="minorHAnsi"/>
                <w:color w:val="000000"/>
                <w:sz w:val="18"/>
                <w:szCs w:val="18"/>
                <w:lang w:eastAsia="fr-FR"/>
              </w:rPr>
              <w:fldChar w:fldCharType="end"/>
            </w:r>
          </w:p>
        </w:tc>
      </w:tr>
      <w:tr w:rsidR="00EB16FD" w:rsidRPr="00DC5D76" w14:paraId="155DFD46" w14:textId="77777777" w:rsidTr="007F3FC3">
        <w:trPr>
          <w:cantSplit/>
          <w:trHeight w:val="1134"/>
        </w:trPr>
        <w:tc>
          <w:tcPr>
            <w:tcW w:w="14850" w:type="dxa"/>
            <w:gridSpan w:val="9"/>
            <w:tcBorders>
              <w:top w:val="single" w:sz="4" w:space="0" w:color="auto"/>
              <w:left w:val="single" w:sz="4" w:space="0" w:color="auto"/>
              <w:right w:val="single" w:sz="4" w:space="0" w:color="auto"/>
            </w:tcBorders>
            <w:shd w:val="clear" w:color="auto" w:fill="F2F2F2" w:themeFill="background1" w:themeFillShade="F2"/>
            <w:vAlign w:val="center"/>
          </w:tcPr>
          <w:p w14:paraId="29469F67" w14:textId="3C694708" w:rsidR="00EB16FD" w:rsidRPr="00AF6261" w:rsidRDefault="00EB16FD" w:rsidP="007F1961">
            <w:pPr>
              <w:spacing w:after="0" w:line="240" w:lineRule="auto"/>
              <w:jc w:val="center"/>
              <w:rPr>
                <w:rFonts w:eastAsia="Times New Roman" w:cstheme="minorHAnsi"/>
                <w:b/>
                <w:i/>
                <w:color w:val="000000"/>
                <w:sz w:val="18"/>
                <w:szCs w:val="18"/>
                <w:lang w:val="en-US" w:eastAsia="fr-FR"/>
              </w:rPr>
            </w:pPr>
            <w:r w:rsidRPr="00AF6261">
              <w:rPr>
                <w:rFonts w:eastAsia="Times New Roman" w:cstheme="minorHAnsi"/>
                <w:b/>
                <w:i/>
                <w:color w:val="000000"/>
                <w:sz w:val="18"/>
                <w:szCs w:val="18"/>
                <w:lang w:val="en-US" w:eastAsia="fr-FR"/>
              </w:rPr>
              <w:t>IN VITRO</w:t>
            </w:r>
          </w:p>
        </w:tc>
      </w:tr>
      <w:tr w:rsidR="00EB16FD" w:rsidRPr="00DC5D76" w14:paraId="5EAB7C0B" w14:textId="77777777" w:rsidTr="007F3FC3">
        <w:trPr>
          <w:cantSplit/>
          <w:trHeight w:val="1134"/>
        </w:trPr>
        <w:tc>
          <w:tcPr>
            <w:tcW w:w="1408" w:type="dxa"/>
            <w:tcBorders>
              <w:top w:val="single" w:sz="4" w:space="0" w:color="auto"/>
              <w:left w:val="single" w:sz="4" w:space="0" w:color="auto"/>
            </w:tcBorders>
            <w:shd w:val="clear" w:color="auto" w:fill="auto"/>
            <w:textDirection w:val="btLr"/>
            <w:vAlign w:val="center"/>
          </w:tcPr>
          <w:p w14:paraId="18D973BA" w14:textId="5CF36902" w:rsidR="00EB16FD" w:rsidRPr="00AF6261" w:rsidRDefault="00EB16FD" w:rsidP="00EB16FD">
            <w:pPr>
              <w:autoSpaceDE w:val="0"/>
              <w:autoSpaceDN w:val="0"/>
              <w:adjustRightInd w:val="0"/>
              <w:spacing w:after="0" w:line="240" w:lineRule="auto"/>
              <w:ind w:left="113" w:right="113"/>
              <w:rPr>
                <w:rFonts w:cstheme="minorHAnsi"/>
                <w:sz w:val="18"/>
                <w:szCs w:val="18"/>
                <w:lang w:val="en-US"/>
              </w:rPr>
            </w:pPr>
            <w:r w:rsidRPr="00AF6261">
              <w:rPr>
                <w:rFonts w:ascii="Calibri" w:hAnsi="Calibri"/>
                <w:i/>
                <w:iCs/>
                <w:color w:val="000000"/>
                <w:sz w:val="18"/>
                <w:szCs w:val="20"/>
                <w:lang w:val="en-US"/>
              </w:rPr>
              <w:t>Sythesized method : from Bacillus funiculus</w:t>
            </w:r>
            <w:r w:rsidRPr="00AF6261">
              <w:rPr>
                <w:rFonts w:ascii="Calibri" w:hAnsi="Calibri"/>
                <w:color w:val="000000"/>
                <w:sz w:val="18"/>
                <w:szCs w:val="20"/>
                <w:lang w:val="en-US"/>
              </w:rPr>
              <w:t>, Size 15 nm, Shape:Spherical</w:t>
            </w:r>
          </w:p>
        </w:tc>
        <w:tc>
          <w:tcPr>
            <w:tcW w:w="1276" w:type="dxa"/>
            <w:tcBorders>
              <w:top w:val="single" w:sz="4" w:space="0" w:color="auto"/>
            </w:tcBorders>
            <w:shd w:val="clear" w:color="auto" w:fill="auto"/>
            <w:textDirection w:val="btLr"/>
            <w:vAlign w:val="center"/>
          </w:tcPr>
          <w:p w14:paraId="69395E77" w14:textId="6B3CE479"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TM3 and TM4 cell lines</w:t>
            </w:r>
          </w:p>
        </w:tc>
        <w:tc>
          <w:tcPr>
            <w:tcW w:w="1275" w:type="dxa"/>
            <w:tcBorders>
              <w:top w:val="single" w:sz="4" w:space="0" w:color="auto"/>
            </w:tcBorders>
            <w:textDirection w:val="btLr"/>
            <w:vAlign w:val="center"/>
          </w:tcPr>
          <w:p w14:paraId="58E9E866" w14:textId="2C1597AF" w:rsidR="00EB16FD" w:rsidRPr="00AF6261" w:rsidRDefault="00EB16FD" w:rsidP="00EB16FD">
            <w:pPr>
              <w:autoSpaceDE w:val="0"/>
              <w:autoSpaceDN w:val="0"/>
              <w:adjustRightInd w:val="0"/>
              <w:spacing w:after="0" w:line="240" w:lineRule="auto"/>
              <w:ind w:left="113" w:right="113"/>
              <w:jc w:val="center"/>
              <w:rPr>
                <w:rFonts w:cstheme="minorHAnsi"/>
                <w:sz w:val="18"/>
                <w:szCs w:val="18"/>
                <w:lang w:val="en-US"/>
              </w:rPr>
            </w:pPr>
            <w:r w:rsidRPr="00AF6261">
              <w:rPr>
                <w:rFonts w:cstheme="minorHAnsi"/>
                <w:sz w:val="18"/>
                <w:szCs w:val="18"/>
                <w:lang w:val="en-US"/>
              </w:rPr>
              <w:t>0-50 µg/ml for 24 h exposure</w:t>
            </w:r>
          </w:p>
        </w:tc>
        <w:tc>
          <w:tcPr>
            <w:tcW w:w="1668" w:type="dxa"/>
            <w:tcBorders>
              <w:top w:val="single" w:sz="4" w:space="0" w:color="auto"/>
            </w:tcBorders>
            <w:shd w:val="clear" w:color="auto" w:fill="auto"/>
            <w:vAlign w:val="center"/>
          </w:tcPr>
          <w:p w14:paraId="208583D9" w14:textId="0F797B7A"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Cytotoxicity</w:t>
            </w:r>
          </w:p>
        </w:tc>
        <w:tc>
          <w:tcPr>
            <w:tcW w:w="1703" w:type="dxa"/>
            <w:tcBorders>
              <w:top w:val="single" w:sz="4" w:space="0" w:color="auto"/>
            </w:tcBorders>
            <w:shd w:val="clear" w:color="auto" w:fill="auto"/>
            <w:vAlign w:val="center"/>
          </w:tcPr>
          <w:p w14:paraId="3D1FD9CC" w14:textId="05B5730A" w:rsidR="00EB16FD" w:rsidRPr="00AF6261" w:rsidRDefault="00EB16FD" w:rsidP="00EB16FD">
            <w:pPr>
              <w:jc w:val="center"/>
              <w:rPr>
                <w:rFonts w:cstheme="minorHAnsi"/>
                <w:color w:val="131413"/>
                <w:sz w:val="18"/>
                <w:szCs w:val="18"/>
                <w:lang w:val="en-US"/>
              </w:rPr>
            </w:pPr>
            <w:r w:rsidRPr="00AF6261">
              <w:rPr>
                <w:rFonts w:cstheme="minorHAnsi"/>
                <w:color w:val="131413"/>
                <w:sz w:val="18"/>
                <w:szCs w:val="18"/>
                <w:lang w:val="en-US"/>
              </w:rPr>
              <w:t>MTT and LDH assay</w:t>
            </w:r>
          </w:p>
        </w:tc>
        <w:tc>
          <w:tcPr>
            <w:tcW w:w="2010" w:type="dxa"/>
            <w:tcBorders>
              <w:top w:val="single" w:sz="4" w:space="0" w:color="auto"/>
            </w:tcBorders>
            <w:shd w:val="clear" w:color="auto" w:fill="auto"/>
            <w:vAlign w:val="center"/>
          </w:tcPr>
          <w:p w14:paraId="09F34945" w14:textId="542819D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Decreased cell viability, and increased LDH leakage</w:t>
            </w:r>
          </w:p>
        </w:tc>
        <w:tc>
          <w:tcPr>
            <w:tcW w:w="2273" w:type="dxa"/>
            <w:tcBorders>
              <w:top w:val="single" w:sz="4" w:space="0" w:color="auto"/>
            </w:tcBorders>
            <w:vAlign w:val="center"/>
          </w:tcPr>
          <w:p w14:paraId="554E8D98" w14:textId="7B594B7A"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Increased cytotoxicity (ID887, ID2659)</w:t>
            </w:r>
          </w:p>
        </w:tc>
        <w:tc>
          <w:tcPr>
            <w:tcW w:w="2386" w:type="dxa"/>
            <w:tcBorders>
              <w:top w:val="single" w:sz="4" w:space="0" w:color="auto"/>
            </w:tcBorders>
            <w:shd w:val="clear" w:color="auto" w:fill="auto"/>
            <w:vAlign w:val="center"/>
          </w:tcPr>
          <w:p w14:paraId="419ADC88" w14:textId="2BB171F2"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 Tissue Degeneration, Necrosis &amp; Atrophy (ID868)</w:t>
            </w:r>
          </w:p>
        </w:tc>
        <w:tc>
          <w:tcPr>
            <w:tcW w:w="851" w:type="dxa"/>
            <w:tcBorders>
              <w:top w:val="single" w:sz="4" w:space="0" w:color="auto"/>
              <w:right w:val="single" w:sz="4" w:space="0" w:color="auto"/>
            </w:tcBorders>
            <w:vAlign w:val="center"/>
          </w:tcPr>
          <w:p w14:paraId="6D0B1EDA" w14:textId="2DABF4E8" w:rsidR="00EB16FD" w:rsidRPr="00AF6261" w:rsidRDefault="00EB16FD" w:rsidP="007F3FC3">
            <w:pPr>
              <w:spacing w:after="0" w:line="240" w:lineRule="auto"/>
              <w:jc w:val="center"/>
              <w:rPr>
                <w:rFonts w:eastAsia="Times New Roman" w:cstheme="minorHAnsi"/>
                <w:color w:val="000000"/>
                <w:sz w:val="18"/>
                <w:szCs w:val="18"/>
                <w:lang w:val="en-US" w:eastAsia="fr-FR"/>
              </w:rPr>
            </w:pPr>
            <w:r>
              <w:rPr>
                <w:rFonts w:eastAsia="Times New Roman" w:cstheme="minorHAnsi"/>
                <w:color w:val="000000"/>
                <w:sz w:val="18"/>
                <w:szCs w:val="18"/>
                <w:lang w:eastAsia="fr-FR"/>
              </w:rPr>
              <w:fldChar w:fldCharType="begin" w:fldLock="1"/>
            </w:r>
            <w:r w:rsidR="007F3FC3" w:rsidRPr="00AF6261">
              <w:rPr>
                <w:rFonts w:eastAsia="Times New Roman" w:cstheme="minorHAnsi"/>
                <w:color w:val="000000"/>
                <w:sz w:val="18"/>
                <w:szCs w:val="18"/>
                <w:lang w:val="en-US" w:eastAsia="fr-FR"/>
              </w:rPr>
              <w:instrText>ADDIN CSL_CITATION {"citationItems":[{"id":"ITEM-1","itemData":{"DOI":"10.2147/IJN.S90733","ISSN":"11782013","PMID":"26491295","abstract":"Background: Metal nanoparticles (MNPs) play an important role in consumer products. An increasing use of MNPs has raised concerns about potential risks for human health. Therefore, in vivo tests of MNPs are urgently required. Using mice as a model animal, the aim of the present study was designed to investigate the effect of biologically synthesized silver nanoparticles (AgNPs) on spermatogenesis in neonatal mice. Methods: AgNPs were synthesized using Bacillus funiculus. The prepared nanoparticles were characterized using various analytical techniques such as UV-visible spectroscopy, X-ray diffraction, Fourier transform-infrared spectroscopy, and transmission electron microscopy. The prepared AgNPs were used to investigate testis development in neonatal mice. Institute of Cancer Research neonatal male mice were used in all experiments and were treated with different doses (0, 1, and 5 mg/kg) of AgNPs five times (interval of 3 days from postnatal day [PND] 8-21) by abdominal subcutaneous injection. Results: The results show</w:instrText>
            </w:r>
            <w:r w:rsidR="007F3FC3">
              <w:rPr>
                <w:rFonts w:eastAsia="Times New Roman" w:cstheme="minorHAnsi"/>
                <w:color w:val="000000"/>
                <w:sz w:val="18"/>
                <w:szCs w:val="18"/>
                <w:lang w:eastAsia="fr-FR"/>
              </w:rPr>
              <w:instrText>ed that the sperm abnormalities such as quality and quantity were significantly increased by the synthesized AgNPs. The diameter of the convoluted tubules shrank significantly in mice treated with AgNPs on PND28 and PND42. The results of reverse transcription-quantitative polymerase chain reaction indicated that the Elflay, Gsta4, and Fdxl genes were up-regulated, and the Amh, Cx43, and Claudin-11 genes we</w:instrText>
            </w:r>
            <w:r w:rsidR="007F3FC3" w:rsidRPr="00AF6261">
              <w:rPr>
                <w:rFonts w:eastAsia="Times New Roman" w:cstheme="minorHAnsi"/>
                <w:color w:val="000000"/>
                <w:sz w:val="18"/>
                <w:szCs w:val="18"/>
                <w:lang w:val="en-US" w:eastAsia="fr-FR"/>
              </w:rPr>
              <w:instrText>re down-regulated in response to AgNPs exposure on PND28; however, these genes recovered at PND60. AgNPs had no effect on the recombination levels of chromosomes in germ cells. Conclusion: These results demonstrated the adverse effects of AgNPs on the male reproductive tract, particularly spermatogenesis and the quality of sperm. This study suggests that the development of nanomaterials should be safer and non-toxic to the living organisms and the potential reprotoxicity of AgNPs should be investigated more carefully.","author":[{"dropping-particle":"","family":"Zhang","given":"Xi-Feng","non-dropping-particle":"","parse-names":false,"suffix":""},{"dropping-particle":"","family":"Gurunathan","given":"Sangiliyandi","non-dropping-particle":"","parse-names":false,"suffix":""},{"dropping-particle":"","family":"Kim","given":"Jin Hoi","non-dropping-particle":"","parse-names":false,"suffix":""}],"container-title":"International Journal of Nanomedicine","id":"ITEM-1","issued":{"date-parts":[["2015"]]},"page":"6243-6256","title":"Effects of silver nanoparticles on neonatal testis development in mice","type":"article-journal","volume":"10"},"uris":["http://www.mendeley.com/documents/?uuid=a3567cde-a497-4389-9237-0de3890c2c69"]}],"mendeley":{"formattedCitation":"(29)","plainTextFormattedCitation":"(29)","previouslyFormattedCitation":"(Zhang, Gurunathan, and Kim 2015)"},"properties":{"noteIndex":0},"schema":"https://github.com/citation-style-language/schema/raw/master/csl-citation.json"}</w:instrText>
            </w:r>
            <w:r>
              <w:rPr>
                <w:rFonts w:eastAsia="Times New Roman" w:cstheme="minorHAnsi"/>
                <w:color w:val="000000"/>
                <w:sz w:val="18"/>
                <w:szCs w:val="18"/>
                <w:lang w:eastAsia="fr-FR"/>
              </w:rPr>
              <w:fldChar w:fldCharType="separate"/>
            </w:r>
            <w:r w:rsidR="007F3FC3" w:rsidRPr="00AF6261">
              <w:rPr>
                <w:rFonts w:eastAsia="Times New Roman" w:cstheme="minorHAnsi"/>
                <w:noProof/>
                <w:color w:val="000000"/>
                <w:sz w:val="18"/>
                <w:szCs w:val="18"/>
                <w:lang w:val="en-US" w:eastAsia="fr-FR"/>
              </w:rPr>
              <w:t>(29)</w:t>
            </w:r>
            <w:r>
              <w:rPr>
                <w:rFonts w:eastAsia="Times New Roman" w:cstheme="minorHAnsi"/>
                <w:color w:val="000000"/>
                <w:sz w:val="18"/>
                <w:szCs w:val="18"/>
                <w:lang w:eastAsia="fr-FR"/>
              </w:rPr>
              <w:fldChar w:fldCharType="end"/>
            </w:r>
          </w:p>
        </w:tc>
      </w:tr>
      <w:tr w:rsidR="00EB16FD" w:rsidRPr="00912134" w14:paraId="416996DF" w14:textId="77777777" w:rsidTr="007F3FC3">
        <w:trPr>
          <w:cantSplit/>
          <w:trHeight w:val="362"/>
        </w:trPr>
        <w:tc>
          <w:tcPr>
            <w:tcW w:w="1408" w:type="dxa"/>
            <w:vMerge w:val="restart"/>
            <w:tcBorders>
              <w:top w:val="single" w:sz="4" w:space="0" w:color="auto"/>
              <w:left w:val="single" w:sz="4" w:space="0" w:color="auto"/>
            </w:tcBorders>
            <w:shd w:val="clear" w:color="auto" w:fill="auto"/>
            <w:textDirection w:val="btLr"/>
            <w:vAlign w:val="center"/>
          </w:tcPr>
          <w:p w14:paraId="51A838D5" w14:textId="6BF0AB83" w:rsidR="00EB16FD" w:rsidRPr="00AF6261" w:rsidRDefault="00EB16FD" w:rsidP="00EB16FD">
            <w:pPr>
              <w:autoSpaceDE w:val="0"/>
              <w:autoSpaceDN w:val="0"/>
              <w:adjustRightInd w:val="0"/>
              <w:spacing w:after="0" w:line="240" w:lineRule="auto"/>
              <w:ind w:left="113" w:right="113"/>
              <w:jc w:val="center"/>
              <w:rPr>
                <w:rFonts w:cstheme="minorHAnsi"/>
                <w:sz w:val="18"/>
                <w:szCs w:val="18"/>
                <w:lang w:val="en-US"/>
              </w:rPr>
            </w:pPr>
            <w:r w:rsidRPr="00AF6261">
              <w:rPr>
                <w:rFonts w:cstheme="minorHAnsi"/>
                <w:sz w:val="18"/>
                <w:szCs w:val="18"/>
                <w:lang w:val="en-US"/>
              </w:rPr>
              <w:t>AgNPs coated with 0.2% PVP Size : 30 nm</w:t>
            </w:r>
          </w:p>
        </w:tc>
        <w:tc>
          <w:tcPr>
            <w:tcW w:w="1276" w:type="dxa"/>
            <w:vMerge w:val="restart"/>
            <w:tcBorders>
              <w:top w:val="single" w:sz="4" w:space="0" w:color="auto"/>
              <w:bottom w:val="single" w:sz="4" w:space="0" w:color="auto"/>
            </w:tcBorders>
            <w:shd w:val="clear" w:color="auto" w:fill="auto"/>
            <w:textDirection w:val="btLr"/>
            <w:vAlign w:val="center"/>
          </w:tcPr>
          <w:p w14:paraId="3D993412" w14:textId="2CECA987" w:rsidR="00EB16FD" w:rsidRPr="00AF6261" w:rsidRDefault="00EB16FD" w:rsidP="00EB16FD">
            <w:pPr>
              <w:ind w:left="113" w:right="113"/>
              <w:jc w:val="center"/>
              <w:rPr>
                <w:rFonts w:cstheme="minorHAnsi"/>
                <w:sz w:val="18"/>
                <w:szCs w:val="18"/>
                <w:lang w:val="en-US"/>
              </w:rPr>
            </w:pPr>
            <w:r w:rsidRPr="00AF6261">
              <w:rPr>
                <w:rFonts w:cstheme="minorHAnsi"/>
                <w:sz w:val="18"/>
                <w:szCs w:val="18"/>
                <w:lang w:val="en-US"/>
              </w:rPr>
              <w:t>Human sperm</w:t>
            </w:r>
          </w:p>
        </w:tc>
        <w:tc>
          <w:tcPr>
            <w:tcW w:w="1275" w:type="dxa"/>
            <w:vMerge w:val="restart"/>
            <w:tcBorders>
              <w:top w:val="single" w:sz="4" w:space="0" w:color="auto"/>
              <w:bottom w:val="single" w:sz="4" w:space="0" w:color="auto"/>
            </w:tcBorders>
            <w:textDirection w:val="btLr"/>
            <w:vAlign w:val="center"/>
          </w:tcPr>
          <w:p w14:paraId="396F7792" w14:textId="73C9AA08" w:rsidR="00EB16FD" w:rsidRPr="00AF6261" w:rsidRDefault="00EB16FD" w:rsidP="00EB16FD">
            <w:pPr>
              <w:autoSpaceDE w:val="0"/>
              <w:autoSpaceDN w:val="0"/>
              <w:adjustRightInd w:val="0"/>
              <w:spacing w:after="0" w:line="240" w:lineRule="auto"/>
              <w:ind w:left="113" w:right="113"/>
              <w:jc w:val="center"/>
              <w:rPr>
                <w:rFonts w:cstheme="minorHAnsi"/>
                <w:sz w:val="18"/>
                <w:szCs w:val="18"/>
                <w:lang w:val="en-US"/>
              </w:rPr>
            </w:pPr>
            <w:r w:rsidRPr="00AF6261">
              <w:rPr>
                <w:rFonts w:cstheme="minorHAnsi"/>
                <w:sz w:val="18"/>
                <w:szCs w:val="18"/>
                <w:lang w:val="en-US"/>
              </w:rPr>
              <w:t xml:space="preserve">0, 50 </w:t>
            </w:r>
            <w:r>
              <w:rPr>
                <w:rFonts w:cstheme="minorHAnsi"/>
                <w:sz w:val="18"/>
                <w:szCs w:val="18"/>
              </w:rPr>
              <w:t>μ</w:t>
            </w:r>
            <w:r w:rsidRPr="00AF6261">
              <w:rPr>
                <w:rFonts w:cstheme="minorHAnsi"/>
                <w:sz w:val="18"/>
                <w:szCs w:val="18"/>
                <w:lang w:val="en-US"/>
              </w:rPr>
              <w:t xml:space="preserve">g/ml, 100 </w:t>
            </w:r>
            <w:r>
              <w:rPr>
                <w:rFonts w:cstheme="minorHAnsi"/>
                <w:sz w:val="18"/>
                <w:szCs w:val="18"/>
              </w:rPr>
              <w:t>μ</w:t>
            </w:r>
            <w:r w:rsidRPr="00AF6261">
              <w:rPr>
                <w:rFonts w:cstheme="minorHAnsi"/>
                <w:sz w:val="18"/>
                <w:szCs w:val="18"/>
                <w:lang w:val="en-US"/>
              </w:rPr>
              <w:t xml:space="preserve">g/ml, 200 </w:t>
            </w:r>
            <w:r>
              <w:rPr>
                <w:rFonts w:cstheme="minorHAnsi"/>
                <w:sz w:val="18"/>
                <w:szCs w:val="18"/>
              </w:rPr>
              <w:t>μ</w:t>
            </w:r>
            <w:r w:rsidRPr="00AF6261">
              <w:rPr>
                <w:rFonts w:cstheme="minorHAnsi"/>
                <w:sz w:val="18"/>
                <w:szCs w:val="18"/>
                <w:lang w:val="en-US"/>
              </w:rPr>
              <w:t xml:space="preserve">g/ml or 400 </w:t>
            </w:r>
            <w:r>
              <w:rPr>
                <w:rFonts w:cstheme="minorHAnsi"/>
                <w:sz w:val="18"/>
                <w:szCs w:val="18"/>
              </w:rPr>
              <w:t>μ</w:t>
            </w:r>
            <w:r w:rsidRPr="00AF6261">
              <w:rPr>
                <w:rFonts w:cstheme="minorHAnsi"/>
                <w:sz w:val="18"/>
                <w:szCs w:val="18"/>
                <w:lang w:val="en-US"/>
              </w:rPr>
              <w:t>g/ml for 15 min, 30 min, or 60 min exposure</w:t>
            </w:r>
          </w:p>
        </w:tc>
        <w:tc>
          <w:tcPr>
            <w:tcW w:w="1668" w:type="dxa"/>
            <w:tcBorders>
              <w:top w:val="single" w:sz="4" w:space="0" w:color="auto"/>
              <w:bottom w:val="single" w:sz="4" w:space="0" w:color="auto"/>
            </w:tcBorders>
            <w:shd w:val="clear" w:color="auto" w:fill="auto"/>
            <w:vAlign w:val="center"/>
          </w:tcPr>
          <w:p w14:paraId="044AFE80"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Sperm Evaluation</w:t>
            </w:r>
          </w:p>
        </w:tc>
        <w:tc>
          <w:tcPr>
            <w:tcW w:w="1703" w:type="dxa"/>
            <w:tcBorders>
              <w:top w:val="single" w:sz="4" w:space="0" w:color="auto"/>
              <w:bottom w:val="single" w:sz="4" w:space="0" w:color="auto"/>
            </w:tcBorders>
            <w:shd w:val="clear" w:color="auto" w:fill="auto"/>
            <w:vAlign w:val="center"/>
          </w:tcPr>
          <w:p w14:paraId="4C121B8A" w14:textId="77777777" w:rsidR="00EB16FD" w:rsidRPr="00AF6261" w:rsidRDefault="00EB16FD" w:rsidP="00EB16FD">
            <w:pPr>
              <w:jc w:val="center"/>
              <w:rPr>
                <w:rFonts w:cstheme="minorHAnsi"/>
                <w:color w:val="131413"/>
                <w:sz w:val="18"/>
                <w:szCs w:val="18"/>
                <w:lang w:val="en-US"/>
              </w:rPr>
            </w:pPr>
            <w:r w:rsidRPr="00AF6261">
              <w:rPr>
                <w:rFonts w:cstheme="minorHAnsi"/>
                <w:color w:val="131413"/>
                <w:sz w:val="18"/>
                <w:szCs w:val="18"/>
                <w:lang w:val="en-US"/>
              </w:rPr>
              <w:t>Motility, viability, concentration, sperm abnormalities</w:t>
            </w:r>
          </w:p>
        </w:tc>
        <w:tc>
          <w:tcPr>
            <w:tcW w:w="2010" w:type="dxa"/>
            <w:tcBorders>
              <w:top w:val="single" w:sz="4" w:space="0" w:color="auto"/>
              <w:bottom w:val="single" w:sz="4" w:space="0" w:color="auto"/>
            </w:tcBorders>
            <w:shd w:val="clear" w:color="auto" w:fill="auto"/>
            <w:vAlign w:val="center"/>
          </w:tcPr>
          <w:p w14:paraId="6DB748F5"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AgNP exposure exerted significant time- and dose-dependent spermatotoxic effects</w:t>
            </w:r>
          </w:p>
        </w:tc>
        <w:tc>
          <w:tcPr>
            <w:tcW w:w="2273" w:type="dxa"/>
            <w:tcBorders>
              <w:top w:val="single" w:sz="4" w:space="0" w:color="auto"/>
              <w:bottom w:val="single" w:sz="4" w:space="0" w:color="auto"/>
            </w:tcBorders>
            <w:vAlign w:val="center"/>
          </w:tcPr>
          <w:p w14:paraId="2B76D850"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Decreased sperm quantity or quality in the adult, Decreased fertility (ID505, ID520)</w:t>
            </w:r>
          </w:p>
        </w:tc>
        <w:tc>
          <w:tcPr>
            <w:tcW w:w="2386" w:type="dxa"/>
            <w:tcBorders>
              <w:top w:val="single" w:sz="4" w:space="0" w:color="auto"/>
              <w:bottom w:val="single" w:sz="4" w:space="0" w:color="auto"/>
            </w:tcBorders>
            <w:shd w:val="clear" w:color="auto" w:fill="auto"/>
            <w:vAlign w:val="center"/>
          </w:tcPr>
          <w:p w14:paraId="095551E7"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Impaired fertility, (ID330 , ID406)</w:t>
            </w:r>
          </w:p>
        </w:tc>
        <w:tc>
          <w:tcPr>
            <w:tcW w:w="851" w:type="dxa"/>
            <w:vMerge w:val="restart"/>
            <w:tcBorders>
              <w:top w:val="single" w:sz="4" w:space="0" w:color="auto"/>
              <w:bottom w:val="single" w:sz="4" w:space="0" w:color="auto"/>
              <w:right w:val="single" w:sz="4" w:space="0" w:color="auto"/>
            </w:tcBorders>
            <w:vAlign w:val="center"/>
          </w:tcPr>
          <w:p w14:paraId="2933C06B" w14:textId="7D541D2F" w:rsidR="00EB16FD" w:rsidRPr="006935A7" w:rsidRDefault="00EB16FD" w:rsidP="007F3FC3">
            <w:pPr>
              <w:spacing w:after="0" w:line="240" w:lineRule="auto"/>
              <w:jc w:val="center"/>
              <w:rPr>
                <w:rFonts w:eastAsia="Times New Roman" w:cstheme="minorHAnsi"/>
                <w:color w:val="000000"/>
                <w:sz w:val="18"/>
                <w:szCs w:val="18"/>
                <w:lang w:eastAsia="fr-FR"/>
              </w:rPr>
            </w:pPr>
            <w:r w:rsidRPr="006935A7">
              <w:rPr>
                <w:rFonts w:eastAsia="Times New Roman" w:cstheme="minorHAnsi"/>
                <w:color w:val="000000"/>
                <w:sz w:val="18"/>
                <w:szCs w:val="18"/>
                <w:lang w:eastAsia="fr-FR"/>
              </w:rPr>
              <w:fldChar w:fldCharType="begin" w:fldLock="1"/>
            </w:r>
            <w:r w:rsidR="007F3FC3" w:rsidRPr="00AF6261">
              <w:rPr>
                <w:rFonts w:eastAsia="Times New Roman" w:cstheme="minorHAnsi"/>
                <w:color w:val="000000"/>
                <w:sz w:val="18"/>
                <w:szCs w:val="18"/>
                <w:lang w:val="en-US" w:eastAsia="fr-FR"/>
              </w:rPr>
              <w:instrText xml:space="preserve">ADDIN CSL_CITATION {"citationItems":[{"id":"ITEM-1","itemData":{"DOI":"10.1016/J.ETAP.2017.04.010","ISSN":"1382-6689","abstract":"Silver nanoparticles (AgNPs) have been used in medical products and industrial coatings, due to their antimicrobial properties. Excessive use of AgNPs can have adverse effects on the human body, however, their toxicity characteristics to human sperm and the potential mechanisms are not entirely clear. In this study, we exposed human sperm to different doses of AgNPs (0, 50 </w:instrText>
            </w:r>
            <w:r w:rsidR="007F3FC3">
              <w:rPr>
                <w:rFonts w:eastAsia="Times New Roman" w:cstheme="minorHAnsi"/>
                <w:color w:val="000000"/>
                <w:sz w:val="18"/>
                <w:szCs w:val="18"/>
                <w:lang w:eastAsia="fr-FR"/>
              </w:rPr>
              <w:instrText>μ</w:instrText>
            </w:r>
            <w:r w:rsidR="007F3FC3" w:rsidRPr="00AF6261">
              <w:rPr>
                <w:rFonts w:eastAsia="Times New Roman" w:cstheme="minorHAnsi"/>
                <w:color w:val="000000"/>
                <w:sz w:val="18"/>
                <w:szCs w:val="18"/>
                <w:lang w:val="en-US" w:eastAsia="fr-FR"/>
              </w:rPr>
              <w:instrText xml:space="preserve">g ml−1, 100 </w:instrText>
            </w:r>
            <w:r w:rsidR="007F3FC3">
              <w:rPr>
                <w:rFonts w:eastAsia="Times New Roman" w:cstheme="minorHAnsi"/>
                <w:color w:val="000000"/>
                <w:sz w:val="18"/>
                <w:szCs w:val="18"/>
                <w:lang w:eastAsia="fr-FR"/>
              </w:rPr>
              <w:instrText>μ</w:instrText>
            </w:r>
            <w:r w:rsidR="007F3FC3" w:rsidRPr="00AF6261">
              <w:rPr>
                <w:rFonts w:eastAsia="Times New Roman" w:cstheme="minorHAnsi"/>
                <w:color w:val="000000"/>
                <w:sz w:val="18"/>
                <w:szCs w:val="18"/>
                <w:lang w:val="en-US" w:eastAsia="fr-FR"/>
              </w:rPr>
              <w:instrText xml:space="preserve">g ml−1, 200 </w:instrText>
            </w:r>
            <w:r w:rsidR="007F3FC3">
              <w:rPr>
                <w:rFonts w:eastAsia="Times New Roman" w:cstheme="minorHAnsi"/>
                <w:color w:val="000000"/>
                <w:sz w:val="18"/>
                <w:szCs w:val="18"/>
                <w:lang w:eastAsia="fr-FR"/>
              </w:rPr>
              <w:instrText>μ</w:instrText>
            </w:r>
            <w:r w:rsidR="007F3FC3" w:rsidRPr="00AF6261">
              <w:rPr>
                <w:rFonts w:eastAsia="Times New Roman" w:cstheme="minorHAnsi"/>
                <w:color w:val="000000"/>
                <w:sz w:val="18"/>
                <w:szCs w:val="18"/>
                <w:lang w:val="en-US" w:eastAsia="fr-FR"/>
              </w:rPr>
              <w:instrText xml:space="preserve">g ml−1 or 400 </w:instrText>
            </w:r>
            <w:r w:rsidR="007F3FC3">
              <w:rPr>
                <w:rFonts w:eastAsia="Times New Roman" w:cstheme="minorHAnsi"/>
                <w:color w:val="000000"/>
                <w:sz w:val="18"/>
                <w:szCs w:val="18"/>
                <w:lang w:eastAsia="fr-FR"/>
              </w:rPr>
              <w:instrText>μ</w:instrText>
            </w:r>
            <w:r w:rsidR="007F3FC3" w:rsidRPr="00AF6261">
              <w:rPr>
                <w:rFonts w:eastAsia="Times New Roman" w:cstheme="minorHAnsi"/>
                <w:color w:val="000000"/>
                <w:sz w:val="18"/>
                <w:szCs w:val="18"/>
                <w:lang w:val="en-US" w:eastAsia="fr-FR"/>
              </w:rPr>
              <w:instrText>g ml−1) for various times (15 min, 30 min, or 60 min), followed by analyses of the sperm viability, motility and the ratio of abnormal to normal sperm.Then, transmission electron microscopy(TEM) was used to explore the sperm ultrastructural characteristics. Reactive oxygen species production and DNA fragmentation were tested using standard kits and the sperm chromatin dispersion method, respectively. The results showed a dose- and time-dependent decline in sperm viability and motility and an increased ratio of abnormal to nor</w:instrText>
            </w:r>
            <w:r w:rsidR="007F3FC3">
              <w:rPr>
                <w:rFonts w:eastAsia="Times New Roman" w:cstheme="minorHAnsi"/>
                <w:color w:val="000000"/>
                <w:sz w:val="18"/>
                <w:szCs w:val="18"/>
                <w:lang w:eastAsia="fr-FR"/>
              </w:rPr>
              <w:instrText>mal sperm after 30 min and 60 min of exposure to AgNPs at 200 μg ml−1 and 400 μg ml−1. The most common abnormalities were sperm heads with disrupted chromatin or absent acrosomes, bent tails, and curved mid-pieces. The ultrastructural characteristics of AgNP-treated sperm included disrupted, swollen, granular and vacuolar defects of the chromatin. In addition, ROS(reactive oxygen species)production and DNA fragmentation were markedly increased after 60 min of exposure to AgNPs at 200 μg ml−1 and 400 μg ml−1. Our results indicated that AgNPs caused detrimental changes in human sperm characteristics, and the excessive use of AgNPs should be carried out with caution.","author":[{"dropping-particle":"","family":"Wang","given":"Enyin","non-dropping-particle":"","parse-names":false,"suffix":""},{"dropping-particle":"","family":"Huang","given":"Yan","non-dropping-particle":"","parse-names":false,"suffix":""},{"dropping-particle":"","family":"Du","given":"Qingyun","non-dropping-particle":"","parse-names":false,"suffix":""},{"dropping-particle":"","family":"Sun","given":"Yingpu","non-dropping-particle":"","parse-names":false,"suffix":""}],"container-title":"Environmental Toxicology and Pharmacology","id":"ITEM-1","issued":{"date-parts":[["2017","6","1"]]},"page":"193-199","publisher":"Elsevier","title":"Silver nanoparticle induced toxicity to human sperm by increasing ROS(reactive oxygen species) production and DNA damage","type":"article-journal","volume":"52"},"uris":["http://www.mendeley.com/documents/?uuid=f6cc3dea-a38d-32bc-9662-5ef1a7236d15"]}],"mendeley":{"formattedCitation":"(43)","plainTextFormattedCitation":"(43)","previouslyFormattedCitation":"(Wang et al. 2017)"},"properties":{"noteIndex":0},"schema":"https://github.com/citation-style-language/schema/raw/master/csl-citation.json"}</w:instrText>
            </w:r>
            <w:r w:rsidRPr="006935A7">
              <w:rPr>
                <w:rFonts w:eastAsia="Times New Roman" w:cstheme="minorHAnsi"/>
                <w:color w:val="000000"/>
                <w:sz w:val="18"/>
                <w:szCs w:val="18"/>
                <w:lang w:eastAsia="fr-FR"/>
              </w:rPr>
              <w:fldChar w:fldCharType="separate"/>
            </w:r>
            <w:r w:rsidR="007F3FC3" w:rsidRPr="007F3FC3">
              <w:rPr>
                <w:rFonts w:eastAsia="Times New Roman" w:cstheme="minorHAnsi"/>
                <w:noProof/>
                <w:color w:val="000000"/>
                <w:sz w:val="18"/>
                <w:szCs w:val="18"/>
                <w:lang w:eastAsia="fr-FR"/>
              </w:rPr>
              <w:t>(43)</w:t>
            </w:r>
            <w:r w:rsidRPr="006935A7">
              <w:rPr>
                <w:rFonts w:eastAsia="Times New Roman" w:cstheme="minorHAnsi"/>
                <w:color w:val="000000"/>
                <w:sz w:val="18"/>
                <w:szCs w:val="18"/>
                <w:lang w:eastAsia="fr-FR"/>
              </w:rPr>
              <w:fldChar w:fldCharType="end"/>
            </w:r>
          </w:p>
        </w:tc>
      </w:tr>
      <w:tr w:rsidR="00EB16FD" w:rsidRPr="00912134" w14:paraId="57588E2A" w14:textId="77777777" w:rsidTr="007F3FC3">
        <w:trPr>
          <w:cantSplit/>
          <w:trHeight w:val="362"/>
        </w:trPr>
        <w:tc>
          <w:tcPr>
            <w:tcW w:w="1408" w:type="dxa"/>
            <w:vMerge/>
            <w:tcBorders>
              <w:left w:val="single" w:sz="4" w:space="0" w:color="auto"/>
              <w:bottom w:val="single" w:sz="4" w:space="0" w:color="auto"/>
            </w:tcBorders>
            <w:shd w:val="clear" w:color="auto" w:fill="auto"/>
            <w:textDirection w:val="btLr"/>
            <w:vAlign w:val="center"/>
          </w:tcPr>
          <w:p w14:paraId="0ACDC63A" w14:textId="77777777" w:rsidR="00EB16FD" w:rsidRPr="006935A7" w:rsidRDefault="00EB16FD" w:rsidP="00EB16FD">
            <w:pPr>
              <w:autoSpaceDE w:val="0"/>
              <w:autoSpaceDN w:val="0"/>
              <w:adjustRightInd w:val="0"/>
              <w:spacing w:after="0" w:line="240" w:lineRule="auto"/>
              <w:ind w:left="113" w:right="113"/>
              <w:rPr>
                <w:rFonts w:cstheme="minorHAnsi"/>
                <w:sz w:val="18"/>
                <w:szCs w:val="18"/>
              </w:rPr>
            </w:pPr>
          </w:p>
        </w:tc>
        <w:tc>
          <w:tcPr>
            <w:tcW w:w="1276" w:type="dxa"/>
            <w:vMerge/>
            <w:tcBorders>
              <w:bottom w:val="single" w:sz="4" w:space="0" w:color="auto"/>
            </w:tcBorders>
            <w:shd w:val="clear" w:color="auto" w:fill="auto"/>
            <w:textDirection w:val="btLr"/>
            <w:vAlign w:val="center"/>
          </w:tcPr>
          <w:p w14:paraId="133A510D" w14:textId="77777777" w:rsidR="00EB16FD" w:rsidRPr="006935A7" w:rsidRDefault="00EB16FD" w:rsidP="00EB16FD">
            <w:pPr>
              <w:ind w:left="113" w:right="113"/>
              <w:jc w:val="center"/>
              <w:rPr>
                <w:rFonts w:cstheme="minorHAnsi"/>
                <w:sz w:val="18"/>
                <w:szCs w:val="18"/>
              </w:rPr>
            </w:pPr>
          </w:p>
        </w:tc>
        <w:tc>
          <w:tcPr>
            <w:tcW w:w="1275" w:type="dxa"/>
            <w:vMerge/>
            <w:tcBorders>
              <w:bottom w:val="single" w:sz="4" w:space="0" w:color="auto"/>
            </w:tcBorders>
            <w:textDirection w:val="btLr"/>
            <w:vAlign w:val="center"/>
          </w:tcPr>
          <w:p w14:paraId="3F44191E" w14:textId="77777777" w:rsidR="00EB16FD" w:rsidRPr="006935A7" w:rsidRDefault="00EB16FD" w:rsidP="00EB16FD">
            <w:pPr>
              <w:autoSpaceDE w:val="0"/>
              <w:autoSpaceDN w:val="0"/>
              <w:adjustRightInd w:val="0"/>
              <w:spacing w:after="0" w:line="240" w:lineRule="auto"/>
              <w:ind w:left="113" w:right="113"/>
              <w:rPr>
                <w:rFonts w:cstheme="minorHAnsi"/>
                <w:sz w:val="18"/>
                <w:szCs w:val="18"/>
              </w:rPr>
            </w:pPr>
          </w:p>
        </w:tc>
        <w:tc>
          <w:tcPr>
            <w:tcW w:w="1668" w:type="dxa"/>
            <w:tcBorders>
              <w:top w:val="single" w:sz="4" w:space="0" w:color="auto"/>
              <w:bottom w:val="single" w:sz="4" w:space="0" w:color="auto"/>
            </w:tcBorders>
            <w:shd w:val="clear" w:color="auto" w:fill="auto"/>
            <w:vAlign w:val="center"/>
          </w:tcPr>
          <w:p w14:paraId="328472FC" w14:textId="77777777"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Oxidative status and DNA Damage</w:t>
            </w:r>
          </w:p>
        </w:tc>
        <w:tc>
          <w:tcPr>
            <w:tcW w:w="1703" w:type="dxa"/>
            <w:tcBorders>
              <w:top w:val="single" w:sz="4" w:space="0" w:color="auto"/>
              <w:bottom w:val="single" w:sz="4" w:space="0" w:color="auto"/>
            </w:tcBorders>
            <w:shd w:val="clear" w:color="auto" w:fill="auto"/>
            <w:vAlign w:val="center"/>
          </w:tcPr>
          <w:p w14:paraId="1E3BF448" w14:textId="77777777" w:rsidR="00EB16FD" w:rsidRPr="006935A7" w:rsidRDefault="00EB16FD" w:rsidP="00EB16FD">
            <w:pPr>
              <w:jc w:val="center"/>
              <w:rPr>
                <w:rFonts w:cstheme="minorHAnsi"/>
                <w:color w:val="000000"/>
                <w:sz w:val="18"/>
                <w:szCs w:val="18"/>
              </w:rPr>
            </w:pPr>
            <w:r w:rsidRPr="006935A7">
              <w:rPr>
                <w:rFonts w:cstheme="minorHAnsi"/>
                <w:color w:val="000000"/>
                <w:sz w:val="18"/>
                <w:szCs w:val="18"/>
              </w:rPr>
              <w:t>ROS production and DNA fragmentation</w:t>
            </w:r>
          </w:p>
        </w:tc>
        <w:tc>
          <w:tcPr>
            <w:tcW w:w="2010" w:type="dxa"/>
            <w:tcBorders>
              <w:top w:val="single" w:sz="4" w:space="0" w:color="auto"/>
              <w:bottom w:val="single" w:sz="4" w:space="0" w:color="auto"/>
            </w:tcBorders>
            <w:shd w:val="clear" w:color="auto" w:fill="auto"/>
            <w:vAlign w:val="center"/>
          </w:tcPr>
          <w:p w14:paraId="7D17339D"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AgNPs increased ROS production and the ratio of fragmented to normal DNA in human sperm, indicating that AgNP-induced toxicity in human spermatozoa involved ROS stress and DNA damage.</w:t>
            </w:r>
          </w:p>
        </w:tc>
        <w:tc>
          <w:tcPr>
            <w:tcW w:w="2273" w:type="dxa"/>
            <w:tcBorders>
              <w:top w:val="single" w:sz="4" w:space="0" w:color="auto"/>
              <w:bottom w:val="single" w:sz="4" w:space="0" w:color="auto"/>
            </w:tcBorders>
            <w:vAlign w:val="center"/>
          </w:tcPr>
          <w:p w14:paraId="7E23F67B" w14:textId="323BDA1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Oxidative stress (ID1690), Increase DNA damage (ID1897)</w:t>
            </w:r>
          </w:p>
        </w:tc>
        <w:tc>
          <w:tcPr>
            <w:tcW w:w="2386" w:type="dxa"/>
            <w:tcBorders>
              <w:top w:val="single" w:sz="4" w:space="0" w:color="auto"/>
              <w:bottom w:val="single" w:sz="4" w:space="0" w:color="auto"/>
            </w:tcBorders>
            <w:shd w:val="clear" w:color="auto" w:fill="auto"/>
            <w:vAlign w:val="center"/>
          </w:tcPr>
          <w:p w14:paraId="44B3D4FA" w14:textId="77777777" w:rsidR="00EB16FD" w:rsidRPr="006935A7" w:rsidRDefault="00EB16FD" w:rsidP="007F1961">
            <w:pPr>
              <w:jc w:val="center"/>
              <w:rPr>
                <w:rFonts w:cstheme="minorHAnsi"/>
                <w:color w:val="000000"/>
                <w:sz w:val="18"/>
                <w:szCs w:val="18"/>
              </w:rPr>
            </w:pPr>
            <w:r w:rsidRPr="006935A7">
              <w:rPr>
                <w:rFonts w:cstheme="minorHAnsi"/>
                <w:color w:val="000000"/>
                <w:sz w:val="18"/>
                <w:szCs w:val="18"/>
              </w:rPr>
              <w:t>Increase, Apoptosis (ID1365)</w:t>
            </w:r>
          </w:p>
        </w:tc>
        <w:tc>
          <w:tcPr>
            <w:tcW w:w="851" w:type="dxa"/>
            <w:vMerge/>
            <w:tcBorders>
              <w:bottom w:val="single" w:sz="4" w:space="0" w:color="auto"/>
              <w:right w:val="single" w:sz="4" w:space="0" w:color="auto"/>
            </w:tcBorders>
          </w:tcPr>
          <w:p w14:paraId="41FE643F" w14:textId="77777777" w:rsidR="00EB16FD" w:rsidRPr="006935A7" w:rsidRDefault="00EB16FD" w:rsidP="007F3FC3">
            <w:pPr>
              <w:spacing w:after="0" w:line="240" w:lineRule="auto"/>
              <w:jc w:val="center"/>
              <w:rPr>
                <w:rFonts w:eastAsia="Times New Roman" w:cstheme="minorHAnsi"/>
                <w:color w:val="000000"/>
                <w:sz w:val="18"/>
                <w:szCs w:val="18"/>
                <w:lang w:eastAsia="fr-FR"/>
              </w:rPr>
            </w:pPr>
          </w:p>
        </w:tc>
      </w:tr>
      <w:tr w:rsidR="00EB16FD" w:rsidRPr="00DC5D76" w14:paraId="34602109" w14:textId="77777777" w:rsidTr="007F3FC3">
        <w:trPr>
          <w:cantSplit/>
          <w:trHeight w:val="362"/>
        </w:trPr>
        <w:tc>
          <w:tcPr>
            <w:tcW w:w="1408" w:type="dxa"/>
            <w:vMerge w:val="restart"/>
            <w:tcBorders>
              <w:top w:val="single" w:sz="4" w:space="0" w:color="auto"/>
              <w:left w:val="single" w:sz="4" w:space="0" w:color="auto"/>
              <w:bottom w:val="single" w:sz="4" w:space="0" w:color="auto"/>
            </w:tcBorders>
            <w:shd w:val="clear" w:color="auto" w:fill="auto"/>
            <w:textDirection w:val="btLr"/>
            <w:vAlign w:val="center"/>
          </w:tcPr>
          <w:p w14:paraId="7B52D3D2" w14:textId="77777777" w:rsidR="00EB16FD" w:rsidRPr="006935A7" w:rsidRDefault="00EB16FD" w:rsidP="00EB16FD">
            <w:pPr>
              <w:autoSpaceDE w:val="0"/>
              <w:autoSpaceDN w:val="0"/>
              <w:adjustRightInd w:val="0"/>
              <w:spacing w:after="0" w:line="240" w:lineRule="auto"/>
              <w:ind w:left="113" w:right="113"/>
              <w:jc w:val="center"/>
              <w:rPr>
                <w:rFonts w:cstheme="minorHAnsi"/>
                <w:sz w:val="18"/>
                <w:szCs w:val="18"/>
              </w:rPr>
            </w:pPr>
            <w:r w:rsidRPr="006935A7">
              <w:rPr>
                <w:rFonts w:cstheme="minorHAnsi"/>
                <w:sz w:val="18"/>
                <w:szCs w:val="18"/>
              </w:rPr>
              <w:t>20 nm</w:t>
            </w:r>
          </w:p>
        </w:tc>
        <w:tc>
          <w:tcPr>
            <w:tcW w:w="1276" w:type="dxa"/>
            <w:vMerge w:val="restart"/>
            <w:tcBorders>
              <w:top w:val="single" w:sz="4" w:space="0" w:color="auto"/>
              <w:bottom w:val="single" w:sz="4" w:space="0" w:color="auto"/>
            </w:tcBorders>
            <w:shd w:val="clear" w:color="auto" w:fill="auto"/>
            <w:textDirection w:val="btLr"/>
            <w:vAlign w:val="center"/>
          </w:tcPr>
          <w:p w14:paraId="33951514" w14:textId="77777777" w:rsidR="00EB16FD" w:rsidRPr="006935A7" w:rsidRDefault="00EB16FD" w:rsidP="00EB16FD">
            <w:pPr>
              <w:ind w:left="113" w:right="113"/>
              <w:jc w:val="center"/>
              <w:rPr>
                <w:rFonts w:cstheme="minorHAnsi"/>
                <w:sz w:val="18"/>
                <w:szCs w:val="18"/>
              </w:rPr>
            </w:pPr>
            <w:r w:rsidRPr="006935A7">
              <w:rPr>
                <w:rFonts w:cstheme="minorHAnsi"/>
                <w:sz w:val="18"/>
                <w:szCs w:val="18"/>
              </w:rPr>
              <w:t>Sertoli (TM4) cells</w:t>
            </w:r>
          </w:p>
        </w:tc>
        <w:tc>
          <w:tcPr>
            <w:tcW w:w="1275" w:type="dxa"/>
            <w:vMerge w:val="restart"/>
            <w:tcBorders>
              <w:top w:val="single" w:sz="4" w:space="0" w:color="auto"/>
              <w:bottom w:val="single" w:sz="4" w:space="0" w:color="auto"/>
            </w:tcBorders>
            <w:textDirection w:val="btLr"/>
            <w:vAlign w:val="center"/>
          </w:tcPr>
          <w:p w14:paraId="7956686B" w14:textId="5280AB60" w:rsidR="00EB16FD" w:rsidRPr="00AF6261" w:rsidRDefault="00EB16FD" w:rsidP="00EB16FD">
            <w:pPr>
              <w:autoSpaceDE w:val="0"/>
              <w:autoSpaceDN w:val="0"/>
              <w:adjustRightInd w:val="0"/>
              <w:spacing w:after="0" w:line="240" w:lineRule="auto"/>
              <w:ind w:left="113" w:right="113"/>
              <w:rPr>
                <w:rFonts w:cstheme="minorHAnsi"/>
                <w:sz w:val="18"/>
                <w:szCs w:val="18"/>
                <w:lang w:val="en-US"/>
              </w:rPr>
            </w:pPr>
            <w:r w:rsidRPr="00AF6261">
              <w:rPr>
                <w:rFonts w:cstheme="minorHAnsi"/>
                <w:sz w:val="18"/>
                <w:szCs w:val="18"/>
                <w:lang w:val="en-US"/>
              </w:rPr>
              <w:t>0, 3.0625, 6.125, 12.5, 25 and 50 mg/mL  for 24 h exposure</w:t>
            </w:r>
          </w:p>
        </w:tc>
        <w:tc>
          <w:tcPr>
            <w:tcW w:w="1668" w:type="dxa"/>
            <w:tcBorders>
              <w:top w:val="single" w:sz="4" w:space="0" w:color="auto"/>
              <w:bottom w:val="single" w:sz="4" w:space="0" w:color="auto"/>
            </w:tcBorders>
            <w:shd w:val="clear" w:color="auto" w:fill="auto"/>
            <w:vAlign w:val="center"/>
          </w:tcPr>
          <w:p w14:paraId="02F0CE01" w14:textId="77777777" w:rsidR="00EB16FD" w:rsidRPr="006935A7" w:rsidRDefault="00EB16FD" w:rsidP="00EB16FD">
            <w:pPr>
              <w:jc w:val="center"/>
              <w:rPr>
                <w:rFonts w:cstheme="minorHAnsi"/>
                <w:color w:val="000000"/>
                <w:sz w:val="18"/>
                <w:szCs w:val="18"/>
              </w:rPr>
            </w:pPr>
            <w:r w:rsidRPr="006935A7">
              <w:rPr>
                <w:rFonts w:cstheme="minorHAnsi"/>
                <w:color w:val="000000"/>
                <w:sz w:val="18"/>
                <w:szCs w:val="18"/>
              </w:rPr>
              <w:t>Cytotoxicity</w:t>
            </w:r>
          </w:p>
        </w:tc>
        <w:tc>
          <w:tcPr>
            <w:tcW w:w="1703" w:type="dxa"/>
            <w:tcBorders>
              <w:top w:val="single" w:sz="4" w:space="0" w:color="auto"/>
              <w:bottom w:val="single" w:sz="4" w:space="0" w:color="auto"/>
            </w:tcBorders>
            <w:shd w:val="clear" w:color="auto" w:fill="auto"/>
            <w:vAlign w:val="center"/>
          </w:tcPr>
          <w:p w14:paraId="6B1BBD06" w14:textId="38B41AB2" w:rsidR="00EB16FD" w:rsidRPr="00AF6261" w:rsidRDefault="00EB16FD" w:rsidP="00EB16FD">
            <w:pPr>
              <w:jc w:val="center"/>
              <w:rPr>
                <w:rFonts w:cstheme="minorHAnsi"/>
                <w:color w:val="131413"/>
                <w:sz w:val="18"/>
                <w:szCs w:val="18"/>
                <w:lang w:val="en-US"/>
              </w:rPr>
            </w:pPr>
            <w:r w:rsidRPr="00AF6261">
              <w:rPr>
                <w:rFonts w:cstheme="minorHAnsi"/>
                <w:color w:val="131413"/>
                <w:sz w:val="18"/>
                <w:szCs w:val="18"/>
                <w:lang w:val="en-US"/>
              </w:rPr>
              <w:t>Cell viability by CCK-8 and LDH Assay</w:t>
            </w:r>
          </w:p>
        </w:tc>
        <w:tc>
          <w:tcPr>
            <w:tcW w:w="2010" w:type="dxa"/>
            <w:tcBorders>
              <w:top w:val="single" w:sz="4" w:space="0" w:color="auto"/>
              <w:bottom w:val="single" w:sz="4" w:space="0" w:color="auto"/>
            </w:tcBorders>
            <w:shd w:val="clear" w:color="auto" w:fill="auto"/>
            <w:vAlign w:val="center"/>
          </w:tcPr>
          <w:p w14:paraId="222F8605"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Decreased viability, increased LDH release</w:t>
            </w:r>
          </w:p>
        </w:tc>
        <w:tc>
          <w:tcPr>
            <w:tcW w:w="2273" w:type="dxa"/>
            <w:tcBorders>
              <w:top w:val="single" w:sz="4" w:space="0" w:color="auto"/>
              <w:bottom w:val="single" w:sz="4" w:space="0" w:color="auto"/>
            </w:tcBorders>
            <w:vAlign w:val="center"/>
          </w:tcPr>
          <w:p w14:paraId="14353B85" w14:textId="1750E0F7" w:rsidR="00EB16FD" w:rsidRPr="006935A7" w:rsidRDefault="00EB16FD" w:rsidP="007F1961">
            <w:pPr>
              <w:jc w:val="center"/>
              <w:rPr>
                <w:rFonts w:cstheme="minorHAnsi"/>
                <w:color w:val="000000"/>
                <w:sz w:val="18"/>
                <w:szCs w:val="18"/>
              </w:rPr>
            </w:pPr>
            <w:r>
              <w:rPr>
                <w:rFonts w:cstheme="minorHAnsi"/>
                <w:color w:val="000000"/>
                <w:sz w:val="18"/>
                <w:szCs w:val="18"/>
              </w:rPr>
              <w:t>I</w:t>
            </w:r>
            <w:r w:rsidRPr="006935A7">
              <w:rPr>
                <w:rFonts w:cstheme="minorHAnsi"/>
                <w:color w:val="000000"/>
                <w:sz w:val="18"/>
                <w:szCs w:val="18"/>
              </w:rPr>
              <w:t>ncrease</w:t>
            </w:r>
            <w:r>
              <w:rPr>
                <w:rFonts w:cstheme="minorHAnsi"/>
                <w:color w:val="000000"/>
                <w:sz w:val="18"/>
                <w:szCs w:val="18"/>
              </w:rPr>
              <w:t>d</w:t>
            </w:r>
            <w:r w:rsidRPr="006935A7">
              <w:rPr>
                <w:rFonts w:cstheme="minorHAnsi"/>
                <w:color w:val="000000"/>
                <w:sz w:val="18"/>
                <w:szCs w:val="18"/>
              </w:rPr>
              <w:t xml:space="preserve"> cytotoxicity (ID887, ID2659)</w:t>
            </w:r>
          </w:p>
        </w:tc>
        <w:tc>
          <w:tcPr>
            <w:tcW w:w="2386" w:type="dxa"/>
            <w:tcBorders>
              <w:top w:val="single" w:sz="4" w:space="0" w:color="auto"/>
              <w:bottom w:val="single" w:sz="4" w:space="0" w:color="auto"/>
            </w:tcBorders>
            <w:shd w:val="clear" w:color="auto" w:fill="auto"/>
            <w:vAlign w:val="center"/>
          </w:tcPr>
          <w:p w14:paraId="59391EA7"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 Tissue Degeneration, Necrosis &amp; Atrophy (ID868)</w:t>
            </w:r>
          </w:p>
        </w:tc>
        <w:tc>
          <w:tcPr>
            <w:tcW w:w="851" w:type="dxa"/>
            <w:vMerge w:val="restart"/>
            <w:tcBorders>
              <w:top w:val="single" w:sz="4" w:space="0" w:color="auto"/>
              <w:bottom w:val="single" w:sz="4" w:space="0" w:color="auto"/>
              <w:right w:val="single" w:sz="4" w:space="0" w:color="auto"/>
            </w:tcBorders>
            <w:vAlign w:val="center"/>
          </w:tcPr>
          <w:p w14:paraId="7F59D57D" w14:textId="5D8FD0D1" w:rsidR="00EB16FD" w:rsidRPr="00AF6261" w:rsidRDefault="00EB16FD" w:rsidP="007F3FC3">
            <w:pPr>
              <w:spacing w:after="0" w:line="240" w:lineRule="auto"/>
              <w:jc w:val="center"/>
              <w:rPr>
                <w:rFonts w:eastAsia="Times New Roman" w:cstheme="minorHAnsi"/>
                <w:color w:val="000000"/>
                <w:sz w:val="18"/>
                <w:szCs w:val="18"/>
                <w:lang w:val="en-US" w:eastAsia="fr-FR"/>
              </w:rPr>
            </w:pPr>
            <w:r w:rsidRPr="006935A7">
              <w:rPr>
                <w:rFonts w:eastAsia="Times New Roman" w:cstheme="minorHAnsi"/>
                <w:color w:val="000000"/>
                <w:sz w:val="18"/>
                <w:szCs w:val="18"/>
                <w:lang w:eastAsia="fr-FR"/>
              </w:rPr>
              <w:fldChar w:fldCharType="begin" w:fldLock="1"/>
            </w:r>
            <w:r w:rsidR="007F3FC3">
              <w:rPr>
                <w:rFonts w:eastAsia="Times New Roman" w:cstheme="minorHAnsi"/>
                <w:color w:val="000000"/>
                <w:sz w:val="18"/>
                <w:szCs w:val="18"/>
                <w:lang w:eastAsia="fr-FR"/>
              </w:rPr>
              <w:instrText>ADDIN CSL_CITATION {"citationItems":[{"id":"ITEM-1","itemData":{"DOI":"10.3109/17435390.2015.1073396","ISSN":"17435404","PMID":"26470004","abstract":"Silver nanoparticles (AgNPs) are widely used as an antibiotic agent in textiles, wound dressings, medical devices, and appliances such as refrigerators and washing machines. The increasing use of AgNPs has raised concerns about their potential risks to human health. Therefore, this study was aimed to determine the impact of AgNPs in germ cell specific complications in mice. The administration of AgNPs results in toxicity in mice; however, a more detailed understanding of the effects of AgNPs on germ cells remains poorly understood. Here, we demonstrate the effects of AgNPs (20 nm in diameter) in a mouse Sertoli and granulosa cells in vitro, and in male and female mice in vivo. Soluble silver ion (Ag+)-treated cells were used as a positive control. We found that excessive AgNP-treated cells exhibited cytotoxicity, the formation of autophagosomes and autolysosomes in Sertoli cells. Furthermore, an increase in mitochondrial-mediated apoptosis by cytochrome c release from mitochondria due to translocation of Bax to mitochondria was observed. In in vivo studies, the expression of pro-inflammatory cytokines, including tumor necrosis factor α, interferon-γ, -6, -1β, and monocyte chemoattractant protein-1 were significantly increased (p &lt; 0.05). Histopathological analysis of AgNP-treated mice shows that a significant loss of male and female germ cells. Taken together, these data suggest that AgNPs with an average size of 20 nm have negative impact on the reproduction.","author":[{"dropping-particle":"","family":"Han","given":"Jae Woong","non-dropping-particle":"","parse-names":false,"suffix":""},{"dropping-particle":"","family":"Jeong","given":"Jae Kyo","non-dropping-particle":"","parse-names":false,"suffix":""},{"dropping-particle":"","family":"Gurunathan","given":"Sangiliyandi","non-dropping-particle":"","parse-names":false,"suffix":""},{"dropping-particle":"","family":"Choi","g</w:instrText>
            </w:r>
            <w:r w:rsidR="007F3FC3" w:rsidRPr="00AF6261">
              <w:rPr>
                <w:rFonts w:eastAsia="Times New Roman" w:cstheme="minorHAnsi"/>
                <w:color w:val="000000"/>
                <w:sz w:val="18"/>
                <w:szCs w:val="18"/>
                <w:lang w:val="en-US" w:eastAsia="fr-FR"/>
              </w:rPr>
              <w:instrText>iven":"Yun Jung","non-dropping-particle":"","parse-names":false,"suffix":""},{"dropping-particle":"","family":"Das","given":"Joydeep","non-dropping-particle":"","parse-names":false,"suffix":""},{"dropping-particle":"","family":"Kwon","given":"Deug Nam","non-dropping-particle":"","parse-names":false,"suffix":""},{"dropping-particle":"","family":"Cho","given":"Ssang Goo","non-dropping-particle":"","parse-names":false,"suffix":""},{"dropping-particle":"","family":"Park","given":"Chankyu","non-dropping-particle":"","parse-names":false,"suffix":""},{"dropping-particle":"","family":"Seo","given":"Han Geuk","non-dropping-particle":"","parse-names":false,"suffix":""},{"dropping-particle":"","family":"Park","given":"Jin Ki","non-dropping-particle":"","parse-names":false,"suffix":""},{"dropping-particle":"","family":"Kim","given":"Jin Hoi","non-dropping-particle":"","parse-names":false,"suffix":""}],"container-title":"Nanotoxicology","id":"ITEM-1","issue":"3","issued":{"date-parts":[["2016"]]},"page":"361-373","title":"Male- and female-derived somatic and germ cell-specific toxicity of silver nanoparticles in mouse","type":"article-journal","volume":"10"},"uris":["http://www.mendeley.com/documents/?uuid=3b63f2ef-3c70-4201-b9f3-f78ea37702a4"]}],"mendeley":{"formattedCitation":"(24)","plainTextFormattedCitation":"(24)","previouslyFormattedCitation":"(Han et al. 2016)"},"properties":{"noteIndex":0},"schema":"https://github.com/citation-style-language/schema/raw/master/csl-citation.json"}</w:instrText>
            </w:r>
            <w:r w:rsidRPr="006935A7">
              <w:rPr>
                <w:rFonts w:eastAsia="Times New Roman" w:cstheme="minorHAnsi"/>
                <w:color w:val="000000"/>
                <w:sz w:val="18"/>
                <w:szCs w:val="18"/>
                <w:lang w:eastAsia="fr-FR"/>
              </w:rPr>
              <w:fldChar w:fldCharType="separate"/>
            </w:r>
            <w:r w:rsidR="007F3FC3" w:rsidRPr="00AF6261">
              <w:rPr>
                <w:rFonts w:eastAsia="Times New Roman" w:cstheme="minorHAnsi"/>
                <w:noProof/>
                <w:color w:val="000000"/>
                <w:sz w:val="18"/>
                <w:szCs w:val="18"/>
                <w:lang w:val="en-US" w:eastAsia="fr-FR"/>
              </w:rPr>
              <w:t>(24)</w:t>
            </w:r>
            <w:r w:rsidRPr="006935A7">
              <w:rPr>
                <w:rFonts w:eastAsia="Times New Roman" w:cstheme="minorHAnsi"/>
                <w:color w:val="000000"/>
                <w:sz w:val="18"/>
                <w:szCs w:val="18"/>
                <w:lang w:eastAsia="fr-FR"/>
              </w:rPr>
              <w:fldChar w:fldCharType="end"/>
            </w:r>
          </w:p>
        </w:tc>
      </w:tr>
      <w:tr w:rsidR="00EB16FD" w:rsidRPr="00DC5D76" w14:paraId="122BC108" w14:textId="77777777" w:rsidTr="007F3FC3">
        <w:trPr>
          <w:cantSplit/>
          <w:trHeight w:val="362"/>
        </w:trPr>
        <w:tc>
          <w:tcPr>
            <w:tcW w:w="1408" w:type="dxa"/>
            <w:vMerge/>
            <w:tcBorders>
              <w:left w:val="single" w:sz="4" w:space="0" w:color="auto"/>
              <w:bottom w:val="single" w:sz="4" w:space="0" w:color="auto"/>
            </w:tcBorders>
            <w:shd w:val="clear" w:color="auto" w:fill="auto"/>
            <w:textDirection w:val="btLr"/>
            <w:vAlign w:val="center"/>
          </w:tcPr>
          <w:p w14:paraId="66E01D39" w14:textId="77777777" w:rsidR="00EB16FD" w:rsidRPr="00AF6261" w:rsidRDefault="00EB16FD" w:rsidP="00EB16FD">
            <w:pPr>
              <w:autoSpaceDE w:val="0"/>
              <w:autoSpaceDN w:val="0"/>
              <w:adjustRightInd w:val="0"/>
              <w:spacing w:after="0" w:line="240" w:lineRule="auto"/>
              <w:ind w:left="113" w:right="113"/>
              <w:rPr>
                <w:rFonts w:cstheme="minorHAnsi"/>
                <w:sz w:val="18"/>
                <w:szCs w:val="18"/>
                <w:lang w:val="en-US"/>
              </w:rPr>
            </w:pPr>
          </w:p>
        </w:tc>
        <w:tc>
          <w:tcPr>
            <w:tcW w:w="1276" w:type="dxa"/>
            <w:vMerge/>
            <w:tcBorders>
              <w:top w:val="single" w:sz="4" w:space="0" w:color="auto"/>
              <w:bottom w:val="single" w:sz="4" w:space="0" w:color="auto"/>
            </w:tcBorders>
            <w:shd w:val="clear" w:color="auto" w:fill="auto"/>
            <w:textDirection w:val="btLr"/>
            <w:vAlign w:val="center"/>
          </w:tcPr>
          <w:p w14:paraId="3ECE146F" w14:textId="77777777" w:rsidR="00EB16FD" w:rsidRPr="00AF6261" w:rsidRDefault="00EB16FD" w:rsidP="00EB16FD">
            <w:pPr>
              <w:ind w:left="113" w:right="113"/>
              <w:jc w:val="center"/>
              <w:rPr>
                <w:rFonts w:cstheme="minorHAnsi"/>
                <w:sz w:val="18"/>
                <w:szCs w:val="18"/>
                <w:lang w:val="en-US"/>
              </w:rPr>
            </w:pPr>
          </w:p>
        </w:tc>
        <w:tc>
          <w:tcPr>
            <w:tcW w:w="1275" w:type="dxa"/>
            <w:vMerge/>
            <w:tcBorders>
              <w:top w:val="single" w:sz="4" w:space="0" w:color="auto"/>
              <w:bottom w:val="single" w:sz="4" w:space="0" w:color="auto"/>
            </w:tcBorders>
            <w:textDirection w:val="btLr"/>
            <w:vAlign w:val="center"/>
          </w:tcPr>
          <w:p w14:paraId="02F2C26A" w14:textId="77777777" w:rsidR="00EB16FD" w:rsidRPr="00AF6261" w:rsidRDefault="00EB16FD" w:rsidP="00EB16FD">
            <w:pPr>
              <w:autoSpaceDE w:val="0"/>
              <w:autoSpaceDN w:val="0"/>
              <w:adjustRightInd w:val="0"/>
              <w:spacing w:after="0" w:line="240" w:lineRule="auto"/>
              <w:ind w:left="113" w:right="113"/>
              <w:rPr>
                <w:rFonts w:cstheme="minorHAnsi"/>
                <w:sz w:val="18"/>
                <w:szCs w:val="18"/>
                <w:lang w:val="en-US"/>
              </w:rPr>
            </w:pPr>
          </w:p>
        </w:tc>
        <w:tc>
          <w:tcPr>
            <w:tcW w:w="1668" w:type="dxa"/>
            <w:tcBorders>
              <w:top w:val="single" w:sz="4" w:space="0" w:color="auto"/>
              <w:bottom w:val="single" w:sz="4" w:space="0" w:color="auto"/>
            </w:tcBorders>
            <w:shd w:val="clear" w:color="auto" w:fill="auto"/>
            <w:vAlign w:val="center"/>
          </w:tcPr>
          <w:p w14:paraId="3619190D"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Oxidative status</w:t>
            </w:r>
          </w:p>
        </w:tc>
        <w:tc>
          <w:tcPr>
            <w:tcW w:w="1703" w:type="dxa"/>
            <w:tcBorders>
              <w:top w:val="single" w:sz="4" w:space="0" w:color="auto"/>
              <w:bottom w:val="single" w:sz="4" w:space="0" w:color="auto"/>
            </w:tcBorders>
            <w:shd w:val="clear" w:color="auto" w:fill="auto"/>
            <w:vAlign w:val="bottom"/>
          </w:tcPr>
          <w:p w14:paraId="7BE2D892" w14:textId="77777777"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ROS Production by H2DCF-DA assay</w:t>
            </w:r>
          </w:p>
        </w:tc>
        <w:tc>
          <w:tcPr>
            <w:tcW w:w="2010" w:type="dxa"/>
            <w:tcBorders>
              <w:top w:val="single" w:sz="4" w:space="0" w:color="auto"/>
              <w:bottom w:val="single" w:sz="4" w:space="0" w:color="auto"/>
            </w:tcBorders>
            <w:shd w:val="clear" w:color="auto" w:fill="auto"/>
            <w:vAlign w:val="bottom"/>
          </w:tcPr>
          <w:p w14:paraId="489B4982"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AgNPs induce the production of ROS</w:t>
            </w:r>
          </w:p>
        </w:tc>
        <w:tc>
          <w:tcPr>
            <w:tcW w:w="2273" w:type="dxa"/>
            <w:tcBorders>
              <w:top w:val="single" w:sz="4" w:space="0" w:color="auto"/>
              <w:bottom w:val="single" w:sz="4" w:space="0" w:color="auto"/>
            </w:tcBorders>
            <w:vAlign w:val="bottom"/>
          </w:tcPr>
          <w:p w14:paraId="085FCC6F"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Oxidative stress (ID1690)</w:t>
            </w:r>
          </w:p>
        </w:tc>
        <w:tc>
          <w:tcPr>
            <w:tcW w:w="2386" w:type="dxa"/>
            <w:tcBorders>
              <w:top w:val="single" w:sz="4" w:space="0" w:color="auto"/>
              <w:bottom w:val="single" w:sz="4" w:space="0" w:color="auto"/>
            </w:tcBorders>
            <w:shd w:val="clear" w:color="auto" w:fill="auto"/>
            <w:vAlign w:val="bottom"/>
          </w:tcPr>
          <w:p w14:paraId="5E326762"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 Apoptosis (ID1365)</w:t>
            </w:r>
          </w:p>
        </w:tc>
        <w:tc>
          <w:tcPr>
            <w:tcW w:w="851" w:type="dxa"/>
            <w:vMerge/>
            <w:tcBorders>
              <w:bottom w:val="single" w:sz="4" w:space="0" w:color="auto"/>
              <w:right w:val="single" w:sz="4" w:space="0" w:color="auto"/>
            </w:tcBorders>
          </w:tcPr>
          <w:p w14:paraId="4EB5091F" w14:textId="77777777" w:rsidR="00EB16FD" w:rsidRPr="00AF6261" w:rsidRDefault="00EB16FD" w:rsidP="007F3FC3">
            <w:pPr>
              <w:spacing w:after="0" w:line="240" w:lineRule="auto"/>
              <w:jc w:val="center"/>
              <w:rPr>
                <w:rFonts w:eastAsia="Times New Roman" w:cstheme="minorHAnsi"/>
                <w:color w:val="000000"/>
                <w:sz w:val="18"/>
                <w:szCs w:val="18"/>
                <w:lang w:val="en-US" w:eastAsia="fr-FR"/>
              </w:rPr>
            </w:pPr>
          </w:p>
        </w:tc>
      </w:tr>
      <w:tr w:rsidR="00EB16FD" w:rsidRPr="00DC5D76" w14:paraId="0E765480" w14:textId="77777777" w:rsidTr="007F3FC3">
        <w:trPr>
          <w:cantSplit/>
          <w:trHeight w:val="362"/>
        </w:trPr>
        <w:tc>
          <w:tcPr>
            <w:tcW w:w="1408" w:type="dxa"/>
            <w:vMerge/>
            <w:tcBorders>
              <w:left w:val="single" w:sz="4" w:space="0" w:color="auto"/>
              <w:bottom w:val="single" w:sz="4" w:space="0" w:color="auto"/>
            </w:tcBorders>
            <w:shd w:val="clear" w:color="auto" w:fill="auto"/>
            <w:textDirection w:val="btLr"/>
            <w:vAlign w:val="center"/>
          </w:tcPr>
          <w:p w14:paraId="3399106C" w14:textId="77777777" w:rsidR="00EB16FD" w:rsidRPr="00AF6261" w:rsidRDefault="00EB16FD" w:rsidP="00EB16FD">
            <w:pPr>
              <w:autoSpaceDE w:val="0"/>
              <w:autoSpaceDN w:val="0"/>
              <w:adjustRightInd w:val="0"/>
              <w:spacing w:after="0" w:line="240" w:lineRule="auto"/>
              <w:ind w:left="113" w:right="113"/>
              <w:rPr>
                <w:rFonts w:cstheme="minorHAnsi"/>
                <w:sz w:val="18"/>
                <w:szCs w:val="18"/>
                <w:lang w:val="en-US"/>
              </w:rPr>
            </w:pPr>
          </w:p>
        </w:tc>
        <w:tc>
          <w:tcPr>
            <w:tcW w:w="1276" w:type="dxa"/>
            <w:vMerge/>
            <w:tcBorders>
              <w:top w:val="single" w:sz="4" w:space="0" w:color="auto"/>
              <w:bottom w:val="single" w:sz="4" w:space="0" w:color="auto"/>
            </w:tcBorders>
            <w:shd w:val="clear" w:color="auto" w:fill="auto"/>
            <w:textDirection w:val="btLr"/>
            <w:vAlign w:val="center"/>
          </w:tcPr>
          <w:p w14:paraId="1217C1C6" w14:textId="77777777" w:rsidR="00EB16FD" w:rsidRPr="00AF6261" w:rsidRDefault="00EB16FD" w:rsidP="00EB16FD">
            <w:pPr>
              <w:ind w:left="113" w:right="113"/>
              <w:jc w:val="center"/>
              <w:rPr>
                <w:rFonts w:cstheme="minorHAnsi"/>
                <w:sz w:val="18"/>
                <w:szCs w:val="18"/>
                <w:lang w:val="en-US"/>
              </w:rPr>
            </w:pPr>
          </w:p>
        </w:tc>
        <w:tc>
          <w:tcPr>
            <w:tcW w:w="1275" w:type="dxa"/>
            <w:vMerge/>
            <w:tcBorders>
              <w:top w:val="single" w:sz="4" w:space="0" w:color="auto"/>
              <w:bottom w:val="single" w:sz="4" w:space="0" w:color="auto"/>
            </w:tcBorders>
            <w:textDirection w:val="btLr"/>
            <w:vAlign w:val="center"/>
          </w:tcPr>
          <w:p w14:paraId="347187CC" w14:textId="77777777" w:rsidR="00EB16FD" w:rsidRPr="00AF6261" w:rsidRDefault="00EB16FD" w:rsidP="00EB16FD">
            <w:pPr>
              <w:autoSpaceDE w:val="0"/>
              <w:autoSpaceDN w:val="0"/>
              <w:adjustRightInd w:val="0"/>
              <w:spacing w:after="0" w:line="240" w:lineRule="auto"/>
              <w:ind w:left="113" w:right="113"/>
              <w:rPr>
                <w:rFonts w:cstheme="minorHAnsi"/>
                <w:sz w:val="18"/>
                <w:szCs w:val="18"/>
                <w:lang w:val="en-US"/>
              </w:rPr>
            </w:pPr>
          </w:p>
        </w:tc>
        <w:tc>
          <w:tcPr>
            <w:tcW w:w="1668" w:type="dxa"/>
            <w:tcBorders>
              <w:top w:val="single" w:sz="4" w:space="0" w:color="auto"/>
              <w:bottom w:val="single" w:sz="4" w:space="0" w:color="auto"/>
            </w:tcBorders>
            <w:shd w:val="clear" w:color="auto" w:fill="auto"/>
            <w:vAlign w:val="center"/>
          </w:tcPr>
          <w:p w14:paraId="02735FCD"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Apoptosis</w:t>
            </w:r>
          </w:p>
        </w:tc>
        <w:tc>
          <w:tcPr>
            <w:tcW w:w="1703" w:type="dxa"/>
            <w:tcBorders>
              <w:top w:val="single" w:sz="4" w:space="0" w:color="auto"/>
              <w:bottom w:val="single" w:sz="4" w:space="0" w:color="auto"/>
            </w:tcBorders>
            <w:shd w:val="clear" w:color="auto" w:fill="auto"/>
            <w:vAlign w:val="center"/>
          </w:tcPr>
          <w:p w14:paraId="1F2EE1EA"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TUNEL Assay</w:t>
            </w:r>
          </w:p>
        </w:tc>
        <w:tc>
          <w:tcPr>
            <w:tcW w:w="2010" w:type="dxa"/>
            <w:tcBorders>
              <w:top w:val="single" w:sz="4" w:space="0" w:color="auto"/>
              <w:bottom w:val="single" w:sz="4" w:space="0" w:color="auto"/>
            </w:tcBorders>
            <w:shd w:val="clear" w:color="auto" w:fill="auto"/>
            <w:vAlign w:val="center"/>
          </w:tcPr>
          <w:p w14:paraId="649D8874" w14:textId="0942083D"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Nuclear and morphological changes are characteristics of apoptosis</w:t>
            </w:r>
          </w:p>
        </w:tc>
        <w:tc>
          <w:tcPr>
            <w:tcW w:w="2273" w:type="dxa"/>
            <w:tcBorders>
              <w:top w:val="single" w:sz="4" w:space="0" w:color="auto"/>
              <w:bottom w:val="single" w:sz="4" w:space="0" w:color="auto"/>
            </w:tcBorders>
            <w:vAlign w:val="center"/>
          </w:tcPr>
          <w:p w14:paraId="0A88AEB3"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General Apoptosis (ID1513)</w:t>
            </w:r>
          </w:p>
        </w:tc>
        <w:tc>
          <w:tcPr>
            <w:tcW w:w="2386" w:type="dxa"/>
            <w:tcBorders>
              <w:top w:val="single" w:sz="4" w:space="0" w:color="auto"/>
              <w:bottom w:val="single" w:sz="4" w:space="0" w:color="auto"/>
            </w:tcBorders>
            <w:shd w:val="clear" w:color="auto" w:fill="auto"/>
            <w:vAlign w:val="center"/>
          </w:tcPr>
          <w:p w14:paraId="38A2B35D"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Testicular atrophy</w:t>
            </w:r>
            <w:r w:rsidRPr="00AF6261">
              <w:rPr>
                <w:rFonts w:cstheme="minorHAnsi"/>
                <w:color w:val="000000"/>
                <w:sz w:val="18"/>
                <w:szCs w:val="18"/>
                <w:lang w:val="en-US"/>
              </w:rPr>
              <w:br/>
              <w:t>(ID1506)</w:t>
            </w:r>
          </w:p>
        </w:tc>
        <w:tc>
          <w:tcPr>
            <w:tcW w:w="851" w:type="dxa"/>
            <w:vMerge/>
            <w:tcBorders>
              <w:bottom w:val="single" w:sz="4" w:space="0" w:color="auto"/>
              <w:right w:val="single" w:sz="4" w:space="0" w:color="auto"/>
            </w:tcBorders>
          </w:tcPr>
          <w:p w14:paraId="54C7C250" w14:textId="77777777" w:rsidR="00EB16FD" w:rsidRPr="00AF6261" w:rsidRDefault="00EB16FD" w:rsidP="007F3FC3">
            <w:pPr>
              <w:spacing w:after="0" w:line="240" w:lineRule="auto"/>
              <w:jc w:val="center"/>
              <w:rPr>
                <w:rFonts w:eastAsia="Times New Roman" w:cstheme="minorHAnsi"/>
                <w:color w:val="000000"/>
                <w:sz w:val="18"/>
                <w:szCs w:val="18"/>
                <w:lang w:val="en-US" w:eastAsia="fr-FR"/>
              </w:rPr>
            </w:pPr>
          </w:p>
        </w:tc>
      </w:tr>
      <w:tr w:rsidR="00EB16FD" w:rsidRPr="00912134" w14:paraId="4AF41150" w14:textId="77777777" w:rsidTr="007F3FC3">
        <w:trPr>
          <w:cantSplit/>
          <w:trHeight w:val="362"/>
        </w:trPr>
        <w:tc>
          <w:tcPr>
            <w:tcW w:w="1408" w:type="dxa"/>
            <w:vMerge w:val="restart"/>
            <w:tcBorders>
              <w:top w:val="single" w:sz="4" w:space="0" w:color="auto"/>
              <w:left w:val="single" w:sz="4" w:space="0" w:color="auto"/>
            </w:tcBorders>
            <w:shd w:val="clear" w:color="auto" w:fill="auto"/>
            <w:textDirection w:val="btLr"/>
            <w:vAlign w:val="center"/>
          </w:tcPr>
          <w:p w14:paraId="6C947961"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10, 40 and 100 nm</w:t>
            </w:r>
          </w:p>
        </w:tc>
        <w:tc>
          <w:tcPr>
            <w:tcW w:w="1276" w:type="dxa"/>
            <w:vMerge w:val="restart"/>
            <w:tcBorders>
              <w:top w:val="single" w:sz="4" w:space="0" w:color="auto"/>
              <w:bottom w:val="single" w:sz="4" w:space="0" w:color="auto"/>
            </w:tcBorders>
            <w:shd w:val="clear" w:color="auto" w:fill="auto"/>
            <w:textDirection w:val="btLr"/>
            <w:vAlign w:val="center"/>
          </w:tcPr>
          <w:p w14:paraId="17017800" w14:textId="1DF3DDFC"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Sertoli cells (15P-1)</w:t>
            </w:r>
          </w:p>
        </w:tc>
        <w:tc>
          <w:tcPr>
            <w:tcW w:w="1275" w:type="dxa"/>
            <w:vMerge w:val="restart"/>
            <w:tcBorders>
              <w:top w:val="single" w:sz="4" w:space="0" w:color="auto"/>
              <w:bottom w:val="single" w:sz="4" w:space="0" w:color="auto"/>
            </w:tcBorders>
            <w:textDirection w:val="btLr"/>
            <w:vAlign w:val="center"/>
          </w:tcPr>
          <w:p w14:paraId="2E6551EC" w14:textId="25727748"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 xml:space="preserve">0.5, to 15.0 </w:t>
            </w:r>
            <w:r w:rsidRPr="006935A7">
              <w:rPr>
                <w:rFonts w:cstheme="minorHAnsi"/>
                <w:color w:val="000000"/>
                <w:sz w:val="18"/>
                <w:szCs w:val="18"/>
              </w:rPr>
              <w:t>μ</w:t>
            </w:r>
            <w:r w:rsidRPr="00AF6261">
              <w:rPr>
                <w:rFonts w:cstheme="minorHAnsi"/>
                <w:color w:val="000000"/>
                <w:sz w:val="18"/>
                <w:szCs w:val="18"/>
                <w:lang w:val="en-US"/>
              </w:rPr>
              <w:t xml:space="preserve">g/ml </w:t>
            </w:r>
            <w:r w:rsidRPr="00AF6261">
              <w:rPr>
                <w:rFonts w:cstheme="minorHAnsi"/>
                <w:sz w:val="18"/>
                <w:szCs w:val="18"/>
                <w:lang w:val="en-US"/>
              </w:rPr>
              <w:t>or 24 h exposure</w:t>
            </w:r>
          </w:p>
        </w:tc>
        <w:tc>
          <w:tcPr>
            <w:tcW w:w="1668" w:type="dxa"/>
            <w:tcBorders>
              <w:top w:val="single" w:sz="4" w:space="0" w:color="auto"/>
              <w:bottom w:val="single" w:sz="4" w:space="0" w:color="auto"/>
            </w:tcBorders>
            <w:shd w:val="clear" w:color="auto" w:fill="auto"/>
            <w:vAlign w:val="center"/>
          </w:tcPr>
          <w:p w14:paraId="00048DE0"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Cytotoxicity</w:t>
            </w:r>
          </w:p>
        </w:tc>
        <w:tc>
          <w:tcPr>
            <w:tcW w:w="1703" w:type="dxa"/>
            <w:tcBorders>
              <w:top w:val="single" w:sz="4" w:space="0" w:color="auto"/>
              <w:bottom w:val="single" w:sz="4" w:space="0" w:color="auto"/>
            </w:tcBorders>
            <w:shd w:val="clear" w:color="auto" w:fill="auto"/>
            <w:vAlign w:val="center"/>
          </w:tcPr>
          <w:p w14:paraId="49C37442" w14:textId="7070F009"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Cell membrane integrity and permeability (NRU assay), and the mitochondrial metabolic activity (MTT assay)</w:t>
            </w:r>
          </w:p>
        </w:tc>
        <w:tc>
          <w:tcPr>
            <w:tcW w:w="2010" w:type="dxa"/>
            <w:tcBorders>
              <w:top w:val="single" w:sz="4" w:space="0" w:color="auto"/>
              <w:bottom w:val="single" w:sz="4" w:space="0" w:color="auto"/>
            </w:tcBorders>
            <w:shd w:val="clear" w:color="auto" w:fill="auto"/>
            <w:vAlign w:val="center"/>
          </w:tcPr>
          <w:p w14:paraId="6A4FF66C"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All kinds of AgNPs showed strong cytotoxic activity</w:t>
            </w:r>
          </w:p>
        </w:tc>
        <w:tc>
          <w:tcPr>
            <w:tcW w:w="2273" w:type="dxa"/>
            <w:tcBorders>
              <w:top w:val="single" w:sz="4" w:space="0" w:color="auto"/>
              <w:bottom w:val="single" w:sz="4" w:space="0" w:color="auto"/>
            </w:tcBorders>
            <w:vAlign w:val="center"/>
          </w:tcPr>
          <w:p w14:paraId="18AD6AE6"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 cytotoxicity (ID887, ID2659)</w:t>
            </w:r>
          </w:p>
        </w:tc>
        <w:tc>
          <w:tcPr>
            <w:tcW w:w="2386" w:type="dxa"/>
            <w:tcBorders>
              <w:top w:val="single" w:sz="4" w:space="0" w:color="auto"/>
              <w:bottom w:val="single" w:sz="4" w:space="0" w:color="auto"/>
            </w:tcBorders>
            <w:shd w:val="clear" w:color="auto" w:fill="auto"/>
            <w:vAlign w:val="center"/>
          </w:tcPr>
          <w:p w14:paraId="4FEAAEFA"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 Tissue Degeneration, Necrosis &amp; Atrophy (ID868)</w:t>
            </w:r>
          </w:p>
        </w:tc>
        <w:tc>
          <w:tcPr>
            <w:tcW w:w="851" w:type="dxa"/>
            <w:vMerge w:val="restart"/>
            <w:tcBorders>
              <w:top w:val="single" w:sz="4" w:space="0" w:color="auto"/>
              <w:bottom w:val="single" w:sz="4" w:space="0" w:color="auto"/>
              <w:right w:val="single" w:sz="4" w:space="0" w:color="auto"/>
            </w:tcBorders>
            <w:vAlign w:val="center"/>
          </w:tcPr>
          <w:p w14:paraId="79479A36" w14:textId="119F2BE9" w:rsidR="00EB16FD" w:rsidRPr="006935A7" w:rsidRDefault="00EB16FD" w:rsidP="007F3FC3">
            <w:pPr>
              <w:spacing w:after="0" w:line="240" w:lineRule="auto"/>
              <w:jc w:val="center"/>
              <w:rPr>
                <w:rFonts w:eastAsia="Times New Roman" w:cstheme="minorHAnsi"/>
                <w:color w:val="000000"/>
                <w:sz w:val="18"/>
                <w:szCs w:val="18"/>
                <w:lang w:eastAsia="fr-FR"/>
              </w:rPr>
            </w:pPr>
            <w:r w:rsidRPr="006935A7">
              <w:rPr>
                <w:rFonts w:eastAsia="Times New Roman" w:cstheme="minorHAnsi"/>
                <w:color w:val="000000"/>
                <w:sz w:val="18"/>
                <w:szCs w:val="18"/>
                <w:lang w:eastAsia="fr-FR"/>
              </w:rPr>
              <w:fldChar w:fldCharType="begin" w:fldLock="1"/>
            </w:r>
            <w:r w:rsidR="007F3FC3" w:rsidRPr="00AF6261">
              <w:rPr>
                <w:rFonts w:eastAsia="Times New Roman" w:cstheme="minorHAnsi"/>
                <w:color w:val="000000"/>
                <w:sz w:val="18"/>
                <w:szCs w:val="18"/>
                <w:lang w:val="en-US" w:eastAsia="fr-FR"/>
              </w:rPr>
              <w:instrText>ADDIN CSL_CITATION {"citationItems":[{"id":"ITEM-1","itemData":{"DOI":"10.1515/aep-2016-0038","ISSN":"20834810","abstract":"Silver nanoparticles (AgNPs) are widely used in numerous industries and areas of daily life, mainly as antimicrobial agents. The particles size is very important, but still not suffi ciently recognized parameter infl uencing the toxicity of nanosilver. The aim of this study was to investigate the cytotoxic effects of AgNPs with different particle size (</w:instrText>
            </w:r>
            <w:r w:rsidR="007F3FC3" w:rsidRPr="00AF6261">
              <w:rPr>
                <w:rFonts w:ascii="Cambria Math" w:eastAsia="Times New Roman" w:hAnsi="Cambria Math" w:cs="Cambria Math"/>
                <w:color w:val="000000"/>
                <w:sz w:val="18"/>
                <w:szCs w:val="18"/>
                <w:lang w:val="en-US" w:eastAsia="fr-FR"/>
              </w:rPr>
              <w:instrText>∼</w:instrText>
            </w:r>
            <w:r w:rsidR="007F3FC3" w:rsidRPr="00AF6261">
              <w:rPr>
                <w:rFonts w:eastAsia="Times New Roman" w:cstheme="minorHAnsi"/>
                <w:color w:val="000000"/>
                <w:sz w:val="18"/>
                <w:szCs w:val="18"/>
                <w:lang w:val="en-US" w:eastAsia="fr-FR"/>
              </w:rPr>
              <w:instrText xml:space="preserve"> 10, 40 and 100 nm). The study was conducted on both reproductive and pulmonary cells (CHO-9, 15P-1 and RAW264.7). We tested the effects of AgNPs on cell viability, cell membrane integrity, mitochondrial metabolic activity, lipid peroxidation, total oxidative and antioxidative status of cells and oxidative DNA damage. All kinds of AgNPs showed strong cytotoxic activity at</w:instrText>
            </w:r>
            <w:r w:rsidR="007F3FC3">
              <w:rPr>
                <w:rFonts w:eastAsia="Times New Roman" w:cstheme="minorHAnsi"/>
                <w:color w:val="000000"/>
                <w:sz w:val="18"/>
                <w:szCs w:val="18"/>
                <w:lang w:eastAsia="fr-FR"/>
              </w:rPr>
              <w:instrText xml:space="preserve"> low concentrations (2÷13 μg/ml), and caused an overproduction of reactive oxygen species (ROS) at concentrations lower than cytotoxic ones. The ROS being formed in the cells induced oxidative damage of DNA in alkaline comet assay. The most toxic was AgNPs&lt;10 nm. The results indicate that the silver nanoparticles, especially less than 10 nm, may be harmful to the organisms. Therefore, risk should be considered when using nanosilver preparations and provide appropriate protective measures when they are applied.","author":[{"dropping-particle":"","family":"Zapór","given":"Lidia","non-dropping-particle":"","parse-names":false,"suffix":""}],"container-title":"Archives of Environmental Protection","id":"ITEM-1","issue":"4","issued":{"date-parts":[["2016"]]},"page":"32-47","title":"Effects of silver nanoparticles of different sizes on cytotoxicity and oxygen metabolism disorders in both reproductive and respiratory system cells","type":"article-journal","volume":"42"},"uris":["http://www.mendeley.com/documents/?uuid=c6c1a221-d584-4904-abfe-ac55549c7e76"]}],"mendeley":{"formattedCitation":"(44)","plainTextFormattedCitation":"(44)","previouslyFormattedCitation":"(Zapór 2016)"},"properties":{"noteIndex":0},"schema":"https://github.com/citation-style-language/schema/raw/master/csl-citation.json"}</w:instrText>
            </w:r>
            <w:r w:rsidRPr="006935A7">
              <w:rPr>
                <w:rFonts w:eastAsia="Times New Roman" w:cstheme="minorHAnsi"/>
                <w:color w:val="000000"/>
                <w:sz w:val="18"/>
                <w:szCs w:val="18"/>
                <w:lang w:eastAsia="fr-FR"/>
              </w:rPr>
              <w:fldChar w:fldCharType="separate"/>
            </w:r>
            <w:r w:rsidR="007F3FC3" w:rsidRPr="007F3FC3">
              <w:rPr>
                <w:rFonts w:eastAsia="Times New Roman" w:cstheme="minorHAnsi"/>
                <w:noProof/>
                <w:color w:val="000000"/>
                <w:sz w:val="18"/>
                <w:szCs w:val="18"/>
                <w:lang w:eastAsia="fr-FR"/>
              </w:rPr>
              <w:t>(44)</w:t>
            </w:r>
            <w:r w:rsidRPr="006935A7">
              <w:rPr>
                <w:rFonts w:eastAsia="Times New Roman" w:cstheme="minorHAnsi"/>
                <w:color w:val="000000"/>
                <w:sz w:val="18"/>
                <w:szCs w:val="18"/>
                <w:lang w:eastAsia="fr-FR"/>
              </w:rPr>
              <w:fldChar w:fldCharType="end"/>
            </w:r>
          </w:p>
        </w:tc>
      </w:tr>
      <w:tr w:rsidR="00EB16FD" w:rsidRPr="00DC5D76" w14:paraId="2D49106E" w14:textId="77777777" w:rsidTr="007F3FC3">
        <w:trPr>
          <w:cantSplit/>
          <w:trHeight w:val="362"/>
        </w:trPr>
        <w:tc>
          <w:tcPr>
            <w:tcW w:w="1408" w:type="dxa"/>
            <w:vMerge/>
            <w:tcBorders>
              <w:top w:val="single" w:sz="4" w:space="0" w:color="auto"/>
              <w:left w:val="single" w:sz="4" w:space="0" w:color="auto"/>
              <w:bottom w:val="single" w:sz="4" w:space="0" w:color="auto"/>
            </w:tcBorders>
            <w:shd w:val="clear" w:color="auto" w:fill="auto"/>
            <w:vAlign w:val="center"/>
          </w:tcPr>
          <w:p w14:paraId="1049021B" w14:textId="77777777" w:rsidR="00EB16FD" w:rsidRPr="006935A7" w:rsidRDefault="00EB16FD" w:rsidP="00EB16FD">
            <w:pPr>
              <w:rPr>
                <w:rFonts w:cstheme="minorHAnsi"/>
                <w:color w:val="000000"/>
                <w:sz w:val="18"/>
                <w:szCs w:val="18"/>
              </w:rPr>
            </w:pPr>
          </w:p>
        </w:tc>
        <w:tc>
          <w:tcPr>
            <w:tcW w:w="1276" w:type="dxa"/>
            <w:vMerge/>
            <w:tcBorders>
              <w:top w:val="single" w:sz="4" w:space="0" w:color="auto"/>
              <w:bottom w:val="single" w:sz="4" w:space="0" w:color="auto"/>
            </w:tcBorders>
            <w:shd w:val="clear" w:color="auto" w:fill="auto"/>
            <w:vAlign w:val="center"/>
          </w:tcPr>
          <w:p w14:paraId="5BE289B1" w14:textId="77777777" w:rsidR="00EB16FD" w:rsidRPr="006935A7" w:rsidRDefault="00EB16FD" w:rsidP="00EB16FD">
            <w:pPr>
              <w:rPr>
                <w:rFonts w:cstheme="minorHAnsi"/>
                <w:color w:val="000000"/>
                <w:sz w:val="18"/>
                <w:szCs w:val="18"/>
              </w:rPr>
            </w:pPr>
          </w:p>
        </w:tc>
        <w:tc>
          <w:tcPr>
            <w:tcW w:w="1275" w:type="dxa"/>
            <w:vMerge/>
            <w:tcBorders>
              <w:top w:val="single" w:sz="4" w:space="0" w:color="auto"/>
              <w:bottom w:val="single" w:sz="4" w:space="0" w:color="auto"/>
            </w:tcBorders>
            <w:vAlign w:val="center"/>
          </w:tcPr>
          <w:p w14:paraId="1CC93ADF" w14:textId="77777777" w:rsidR="00EB16FD" w:rsidRPr="006935A7" w:rsidRDefault="00EB16FD" w:rsidP="00EB16FD">
            <w:pPr>
              <w:rPr>
                <w:rFonts w:cstheme="minorHAnsi"/>
                <w:color w:val="000000"/>
                <w:sz w:val="18"/>
                <w:szCs w:val="18"/>
              </w:rPr>
            </w:pPr>
          </w:p>
        </w:tc>
        <w:tc>
          <w:tcPr>
            <w:tcW w:w="1668" w:type="dxa"/>
            <w:tcBorders>
              <w:top w:val="single" w:sz="4" w:space="0" w:color="auto"/>
              <w:bottom w:val="single" w:sz="4" w:space="0" w:color="auto"/>
            </w:tcBorders>
            <w:shd w:val="clear" w:color="auto" w:fill="auto"/>
            <w:vAlign w:val="center"/>
          </w:tcPr>
          <w:p w14:paraId="6EE4423E" w14:textId="77777777" w:rsidR="00EB16FD" w:rsidRPr="006935A7" w:rsidRDefault="00EB16FD" w:rsidP="00EB16FD">
            <w:pPr>
              <w:rPr>
                <w:rFonts w:cstheme="minorHAnsi"/>
                <w:color w:val="000000"/>
                <w:sz w:val="18"/>
                <w:szCs w:val="18"/>
              </w:rPr>
            </w:pPr>
            <w:r w:rsidRPr="006935A7">
              <w:rPr>
                <w:rFonts w:cstheme="minorHAnsi"/>
                <w:color w:val="000000"/>
                <w:sz w:val="18"/>
                <w:szCs w:val="18"/>
              </w:rPr>
              <w:t xml:space="preserve">Oxidative Status </w:t>
            </w:r>
          </w:p>
        </w:tc>
        <w:tc>
          <w:tcPr>
            <w:tcW w:w="1703" w:type="dxa"/>
            <w:tcBorders>
              <w:top w:val="single" w:sz="4" w:space="0" w:color="auto"/>
              <w:bottom w:val="single" w:sz="4" w:space="0" w:color="auto"/>
            </w:tcBorders>
            <w:shd w:val="clear" w:color="auto" w:fill="auto"/>
            <w:vAlign w:val="center"/>
          </w:tcPr>
          <w:p w14:paraId="45CE3E6F" w14:textId="1F22E34F"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 xml:space="preserve">Lipid peroxidation assessments by TBARS, Total antioxidative status </w:t>
            </w:r>
          </w:p>
        </w:tc>
        <w:tc>
          <w:tcPr>
            <w:tcW w:w="2010" w:type="dxa"/>
            <w:tcBorders>
              <w:top w:val="single" w:sz="4" w:space="0" w:color="auto"/>
              <w:bottom w:val="single" w:sz="4" w:space="0" w:color="auto"/>
            </w:tcBorders>
            <w:shd w:val="clear" w:color="auto" w:fill="auto"/>
            <w:vAlign w:val="center"/>
          </w:tcPr>
          <w:p w14:paraId="143DF02F"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 xml:space="preserve">Increase in TBARS, increase in antioxidative potential </w:t>
            </w:r>
          </w:p>
        </w:tc>
        <w:tc>
          <w:tcPr>
            <w:tcW w:w="2273" w:type="dxa"/>
            <w:tcBorders>
              <w:top w:val="single" w:sz="4" w:space="0" w:color="auto"/>
              <w:bottom w:val="single" w:sz="4" w:space="0" w:color="auto"/>
            </w:tcBorders>
            <w:vAlign w:val="center"/>
          </w:tcPr>
          <w:p w14:paraId="2733F5F8"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Decreased protection against oxidative stress, Occurance oxidative stress (ID210, ID1112, ID1249, ID1538, ID1869)</w:t>
            </w:r>
            <w:r w:rsidRPr="00AF6261">
              <w:rPr>
                <w:rFonts w:cstheme="minorHAnsi"/>
                <w:color w:val="000000"/>
                <w:sz w:val="18"/>
                <w:szCs w:val="18"/>
                <w:lang w:val="en-US"/>
              </w:rPr>
              <w:br/>
              <w:t>Lipid Peroxidation (ID1445 or ID1511)</w:t>
            </w:r>
          </w:p>
        </w:tc>
        <w:tc>
          <w:tcPr>
            <w:tcW w:w="2386" w:type="dxa"/>
            <w:tcBorders>
              <w:top w:val="single" w:sz="4" w:space="0" w:color="auto"/>
              <w:bottom w:val="single" w:sz="4" w:space="0" w:color="auto"/>
            </w:tcBorders>
            <w:shd w:val="clear" w:color="auto" w:fill="auto"/>
            <w:vAlign w:val="center"/>
          </w:tcPr>
          <w:p w14:paraId="0F6FFC18"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 xml:space="preserve">General Apoptosis (ID1513) , Oxidative Damage </w:t>
            </w:r>
            <w:r w:rsidRPr="00AF6261">
              <w:rPr>
                <w:rFonts w:cstheme="minorHAnsi"/>
                <w:color w:val="000000"/>
                <w:sz w:val="18"/>
                <w:szCs w:val="18"/>
                <w:lang w:val="en-US"/>
              </w:rPr>
              <w:br/>
              <w:t>(ID356)</w:t>
            </w:r>
          </w:p>
        </w:tc>
        <w:tc>
          <w:tcPr>
            <w:tcW w:w="851" w:type="dxa"/>
            <w:vMerge/>
            <w:tcBorders>
              <w:bottom w:val="single" w:sz="4" w:space="0" w:color="auto"/>
              <w:right w:val="single" w:sz="4" w:space="0" w:color="auto"/>
            </w:tcBorders>
            <w:vAlign w:val="center"/>
          </w:tcPr>
          <w:p w14:paraId="5626E5C1" w14:textId="77777777" w:rsidR="00EB16FD" w:rsidRPr="00AF6261" w:rsidRDefault="00EB16FD" w:rsidP="007F3FC3">
            <w:pPr>
              <w:spacing w:after="0" w:line="240" w:lineRule="auto"/>
              <w:jc w:val="center"/>
              <w:rPr>
                <w:rFonts w:eastAsia="Times New Roman" w:cstheme="minorHAnsi"/>
                <w:color w:val="000000"/>
                <w:sz w:val="18"/>
                <w:szCs w:val="18"/>
                <w:lang w:val="en-US" w:eastAsia="fr-FR"/>
              </w:rPr>
            </w:pPr>
          </w:p>
        </w:tc>
      </w:tr>
      <w:tr w:rsidR="00EB16FD" w:rsidRPr="00DC5D76" w14:paraId="6D15B0E0" w14:textId="77777777" w:rsidTr="007F3FC3">
        <w:trPr>
          <w:cantSplit/>
          <w:trHeight w:val="362"/>
        </w:trPr>
        <w:tc>
          <w:tcPr>
            <w:tcW w:w="1408" w:type="dxa"/>
            <w:vMerge w:val="restart"/>
            <w:tcBorders>
              <w:top w:val="single" w:sz="4" w:space="0" w:color="auto"/>
              <w:left w:val="single" w:sz="4" w:space="0" w:color="auto"/>
            </w:tcBorders>
            <w:shd w:val="clear" w:color="auto" w:fill="auto"/>
            <w:textDirection w:val="btLr"/>
            <w:vAlign w:val="center"/>
          </w:tcPr>
          <w:p w14:paraId="14809CF3" w14:textId="77777777" w:rsidR="00EB16FD" w:rsidRPr="006935A7" w:rsidRDefault="00EB16FD" w:rsidP="00EB16FD">
            <w:pPr>
              <w:ind w:left="113" w:right="113"/>
              <w:jc w:val="center"/>
              <w:rPr>
                <w:rFonts w:cstheme="minorHAnsi"/>
                <w:color w:val="000000"/>
                <w:sz w:val="18"/>
                <w:szCs w:val="18"/>
              </w:rPr>
            </w:pPr>
            <w:r w:rsidRPr="006935A7">
              <w:rPr>
                <w:rFonts w:cstheme="minorHAnsi"/>
                <w:color w:val="000000"/>
                <w:sz w:val="18"/>
                <w:szCs w:val="18"/>
              </w:rPr>
              <w:t>10 nm and 20 nm</w:t>
            </w:r>
          </w:p>
        </w:tc>
        <w:tc>
          <w:tcPr>
            <w:tcW w:w="1276" w:type="dxa"/>
            <w:vMerge w:val="restart"/>
            <w:tcBorders>
              <w:top w:val="single" w:sz="4" w:space="0" w:color="auto"/>
              <w:bottom w:val="single" w:sz="4" w:space="0" w:color="auto"/>
            </w:tcBorders>
            <w:shd w:val="clear" w:color="auto" w:fill="auto"/>
            <w:textDirection w:val="btLr"/>
            <w:vAlign w:val="center"/>
          </w:tcPr>
          <w:p w14:paraId="2511D2E5"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Leydig (TM3) and Sertoli (TM4) cells</w:t>
            </w:r>
          </w:p>
        </w:tc>
        <w:tc>
          <w:tcPr>
            <w:tcW w:w="1275" w:type="dxa"/>
            <w:vMerge w:val="restart"/>
            <w:tcBorders>
              <w:top w:val="single" w:sz="4" w:space="0" w:color="auto"/>
              <w:bottom w:val="single" w:sz="4" w:space="0" w:color="auto"/>
            </w:tcBorders>
            <w:textDirection w:val="btLr"/>
            <w:vAlign w:val="center"/>
          </w:tcPr>
          <w:p w14:paraId="37D47302" w14:textId="7A670F8A"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10 µg/ml for 24h exposure</w:t>
            </w:r>
          </w:p>
        </w:tc>
        <w:tc>
          <w:tcPr>
            <w:tcW w:w="1668" w:type="dxa"/>
            <w:tcBorders>
              <w:top w:val="single" w:sz="4" w:space="0" w:color="auto"/>
              <w:bottom w:val="single" w:sz="4" w:space="0" w:color="auto"/>
            </w:tcBorders>
            <w:shd w:val="clear" w:color="auto" w:fill="auto"/>
            <w:vAlign w:val="center"/>
          </w:tcPr>
          <w:p w14:paraId="6C4CE911" w14:textId="77777777" w:rsidR="00EB16FD" w:rsidRPr="006935A7" w:rsidRDefault="00EB16FD" w:rsidP="00EB16FD">
            <w:pPr>
              <w:jc w:val="center"/>
              <w:rPr>
                <w:rFonts w:cstheme="minorHAnsi"/>
                <w:color w:val="000000"/>
                <w:sz w:val="18"/>
                <w:szCs w:val="18"/>
              </w:rPr>
            </w:pPr>
            <w:r w:rsidRPr="006935A7">
              <w:rPr>
                <w:rFonts w:cstheme="minorHAnsi"/>
                <w:color w:val="000000"/>
                <w:sz w:val="18"/>
                <w:szCs w:val="18"/>
              </w:rPr>
              <w:t>Cytotoxicity</w:t>
            </w:r>
          </w:p>
        </w:tc>
        <w:tc>
          <w:tcPr>
            <w:tcW w:w="1703" w:type="dxa"/>
            <w:tcBorders>
              <w:top w:val="single" w:sz="4" w:space="0" w:color="auto"/>
              <w:bottom w:val="single" w:sz="4" w:space="0" w:color="auto"/>
            </w:tcBorders>
            <w:shd w:val="clear" w:color="auto" w:fill="auto"/>
            <w:vAlign w:val="center"/>
          </w:tcPr>
          <w:p w14:paraId="5D962D1B" w14:textId="77777777" w:rsidR="00EB16FD" w:rsidRPr="00AF6261" w:rsidRDefault="00EB16FD" w:rsidP="00EB16FD">
            <w:pPr>
              <w:jc w:val="center"/>
              <w:rPr>
                <w:rFonts w:cstheme="minorHAnsi"/>
                <w:color w:val="131413"/>
                <w:sz w:val="18"/>
                <w:szCs w:val="18"/>
                <w:lang w:val="en-US"/>
              </w:rPr>
            </w:pPr>
            <w:r w:rsidRPr="00AF6261">
              <w:rPr>
                <w:rFonts w:cstheme="minorHAnsi"/>
                <w:color w:val="131413"/>
                <w:sz w:val="18"/>
                <w:szCs w:val="18"/>
                <w:lang w:val="en-US"/>
              </w:rPr>
              <w:t>Cell viability by MTS assay, CCK-8 Assay and LDH Assay</w:t>
            </w:r>
          </w:p>
        </w:tc>
        <w:tc>
          <w:tcPr>
            <w:tcW w:w="2010" w:type="dxa"/>
            <w:tcBorders>
              <w:top w:val="single" w:sz="4" w:space="0" w:color="auto"/>
              <w:bottom w:val="single" w:sz="4" w:space="0" w:color="auto"/>
            </w:tcBorders>
            <w:shd w:val="clear" w:color="auto" w:fill="auto"/>
            <w:vAlign w:val="center"/>
          </w:tcPr>
          <w:p w14:paraId="654D4F6E" w14:textId="574E401F"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Inhibited the viability, proliferation and Cell membrane integrity of cells. AgNPs-reduced cell viability was due to ROS generation and that accumulated ROS caused apoptosis of cells</w:t>
            </w:r>
          </w:p>
        </w:tc>
        <w:tc>
          <w:tcPr>
            <w:tcW w:w="2273" w:type="dxa"/>
            <w:tcBorders>
              <w:top w:val="single" w:sz="4" w:space="0" w:color="auto"/>
              <w:bottom w:val="single" w:sz="4" w:space="0" w:color="auto"/>
            </w:tcBorders>
            <w:vAlign w:val="center"/>
          </w:tcPr>
          <w:p w14:paraId="61ED1B01" w14:textId="77777777" w:rsidR="00EB16FD" w:rsidRPr="006935A7" w:rsidRDefault="00EB16FD" w:rsidP="007F1961">
            <w:pPr>
              <w:jc w:val="center"/>
              <w:rPr>
                <w:rFonts w:cstheme="minorHAnsi"/>
                <w:color w:val="000000"/>
                <w:sz w:val="18"/>
                <w:szCs w:val="18"/>
              </w:rPr>
            </w:pPr>
            <w:r w:rsidRPr="006935A7">
              <w:rPr>
                <w:rFonts w:cstheme="minorHAnsi"/>
                <w:color w:val="000000"/>
                <w:sz w:val="18"/>
                <w:szCs w:val="18"/>
              </w:rPr>
              <w:t>increase cytotoxicity (ID887, ID2659)</w:t>
            </w:r>
          </w:p>
        </w:tc>
        <w:tc>
          <w:tcPr>
            <w:tcW w:w="2386" w:type="dxa"/>
            <w:tcBorders>
              <w:top w:val="single" w:sz="4" w:space="0" w:color="auto"/>
              <w:bottom w:val="single" w:sz="4" w:space="0" w:color="auto"/>
            </w:tcBorders>
            <w:shd w:val="clear" w:color="auto" w:fill="auto"/>
            <w:vAlign w:val="center"/>
          </w:tcPr>
          <w:p w14:paraId="6031F2B7"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 Tissue Degeneration, Necrosis &amp; Atrophy (ID868)</w:t>
            </w:r>
          </w:p>
        </w:tc>
        <w:tc>
          <w:tcPr>
            <w:tcW w:w="851" w:type="dxa"/>
            <w:vMerge w:val="restart"/>
            <w:tcBorders>
              <w:top w:val="single" w:sz="4" w:space="0" w:color="auto"/>
              <w:bottom w:val="single" w:sz="4" w:space="0" w:color="auto"/>
              <w:right w:val="single" w:sz="4" w:space="0" w:color="auto"/>
            </w:tcBorders>
            <w:vAlign w:val="center"/>
          </w:tcPr>
          <w:p w14:paraId="77395242" w14:textId="7B6B8BB9" w:rsidR="00EB16FD" w:rsidRPr="00AF6261" w:rsidRDefault="00EB16FD" w:rsidP="007F3FC3">
            <w:pPr>
              <w:spacing w:after="0" w:line="240" w:lineRule="auto"/>
              <w:jc w:val="center"/>
              <w:rPr>
                <w:rFonts w:eastAsia="Times New Roman" w:cstheme="minorHAnsi"/>
                <w:color w:val="000000"/>
                <w:sz w:val="18"/>
                <w:szCs w:val="18"/>
                <w:lang w:val="en-US" w:eastAsia="fr-FR"/>
              </w:rPr>
            </w:pPr>
            <w:r w:rsidRPr="006935A7">
              <w:rPr>
                <w:rFonts w:eastAsia="Times New Roman" w:cstheme="minorHAnsi"/>
                <w:color w:val="000000"/>
                <w:sz w:val="18"/>
                <w:szCs w:val="18"/>
                <w:lang w:eastAsia="fr-FR"/>
              </w:rPr>
              <w:fldChar w:fldCharType="begin" w:fldLock="1"/>
            </w:r>
            <w:r w:rsidR="007F3FC3">
              <w:rPr>
                <w:rFonts w:eastAsia="Times New Roman" w:cstheme="minorHAnsi"/>
                <w:color w:val="000000"/>
                <w:sz w:val="18"/>
                <w:szCs w:val="18"/>
                <w:lang w:eastAsia="fr-FR"/>
              </w:rPr>
              <w:instrText>ADDIN CSL_CITATION {"citationItems":[{"id":"ITEM-1","itemData":{"DOI":"10.2147/IJN.S76062","ISSN":"1178-2013","PMID":"25733828","abstract":"Background: Silver nanoparticles (AgNPs) possess unique physical, chemical, and biological properties. AgNPs have been increasingly used as anticancer, antiangiogenic, and antibacterial agents for the treatment of bacterial infections in open wounds as well as in ointments, bandages, and wound dressings. The present study aimed to investigate the effects of two different sizes of AgNPs (10 nm and 20 nm) in male somatic Leydig (TM3) and Sertoli (TM4) cells and spermatogonial stem cells (SSCs). Methods: Here, we demonstrate a green and simple method for the synthesis of AgNPs using Bacillus cereus culture supernatants. The synthesized AgNPs were characterized using ultraviolet and visible absorption spectroscopy, X-ray diffraction, Fourier transform infrared spectroscopy, and transmission electron microscopy (TEM). The toxicity of the synthesized AgNPs was evaluated by the effects on cell viability, metabolic activity, oxidative stress, apoptosis, and expression of genes encoding steroidogenic and tight junction proteins. Results: AgNPs inhibited the viability and proliferation of TM3 and TM4 cells in a dose- and size-dependent manner by damaging cell membranes and inducing the generation of reactive oxygen species, which in turn affected SSC growth on TM3 and TM4 as feeder cells. Small AgNPs (10 nm) were more cytotoxic than medium-sized nanoparticles (20 nm). TEM revealed the presence of AgNPs in the cell cytoplasm and nucleus, and detected mitochondrial damage and enhanced formation of autosomes and autolysosomes in the AgNP-treated cells. Flow cytometry analysis using Annexin V/propidium iodide staining showed massive cell death by apoptosis or necrosis. Real-time polymerase chain reaction and western blot analyses indicated that in TM3 and TM4 cells, AgNPs activated the p53, p38, and pErk1/2 signaling pathways and significantly downregulated the expression of genes related to testosterone synthesis (TM3) and tight junctions (TM4). Furthermore, the exposure of TM3 and TM4 cells to AgNPs inhibited proliferation and self-renewal of SSCs. Conclusion: Our results suggest that AgNPs exhibit size-dependent nanoreprotoxicity in male somatic cells and SSCs, strongly suggesting that applications of AgNPs in commercial products must be carefully evaluated. Further studies of AgNPs-induced nanoreprotoxicity in animal models are required.","author":[{"</w:instrText>
            </w:r>
            <w:r w:rsidR="007F3FC3" w:rsidRPr="00AF6261">
              <w:rPr>
                <w:rFonts w:eastAsia="Times New Roman" w:cstheme="minorHAnsi"/>
                <w:color w:val="000000"/>
                <w:sz w:val="18"/>
                <w:szCs w:val="18"/>
                <w:lang w:val="en-US" w:eastAsia="fr-FR"/>
              </w:rPr>
              <w:instrText>dropping-particle":"","family":"Zhang","given":"Xi-Feng","non-dropping-particle":"","parse-names":false,"suffix":""},{"dropping-particle":"","family":"Choi","given":"Yun-Jung","non-dropping-particle":"","parse-names":false,"suffix":""},{"dropping-particle":"","family":"Han","given":"Jae Woong","non-dropping-particle":"","parse-names":false,"suffix":""},{"dropping-particle":"","family":"Kim","given":"Eunsu","non-dropping-particle":"","parse-names":false,"suffix":""},{"dropping-particle":"","family":"Park","given":"Jung Hyun","non-dropping-particle":"","parse-names":false,"suffix":""},{"dropping-particle":"","family":"Gurunathan","given":"Sangiliyandi","non-dropping-particle":"","parse-names":false,"suffix":""},{"dropping-particle":"","family":"Kim","given":"Jin-Hoi","non-dropping-particle":"","parse-names":false,"suffix":""}],"container-title":"International journal of nanomedicine","id":"ITEM-1","issued":{"date-parts":[["2015","2","16"]]},"page":"1335-1357","publisher":"Int J Nanomedicine","title":"Differential nanoreprotoxicity of silver nanoparticles in male somatic cells and spermatogonial stem cells","type":"article-journal","volume":"10"},"uris":["http://www.mendeley.com/documents/?uuid=192bfb29-75d2-3392-884a-b53836f219a1"]}],"mendeley":{"formattedCitation":"(45)","plainTextFormattedCitation":"(45)","previouslyFormattedCitation":"(Zhang et al. 2015)"},"properties":{"noteIndex":0},"schema":"https://github.com/citation-style-language/schema/raw/master/csl-citation.json"}</w:instrText>
            </w:r>
            <w:r w:rsidRPr="006935A7">
              <w:rPr>
                <w:rFonts w:eastAsia="Times New Roman" w:cstheme="minorHAnsi"/>
                <w:color w:val="000000"/>
                <w:sz w:val="18"/>
                <w:szCs w:val="18"/>
                <w:lang w:eastAsia="fr-FR"/>
              </w:rPr>
              <w:fldChar w:fldCharType="separate"/>
            </w:r>
            <w:r w:rsidR="007F3FC3" w:rsidRPr="00AF6261">
              <w:rPr>
                <w:rFonts w:eastAsia="Times New Roman" w:cstheme="minorHAnsi"/>
                <w:noProof/>
                <w:color w:val="000000"/>
                <w:sz w:val="18"/>
                <w:szCs w:val="18"/>
                <w:lang w:val="en-US" w:eastAsia="fr-FR"/>
              </w:rPr>
              <w:t>(45)</w:t>
            </w:r>
            <w:r w:rsidRPr="006935A7">
              <w:rPr>
                <w:rFonts w:eastAsia="Times New Roman" w:cstheme="minorHAnsi"/>
                <w:color w:val="000000"/>
                <w:sz w:val="18"/>
                <w:szCs w:val="18"/>
                <w:lang w:eastAsia="fr-FR"/>
              </w:rPr>
              <w:fldChar w:fldCharType="end"/>
            </w:r>
          </w:p>
        </w:tc>
      </w:tr>
      <w:tr w:rsidR="00EB16FD" w:rsidRPr="00DC5D76" w14:paraId="109B70B2" w14:textId="77777777" w:rsidTr="007F3FC3">
        <w:trPr>
          <w:cantSplit/>
          <w:trHeight w:val="362"/>
        </w:trPr>
        <w:tc>
          <w:tcPr>
            <w:tcW w:w="1408" w:type="dxa"/>
            <w:vMerge/>
            <w:tcBorders>
              <w:left w:val="single" w:sz="4" w:space="0" w:color="auto"/>
            </w:tcBorders>
            <w:shd w:val="clear" w:color="auto" w:fill="auto"/>
            <w:vAlign w:val="center"/>
          </w:tcPr>
          <w:p w14:paraId="742F67CD" w14:textId="77777777" w:rsidR="00EB16FD" w:rsidRPr="00AF6261" w:rsidRDefault="00EB16FD" w:rsidP="00EB16FD">
            <w:pPr>
              <w:rPr>
                <w:rFonts w:cstheme="minorHAnsi"/>
                <w:color w:val="000000"/>
                <w:sz w:val="18"/>
                <w:szCs w:val="18"/>
                <w:lang w:val="en-US"/>
              </w:rPr>
            </w:pPr>
          </w:p>
        </w:tc>
        <w:tc>
          <w:tcPr>
            <w:tcW w:w="1276" w:type="dxa"/>
            <w:vMerge/>
            <w:tcBorders>
              <w:bottom w:val="single" w:sz="4" w:space="0" w:color="auto"/>
            </w:tcBorders>
            <w:shd w:val="clear" w:color="auto" w:fill="auto"/>
            <w:vAlign w:val="center"/>
          </w:tcPr>
          <w:p w14:paraId="59AE0900" w14:textId="77777777" w:rsidR="00EB16FD" w:rsidRPr="00AF6261" w:rsidRDefault="00EB16FD" w:rsidP="00EB16FD">
            <w:pPr>
              <w:rPr>
                <w:rFonts w:cstheme="minorHAnsi"/>
                <w:color w:val="000000"/>
                <w:sz w:val="18"/>
                <w:szCs w:val="18"/>
                <w:lang w:val="en-US"/>
              </w:rPr>
            </w:pPr>
          </w:p>
        </w:tc>
        <w:tc>
          <w:tcPr>
            <w:tcW w:w="1275" w:type="dxa"/>
            <w:vMerge/>
            <w:tcBorders>
              <w:bottom w:val="single" w:sz="4" w:space="0" w:color="auto"/>
            </w:tcBorders>
            <w:vAlign w:val="center"/>
          </w:tcPr>
          <w:p w14:paraId="049C23A3" w14:textId="77777777" w:rsidR="00EB16FD" w:rsidRPr="00AF6261" w:rsidRDefault="00EB16FD" w:rsidP="00EB16FD">
            <w:pPr>
              <w:rPr>
                <w:rFonts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750FE77F" w14:textId="4542D118"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Oxidative status</w:t>
            </w:r>
          </w:p>
        </w:tc>
        <w:tc>
          <w:tcPr>
            <w:tcW w:w="1703" w:type="dxa"/>
            <w:tcBorders>
              <w:top w:val="single" w:sz="4" w:space="0" w:color="auto"/>
              <w:bottom w:val="single" w:sz="4" w:space="0" w:color="auto"/>
            </w:tcBorders>
            <w:shd w:val="clear" w:color="auto" w:fill="auto"/>
            <w:vAlign w:val="center"/>
          </w:tcPr>
          <w:p w14:paraId="7E30F7AE" w14:textId="77777777" w:rsidR="00EB16FD" w:rsidRPr="00AF6261" w:rsidRDefault="00EB16FD" w:rsidP="00EB16FD">
            <w:pPr>
              <w:jc w:val="center"/>
              <w:rPr>
                <w:rFonts w:cstheme="minorHAnsi"/>
                <w:color w:val="131413"/>
                <w:sz w:val="18"/>
                <w:szCs w:val="18"/>
                <w:lang w:val="en-US"/>
              </w:rPr>
            </w:pPr>
            <w:r w:rsidRPr="00AF6261">
              <w:rPr>
                <w:rFonts w:cstheme="minorHAnsi"/>
                <w:color w:val="131413"/>
                <w:sz w:val="18"/>
                <w:szCs w:val="18"/>
                <w:lang w:val="en-US"/>
              </w:rPr>
              <w:t>ROS Production by H2DCF-DA assay</w:t>
            </w:r>
          </w:p>
        </w:tc>
        <w:tc>
          <w:tcPr>
            <w:tcW w:w="2010" w:type="dxa"/>
            <w:tcBorders>
              <w:top w:val="single" w:sz="4" w:space="0" w:color="auto"/>
              <w:bottom w:val="single" w:sz="4" w:space="0" w:color="auto"/>
            </w:tcBorders>
            <w:shd w:val="clear" w:color="auto" w:fill="auto"/>
            <w:vAlign w:val="center"/>
          </w:tcPr>
          <w:p w14:paraId="379ADADA" w14:textId="1D315CC0"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The upregulation of intracellular ROS production</w:t>
            </w:r>
          </w:p>
        </w:tc>
        <w:tc>
          <w:tcPr>
            <w:tcW w:w="2273" w:type="dxa"/>
            <w:tcBorders>
              <w:top w:val="single" w:sz="4" w:space="0" w:color="auto"/>
              <w:bottom w:val="single" w:sz="4" w:space="0" w:color="auto"/>
            </w:tcBorders>
            <w:vAlign w:val="center"/>
          </w:tcPr>
          <w:p w14:paraId="4ACAB4C9"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Oxidative stress (ID1690)</w:t>
            </w:r>
          </w:p>
        </w:tc>
        <w:tc>
          <w:tcPr>
            <w:tcW w:w="2386" w:type="dxa"/>
            <w:tcBorders>
              <w:top w:val="single" w:sz="4" w:space="0" w:color="auto"/>
              <w:bottom w:val="single" w:sz="4" w:space="0" w:color="auto"/>
            </w:tcBorders>
            <w:shd w:val="clear" w:color="auto" w:fill="auto"/>
            <w:vAlign w:val="center"/>
          </w:tcPr>
          <w:p w14:paraId="5D8669D2"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 xml:space="preserve">Cell injury/death (ID55), General Apoptosis (ID1513) , Oxidative Damage </w:t>
            </w:r>
            <w:r w:rsidRPr="00AF6261">
              <w:rPr>
                <w:rFonts w:cstheme="minorHAnsi"/>
                <w:color w:val="000000"/>
                <w:sz w:val="18"/>
                <w:szCs w:val="18"/>
                <w:lang w:val="en-US"/>
              </w:rPr>
              <w:br/>
              <w:t>(ID356)</w:t>
            </w:r>
          </w:p>
        </w:tc>
        <w:tc>
          <w:tcPr>
            <w:tcW w:w="851" w:type="dxa"/>
            <w:vMerge/>
            <w:tcBorders>
              <w:bottom w:val="single" w:sz="4" w:space="0" w:color="auto"/>
              <w:right w:val="single" w:sz="4" w:space="0" w:color="auto"/>
            </w:tcBorders>
            <w:vAlign w:val="center"/>
          </w:tcPr>
          <w:p w14:paraId="08967F39" w14:textId="77777777" w:rsidR="00EB16FD" w:rsidRPr="00AF6261" w:rsidRDefault="00EB16FD" w:rsidP="007F3FC3">
            <w:pPr>
              <w:spacing w:after="0" w:line="240" w:lineRule="auto"/>
              <w:jc w:val="center"/>
              <w:rPr>
                <w:rFonts w:eastAsia="Times New Roman" w:cstheme="minorHAnsi"/>
                <w:color w:val="000000"/>
                <w:sz w:val="18"/>
                <w:szCs w:val="18"/>
                <w:lang w:val="en-US" w:eastAsia="fr-FR"/>
              </w:rPr>
            </w:pPr>
          </w:p>
        </w:tc>
      </w:tr>
      <w:tr w:rsidR="00EB16FD" w:rsidRPr="00DC5D76" w14:paraId="2AC56878" w14:textId="77777777" w:rsidTr="007F3FC3">
        <w:trPr>
          <w:cantSplit/>
          <w:trHeight w:val="362"/>
        </w:trPr>
        <w:tc>
          <w:tcPr>
            <w:tcW w:w="1408" w:type="dxa"/>
            <w:vMerge/>
            <w:tcBorders>
              <w:left w:val="single" w:sz="4" w:space="0" w:color="auto"/>
            </w:tcBorders>
            <w:shd w:val="clear" w:color="auto" w:fill="auto"/>
            <w:vAlign w:val="center"/>
          </w:tcPr>
          <w:p w14:paraId="363F1EFA" w14:textId="77777777" w:rsidR="00EB16FD" w:rsidRPr="00AF6261" w:rsidRDefault="00EB16FD" w:rsidP="00EB16FD">
            <w:pPr>
              <w:rPr>
                <w:rFonts w:cstheme="minorHAnsi"/>
                <w:color w:val="000000"/>
                <w:sz w:val="18"/>
                <w:szCs w:val="18"/>
                <w:lang w:val="en-US"/>
              </w:rPr>
            </w:pPr>
          </w:p>
        </w:tc>
        <w:tc>
          <w:tcPr>
            <w:tcW w:w="1276" w:type="dxa"/>
            <w:vMerge/>
            <w:tcBorders>
              <w:bottom w:val="single" w:sz="4" w:space="0" w:color="auto"/>
            </w:tcBorders>
            <w:shd w:val="clear" w:color="auto" w:fill="auto"/>
            <w:vAlign w:val="center"/>
          </w:tcPr>
          <w:p w14:paraId="2E942D25" w14:textId="77777777" w:rsidR="00EB16FD" w:rsidRPr="00AF6261" w:rsidRDefault="00EB16FD" w:rsidP="00EB16FD">
            <w:pPr>
              <w:rPr>
                <w:rFonts w:cstheme="minorHAnsi"/>
                <w:color w:val="000000"/>
                <w:sz w:val="18"/>
                <w:szCs w:val="18"/>
                <w:lang w:val="en-US"/>
              </w:rPr>
            </w:pPr>
          </w:p>
        </w:tc>
        <w:tc>
          <w:tcPr>
            <w:tcW w:w="1275" w:type="dxa"/>
            <w:vMerge/>
            <w:tcBorders>
              <w:bottom w:val="single" w:sz="4" w:space="0" w:color="auto"/>
            </w:tcBorders>
            <w:vAlign w:val="center"/>
          </w:tcPr>
          <w:p w14:paraId="0594B37F" w14:textId="77777777" w:rsidR="00EB16FD" w:rsidRPr="00AF6261" w:rsidRDefault="00EB16FD" w:rsidP="00EB16FD">
            <w:pPr>
              <w:rPr>
                <w:rFonts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34B6B474"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Apoptosis</w:t>
            </w:r>
          </w:p>
        </w:tc>
        <w:tc>
          <w:tcPr>
            <w:tcW w:w="1703" w:type="dxa"/>
            <w:tcBorders>
              <w:top w:val="single" w:sz="4" w:space="0" w:color="auto"/>
              <w:bottom w:val="single" w:sz="4" w:space="0" w:color="auto"/>
            </w:tcBorders>
            <w:shd w:val="clear" w:color="auto" w:fill="auto"/>
            <w:vAlign w:val="center"/>
          </w:tcPr>
          <w:p w14:paraId="60358B26"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Annexin V/propidium iodide staining</w:t>
            </w:r>
          </w:p>
        </w:tc>
        <w:tc>
          <w:tcPr>
            <w:tcW w:w="2010" w:type="dxa"/>
            <w:tcBorders>
              <w:top w:val="single" w:sz="4" w:space="0" w:color="auto"/>
              <w:bottom w:val="single" w:sz="4" w:space="0" w:color="auto"/>
            </w:tcBorders>
            <w:shd w:val="clear" w:color="auto" w:fill="auto"/>
            <w:vAlign w:val="center"/>
          </w:tcPr>
          <w:p w14:paraId="012815D0" w14:textId="2F5C63C1"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increase in cellular apoptosis</w:t>
            </w:r>
          </w:p>
        </w:tc>
        <w:tc>
          <w:tcPr>
            <w:tcW w:w="2273" w:type="dxa"/>
            <w:tcBorders>
              <w:top w:val="single" w:sz="4" w:space="0" w:color="auto"/>
              <w:bottom w:val="single" w:sz="4" w:space="0" w:color="auto"/>
            </w:tcBorders>
            <w:vAlign w:val="center"/>
          </w:tcPr>
          <w:p w14:paraId="79D97A57"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General Apoptosis (ID1513)</w:t>
            </w:r>
          </w:p>
        </w:tc>
        <w:tc>
          <w:tcPr>
            <w:tcW w:w="2386" w:type="dxa"/>
            <w:tcBorders>
              <w:top w:val="single" w:sz="4" w:space="0" w:color="auto"/>
              <w:bottom w:val="single" w:sz="4" w:space="0" w:color="auto"/>
            </w:tcBorders>
            <w:shd w:val="clear" w:color="auto" w:fill="auto"/>
            <w:vAlign w:val="center"/>
          </w:tcPr>
          <w:p w14:paraId="27375B23"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Testicular atrophy</w:t>
            </w:r>
            <w:r w:rsidRPr="00AF6261">
              <w:rPr>
                <w:rFonts w:cstheme="minorHAnsi"/>
                <w:color w:val="000000"/>
                <w:sz w:val="18"/>
                <w:szCs w:val="18"/>
                <w:lang w:val="en-US"/>
              </w:rPr>
              <w:br/>
              <w:t>(ID1506)</w:t>
            </w:r>
          </w:p>
        </w:tc>
        <w:tc>
          <w:tcPr>
            <w:tcW w:w="851" w:type="dxa"/>
            <w:vMerge/>
            <w:tcBorders>
              <w:bottom w:val="single" w:sz="4" w:space="0" w:color="auto"/>
              <w:right w:val="single" w:sz="4" w:space="0" w:color="auto"/>
            </w:tcBorders>
            <w:vAlign w:val="center"/>
          </w:tcPr>
          <w:p w14:paraId="11B01294" w14:textId="77777777" w:rsidR="00EB16FD" w:rsidRPr="00AF6261" w:rsidRDefault="00EB16FD" w:rsidP="007F3FC3">
            <w:pPr>
              <w:spacing w:after="0" w:line="240" w:lineRule="auto"/>
              <w:jc w:val="center"/>
              <w:rPr>
                <w:rFonts w:eastAsia="Times New Roman" w:cstheme="minorHAnsi"/>
                <w:color w:val="000000"/>
                <w:sz w:val="18"/>
                <w:szCs w:val="18"/>
                <w:lang w:val="en-US" w:eastAsia="fr-FR"/>
              </w:rPr>
            </w:pPr>
          </w:p>
        </w:tc>
      </w:tr>
      <w:tr w:rsidR="00EB16FD" w:rsidRPr="00DC5D76" w14:paraId="1BE3E411" w14:textId="77777777" w:rsidTr="007F3FC3">
        <w:trPr>
          <w:cantSplit/>
          <w:trHeight w:val="362"/>
        </w:trPr>
        <w:tc>
          <w:tcPr>
            <w:tcW w:w="1408" w:type="dxa"/>
            <w:vMerge/>
            <w:tcBorders>
              <w:left w:val="single" w:sz="4" w:space="0" w:color="auto"/>
              <w:bottom w:val="single" w:sz="4" w:space="0" w:color="auto"/>
            </w:tcBorders>
            <w:shd w:val="clear" w:color="auto" w:fill="auto"/>
            <w:vAlign w:val="center"/>
          </w:tcPr>
          <w:p w14:paraId="72459FFA" w14:textId="77777777" w:rsidR="00EB16FD" w:rsidRPr="00AF6261" w:rsidRDefault="00EB16FD" w:rsidP="00EB16FD">
            <w:pPr>
              <w:rPr>
                <w:rFonts w:cstheme="minorHAnsi"/>
                <w:color w:val="000000"/>
                <w:sz w:val="18"/>
                <w:szCs w:val="18"/>
                <w:lang w:val="en-US"/>
              </w:rPr>
            </w:pPr>
          </w:p>
        </w:tc>
        <w:tc>
          <w:tcPr>
            <w:tcW w:w="1276" w:type="dxa"/>
            <w:vMerge/>
            <w:tcBorders>
              <w:bottom w:val="single" w:sz="4" w:space="0" w:color="auto"/>
            </w:tcBorders>
            <w:shd w:val="clear" w:color="auto" w:fill="auto"/>
            <w:vAlign w:val="center"/>
          </w:tcPr>
          <w:p w14:paraId="74173899" w14:textId="77777777" w:rsidR="00EB16FD" w:rsidRPr="00AF6261" w:rsidRDefault="00EB16FD" w:rsidP="00EB16FD">
            <w:pPr>
              <w:rPr>
                <w:rFonts w:cstheme="minorHAnsi"/>
                <w:color w:val="000000"/>
                <w:sz w:val="18"/>
                <w:szCs w:val="18"/>
                <w:lang w:val="en-US"/>
              </w:rPr>
            </w:pPr>
          </w:p>
        </w:tc>
        <w:tc>
          <w:tcPr>
            <w:tcW w:w="1275" w:type="dxa"/>
            <w:vMerge/>
            <w:tcBorders>
              <w:bottom w:val="single" w:sz="4" w:space="0" w:color="auto"/>
            </w:tcBorders>
            <w:vAlign w:val="center"/>
          </w:tcPr>
          <w:p w14:paraId="39E32C4F" w14:textId="77777777" w:rsidR="00EB16FD" w:rsidRPr="00AF6261" w:rsidRDefault="00EB16FD" w:rsidP="00EB16FD">
            <w:pPr>
              <w:rPr>
                <w:rFonts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5B27ADBC" w14:textId="77777777"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 xml:space="preserve">Steroidogenesis and steroid metabolism gene expression </w:t>
            </w:r>
          </w:p>
        </w:tc>
        <w:tc>
          <w:tcPr>
            <w:tcW w:w="1703" w:type="dxa"/>
            <w:tcBorders>
              <w:top w:val="single" w:sz="4" w:space="0" w:color="auto"/>
              <w:bottom w:val="single" w:sz="4" w:space="0" w:color="auto"/>
            </w:tcBorders>
            <w:shd w:val="clear" w:color="auto" w:fill="auto"/>
            <w:vAlign w:val="center"/>
          </w:tcPr>
          <w:p w14:paraId="1C40F9BD" w14:textId="3B9D1CF8"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levels of  StAR, 3</w:t>
            </w:r>
            <w:r w:rsidRPr="006935A7">
              <w:rPr>
                <w:rFonts w:cstheme="minorHAnsi"/>
                <w:color w:val="000000"/>
                <w:sz w:val="18"/>
                <w:szCs w:val="18"/>
              </w:rPr>
              <w:t>β</w:t>
            </w:r>
            <w:r w:rsidRPr="00AF6261">
              <w:rPr>
                <w:rFonts w:cstheme="minorHAnsi"/>
                <w:color w:val="000000"/>
                <w:sz w:val="18"/>
                <w:szCs w:val="18"/>
                <w:lang w:val="en-US"/>
              </w:rPr>
              <w:t>-Hsd, 17</w:t>
            </w:r>
            <w:r w:rsidRPr="006935A7">
              <w:rPr>
                <w:rFonts w:cstheme="minorHAnsi"/>
                <w:color w:val="000000"/>
                <w:sz w:val="18"/>
                <w:szCs w:val="18"/>
              </w:rPr>
              <w:t>β</w:t>
            </w:r>
            <w:r w:rsidRPr="00AF6261">
              <w:rPr>
                <w:rFonts w:cstheme="minorHAnsi"/>
                <w:color w:val="000000"/>
                <w:sz w:val="18"/>
                <w:szCs w:val="18"/>
                <w:lang w:val="en-US"/>
              </w:rPr>
              <w:t>-Hsd, luteinizing hormone receptor (LhR), and Cyp17a1</w:t>
            </w:r>
          </w:p>
        </w:tc>
        <w:tc>
          <w:tcPr>
            <w:tcW w:w="2010" w:type="dxa"/>
            <w:tcBorders>
              <w:top w:val="single" w:sz="4" w:space="0" w:color="auto"/>
              <w:bottom w:val="single" w:sz="4" w:space="0" w:color="auto"/>
            </w:tcBorders>
            <w:shd w:val="clear" w:color="auto" w:fill="auto"/>
            <w:vAlign w:val="center"/>
          </w:tcPr>
          <w:p w14:paraId="03B9857B"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AgNPs inhibits StAR, 3</w:t>
            </w:r>
            <w:r w:rsidRPr="006935A7">
              <w:rPr>
                <w:rFonts w:cstheme="minorHAnsi"/>
                <w:color w:val="000000"/>
                <w:sz w:val="18"/>
                <w:szCs w:val="18"/>
              </w:rPr>
              <w:t>β</w:t>
            </w:r>
            <w:r w:rsidRPr="00AF6261">
              <w:rPr>
                <w:rFonts w:cstheme="minorHAnsi"/>
                <w:color w:val="000000"/>
                <w:sz w:val="18"/>
                <w:szCs w:val="18"/>
                <w:lang w:val="en-US"/>
              </w:rPr>
              <w:t>-HSD, and 17</w:t>
            </w:r>
            <w:r w:rsidRPr="006935A7">
              <w:rPr>
                <w:rFonts w:cstheme="minorHAnsi"/>
                <w:color w:val="000000"/>
                <w:sz w:val="18"/>
                <w:szCs w:val="18"/>
              </w:rPr>
              <w:t>β</w:t>
            </w:r>
            <w:r w:rsidRPr="00AF6261">
              <w:rPr>
                <w:rFonts w:cstheme="minorHAnsi"/>
                <w:color w:val="000000"/>
                <w:sz w:val="18"/>
                <w:szCs w:val="18"/>
                <w:lang w:val="en-US"/>
              </w:rPr>
              <w:t>-HSD, Cyp17a1 transcription</w:t>
            </w:r>
          </w:p>
        </w:tc>
        <w:tc>
          <w:tcPr>
            <w:tcW w:w="2273" w:type="dxa"/>
            <w:tcBorders>
              <w:top w:val="single" w:sz="4" w:space="0" w:color="auto"/>
              <w:bottom w:val="single" w:sz="4" w:space="0" w:color="auto"/>
            </w:tcBorders>
            <w:vAlign w:val="center"/>
          </w:tcPr>
          <w:p w14:paraId="7F426D89" w14:textId="2322229D"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Decrease, Steroidogenic acute regulatory protein (STAR) (ID 436),Reduction, testosterone level (ID1613, ID1689, ID1612)</w:t>
            </w:r>
          </w:p>
        </w:tc>
        <w:tc>
          <w:tcPr>
            <w:tcW w:w="2386" w:type="dxa"/>
            <w:tcBorders>
              <w:top w:val="single" w:sz="4" w:space="0" w:color="auto"/>
              <w:bottom w:val="single" w:sz="4" w:space="0" w:color="auto"/>
            </w:tcBorders>
            <w:shd w:val="clear" w:color="auto" w:fill="auto"/>
            <w:vAlign w:val="center"/>
          </w:tcPr>
          <w:p w14:paraId="32712744" w14:textId="7777777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Reduction, testosterone level (ID1613, ID1689, ID1612), Impaired fertility</w:t>
            </w:r>
            <w:r w:rsidRPr="00AF6261">
              <w:rPr>
                <w:rFonts w:cstheme="minorHAnsi"/>
                <w:color w:val="000000"/>
                <w:sz w:val="18"/>
                <w:szCs w:val="18"/>
                <w:lang w:val="en-US"/>
              </w:rPr>
              <w:br/>
              <w:t>(ID330 , ID406)</w:t>
            </w:r>
          </w:p>
        </w:tc>
        <w:tc>
          <w:tcPr>
            <w:tcW w:w="851" w:type="dxa"/>
            <w:vMerge/>
            <w:tcBorders>
              <w:bottom w:val="single" w:sz="4" w:space="0" w:color="auto"/>
              <w:right w:val="single" w:sz="4" w:space="0" w:color="auto"/>
            </w:tcBorders>
            <w:vAlign w:val="center"/>
          </w:tcPr>
          <w:p w14:paraId="39FC3757" w14:textId="77777777" w:rsidR="00EB16FD" w:rsidRPr="00AF6261" w:rsidRDefault="00EB16FD" w:rsidP="007F3FC3">
            <w:pPr>
              <w:spacing w:after="0" w:line="240" w:lineRule="auto"/>
              <w:jc w:val="center"/>
              <w:rPr>
                <w:rFonts w:eastAsia="Times New Roman" w:cstheme="minorHAnsi"/>
                <w:color w:val="000000"/>
                <w:sz w:val="18"/>
                <w:szCs w:val="18"/>
                <w:lang w:val="en-US" w:eastAsia="fr-FR"/>
              </w:rPr>
            </w:pPr>
          </w:p>
        </w:tc>
      </w:tr>
      <w:tr w:rsidR="00EB16FD" w:rsidRPr="00DC5D76" w14:paraId="758D9482" w14:textId="77777777" w:rsidTr="007F3FC3">
        <w:trPr>
          <w:cantSplit/>
          <w:trHeight w:val="362"/>
        </w:trPr>
        <w:tc>
          <w:tcPr>
            <w:tcW w:w="1408" w:type="dxa"/>
            <w:vMerge w:val="restart"/>
            <w:tcBorders>
              <w:left w:val="single" w:sz="4" w:space="0" w:color="auto"/>
            </w:tcBorders>
            <w:shd w:val="clear" w:color="auto" w:fill="auto"/>
            <w:textDirection w:val="btLr"/>
            <w:vAlign w:val="center"/>
          </w:tcPr>
          <w:p w14:paraId="37835D83" w14:textId="749B06BD"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lastRenderedPageBreak/>
              <w:t>54.8 nm, −53.33 ± 7.86 mV.</w:t>
            </w:r>
          </w:p>
        </w:tc>
        <w:tc>
          <w:tcPr>
            <w:tcW w:w="1276" w:type="dxa"/>
            <w:vMerge w:val="restart"/>
            <w:tcBorders>
              <w:top w:val="single" w:sz="4" w:space="0" w:color="auto"/>
              <w:bottom w:val="single" w:sz="4" w:space="0" w:color="auto"/>
            </w:tcBorders>
            <w:shd w:val="clear" w:color="auto" w:fill="auto"/>
            <w:textDirection w:val="btLr"/>
            <w:vAlign w:val="center"/>
          </w:tcPr>
          <w:p w14:paraId="45A74E3F" w14:textId="44B4BA20"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chicken sertoli cells</w:t>
            </w:r>
          </w:p>
        </w:tc>
        <w:tc>
          <w:tcPr>
            <w:tcW w:w="1275" w:type="dxa"/>
            <w:vMerge w:val="restart"/>
            <w:tcBorders>
              <w:top w:val="single" w:sz="4" w:space="0" w:color="auto"/>
              <w:bottom w:val="single" w:sz="4" w:space="0" w:color="auto"/>
            </w:tcBorders>
            <w:textDirection w:val="btLr"/>
            <w:vAlign w:val="center"/>
          </w:tcPr>
          <w:p w14:paraId="3E71A7B2" w14:textId="64553EA8"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25, 75 and 125 ppm nanosilver for 48 h.</w:t>
            </w:r>
          </w:p>
        </w:tc>
        <w:tc>
          <w:tcPr>
            <w:tcW w:w="1668" w:type="dxa"/>
            <w:tcBorders>
              <w:top w:val="single" w:sz="4" w:space="0" w:color="auto"/>
              <w:bottom w:val="single" w:sz="4" w:space="0" w:color="auto"/>
            </w:tcBorders>
            <w:shd w:val="clear" w:color="auto" w:fill="auto"/>
            <w:vAlign w:val="center"/>
          </w:tcPr>
          <w:p w14:paraId="293B2537" w14:textId="22054252"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Cytotoxicity</w:t>
            </w:r>
          </w:p>
        </w:tc>
        <w:tc>
          <w:tcPr>
            <w:tcW w:w="1703" w:type="dxa"/>
            <w:tcBorders>
              <w:top w:val="single" w:sz="4" w:space="0" w:color="auto"/>
              <w:bottom w:val="single" w:sz="4" w:space="0" w:color="auto"/>
            </w:tcBorders>
            <w:shd w:val="clear" w:color="auto" w:fill="auto"/>
            <w:vAlign w:val="center"/>
          </w:tcPr>
          <w:p w14:paraId="5D0F88BE" w14:textId="3ECDF637" w:rsidR="00EB16FD" w:rsidRPr="00AF6261" w:rsidRDefault="00EB16FD" w:rsidP="00EB16FD">
            <w:pPr>
              <w:rPr>
                <w:rFonts w:cstheme="minorHAnsi"/>
                <w:color w:val="000000"/>
                <w:sz w:val="18"/>
                <w:szCs w:val="18"/>
                <w:lang w:val="en-US"/>
              </w:rPr>
            </w:pPr>
            <w:r w:rsidRPr="00AF6261">
              <w:rPr>
                <w:rFonts w:cstheme="minorHAnsi"/>
                <w:color w:val="131413"/>
                <w:sz w:val="18"/>
                <w:szCs w:val="18"/>
                <w:lang w:val="en-US"/>
              </w:rPr>
              <w:t>Cell viability by trypan blue exclusion</w:t>
            </w:r>
          </w:p>
        </w:tc>
        <w:tc>
          <w:tcPr>
            <w:tcW w:w="2010" w:type="dxa"/>
            <w:tcBorders>
              <w:top w:val="single" w:sz="4" w:space="0" w:color="auto"/>
              <w:bottom w:val="single" w:sz="4" w:space="0" w:color="auto"/>
            </w:tcBorders>
            <w:shd w:val="clear" w:color="auto" w:fill="auto"/>
            <w:vAlign w:val="center"/>
          </w:tcPr>
          <w:p w14:paraId="37FDD217" w14:textId="7E6B7F2F"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The percentage of live cells progressively decreased with increasing nanosilver concentration</w:t>
            </w:r>
          </w:p>
        </w:tc>
        <w:tc>
          <w:tcPr>
            <w:tcW w:w="2273" w:type="dxa"/>
            <w:tcBorders>
              <w:top w:val="single" w:sz="4" w:space="0" w:color="auto"/>
              <w:bottom w:val="single" w:sz="4" w:space="0" w:color="auto"/>
            </w:tcBorders>
            <w:vAlign w:val="center"/>
          </w:tcPr>
          <w:p w14:paraId="1F7199DE" w14:textId="29E9341F"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increased cytotoxicity (ID887, ID2659)</w:t>
            </w:r>
          </w:p>
        </w:tc>
        <w:tc>
          <w:tcPr>
            <w:tcW w:w="2386" w:type="dxa"/>
            <w:tcBorders>
              <w:top w:val="single" w:sz="4" w:space="0" w:color="auto"/>
              <w:bottom w:val="single" w:sz="4" w:space="0" w:color="auto"/>
            </w:tcBorders>
            <w:shd w:val="clear" w:color="auto" w:fill="auto"/>
            <w:vAlign w:val="center"/>
          </w:tcPr>
          <w:p w14:paraId="6428A77F" w14:textId="483FCD2A"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 Tissue Degeneration, Necrosis &amp; Atrophy (ID868)</w:t>
            </w:r>
          </w:p>
        </w:tc>
        <w:tc>
          <w:tcPr>
            <w:tcW w:w="851" w:type="dxa"/>
            <w:vMerge w:val="restart"/>
            <w:tcBorders>
              <w:top w:val="single" w:sz="4" w:space="0" w:color="auto"/>
              <w:bottom w:val="single" w:sz="4" w:space="0" w:color="auto"/>
              <w:right w:val="single" w:sz="4" w:space="0" w:color="auto"/>
            </w:tcBorders>
            <w:vAlign w:val="center"/>
          </w:tcPr>
          <w:p w14:paraId="06AEA8C7" w14:textId="0525D80C" w:rsidR="00EB16FD" w:rsidRPr="00AF6261" w:rsidRDefault="00EB16FD" w:rsidP="007F3FC3">
            <w:pPr>
              <w:spacing w:after="0" w:line="240" w:lineRule="auto"/>
              <w:jc w:val="center"/>
              <w:rPr>
                <w:rFonts w:eastAsia="Times New Roman" w:cstheme="minorHAnsi"/>
                <w:color w:val="000000"/>
                <w:sz w:val="18"/>
                <w:szCs w:val="18"/>
                <w:lang w:val="en-US" w:eastAsia="fr-FR"/>
              </w:rPr>
            </w:pPr>
            <w:r w:rsidRPr="006935A7">
              <w:rPr>
                <w:rFonts w:eastAsia="Times New Roman" w:cstheme="minorHAnsi"/>
                <w:color w:val="000000"/>
                <w:sz w:val="18"/>
                <w:szCs w:val="18"/>
                <w:lang w:eastAsia="fr-FR"/>
              </w:rPr>
              <w:fldChar w:fldCharType="begin" w:fldLock="1"/>
            </w:r>
            <w:r w:rsidR="007F3FC3" w:rsidRPr="00AF6261">
              <w:rPr>
                <w:rFonts w:eastAsia="Times New Roman" w:cstheme="minorHAnsi"/>
                <w:color w:val="000000"/>
                <w:sz w:val="18"/>
                <w:szCs w:val="18"/>
                <w:lang w:val="en-US" w:eastAsia="fr-FR"/>
              </w:rPr>
              <w:instrText>ADDIN CSL_CITATION {"citationItems":[{"id":"ITEM-1","itemData":{"DOI":"10.1017/S1751731114002262","ISSN":"1751732X","PMID":"25229128","abstract":"To evaluate effects of different concentrations of nanosilver colloid on the cell culture of Sertoli cells, the proportion of lipid peroxidation, antioxidant capacity, nitric oxide (NO) production and genes expression of superoxide dismutases (SOD</w:instrText>
            </w:r>
            <w:r w:rsidR="007F3FC3">
              <w:rPr>
                <w:rFonts w:eastAsia="Times New Roman" w:cstheme="minorHAnsi"/>
                <w:color w:val="000000"/>
                <w:sz w:val="18"/>
                <w:szCs w:val="18"/>
                <w:lang w:eastAsia="fr-FR"/>
              </w:rPr>
              <w:instrText>1 and SOD2) and nitric oxide synthases (eNOS and iNOS) were measured. Sertoli cells were incubated at concentrations of 25, 75 and 125 ppm nanosilver for 48 h. There was progressive lipid peroxidation in treatments according to increasing of nanosilver. Lipid peroxidation, as indicated by malondialdehyde levels, was significantly elevated by the highest concentration of silver colloid (125 ppm), although antioxidant capacity, as measured by ferric ion reduction, was unaffected. Nitrite, as an index of NO production was reduced only in 125 ppm of nanosilver. Expression of SOD1 gene was reduced in nanosilver-treated cells at all concentrations, whereas expression of SOD2 gene was reduced only in cells treated with 125 ppm nanosilver. Expression of iNOS gene was progressively increased with higher concentrations of nanosilver. Expression of eNOS gene was also increased in 125 ppm of nanosilver. In conclusion, toxic effects of nanosilver could be due to high lipid peroxidation and suppression of antioxidant mechanisms via reduced expression of SOD genes and increased expression of NOS gen</w:instrText>
            </w:r>
            <w:r w:rsidR="007F3FC3" w:rsidRPr="00AF6261">
              <w:rPr>
                <w:rFonts w:eastAsia="Times New Roman" w:cstheme="minorHAnsi"/>
                <w:color w:val="000000"/>
                <w:sz w:val="18"/>
                <w:szCs w:val="18"/>
                <w:lang w:val="en-US" w:eastAsia="fr-FR"/>
              </w:rPr>
              <w:instrText>es.","author":[{"dropping-particle":"","family":"Hassanpour","given":"H.","non-dropping-particle":"","parse-names":false,"suffix":""},{"dropping-particle":"","family":"Mirshokraei","given":"P.","non-dropping-particle":"","parse-names":false,"suffix":""},{"dropping-particle":"","family":"Khalili Sadrabad","given":"E.","non-dropping-particle":"","parse-names":false,"suffix":""},{"dropping-particle":"","family":"Esmailian Dehkordi","given":"A.","non-dropping-particle":"","parse-names":false,"suffix":""},{"dropping-particle":"","family":"Layeghi","given":"S.","non-dropping-particle":"","parse-names":false,"suffix":""},{"dropping-particle":"","family":"Afzali","given":"A.","non-dropping-particle":"","parse-names":false,"suffix":""},{"dropping-particle":"","family":"Mohebbi","given":"A.","non-dropping-particle":"","parse-names":false,"suffix":""}],"container-title":"Animal","id":"ITEM-1","issue":"2","issued":{"date-parts":[["2014"]]},"page":"295-300","publisher":"Elsevier","title":"In vitro effect of nanosilver on gene expression of superoxide dismutases and nitric oxide synthases in chicken sertoli cells","type":"article-journal","volume":"9"},"uris":["http://www.mendeley.com/documents/?uuid=d9eea8fc-6c9a-4d6f-b4c5-c837245f0feb"]}],"mendeley":{"formattedCitation":"(46)","plainTextFormattedCitation":"(46)","previouslyFormattedCitation":"(Hassanpour et al. 2014)"},"properties":{"noteIndex":0},"schema":"https://github.com/citation-style-language/schema/raw/master/csl-citation.json"}</w:instrText>
            </w:r>
            <w:r w:rsidRPr="006935A7">
              <w:rPr>
                <w:rFonts w:eastAsia="Times New Roman" w:cstheme="minorHAnsi"/>
                <w:color w:val="000000"/>
                <w:sz w:val="18"/>
                <w:szCs w:val="18"/>
                <w:lang w:eastAsia="fr-FR"/>
              </w:rPr>
              <w:fldChar w:fldCharType="separate"/>
            </w:r>
            <w:r w:rsidR="007F3FC3" w:rsidRPr="00AF6261">
              <w:rPr>
                <w:rFonts w:eastAsia="Times New Roman" w:cstheme="minorHAnsi"/>
                <w:noProof/>
                <w:color w:val="000000"/>
                <w:sz w:val="18"/>
                <w:szCs w:val="18"/>
                <w:lang w:val="en-US" w:eastAsia="fr-FR"/>
              </w:rPr>
              <w:t>(46)</w:t>
            </w:r>
            <w:r w:rsidRPr="006935A7">
              <w:rPr>
                <w:rFonts w:eastAsia="Times New Roman" w:cstheme="minorHAnsi"/>
                <w:color w:val="000000"/>
                <w:sz w:val="18"/>
                <w:szCs w:val="18"/>
                <w:lang w:eastAsia="fr-FR"/>
              </w:rPr>
              <w:fldChar w:fldCharType="end"/>
            </w:r>
          </w:p>
        </w:tc>
      </w:tr>
      <w:tr w:rsidR="00EB16FD" w:rsidRPr="00DC5D76" w14:paraId="23C15E9E" w14:textId="77777777" w:rsidTr="007F3FC3">
        <w:trPr>
          <w:cantSplit/>
          <w:trHeight w:val="362"/>
        </w:trPr>
        <w:tc>
          <w:tcPr>
            <w:tcW w:w="1408" w:type="dxa"/>
            <w:vMerge/>
            <w:tcBorders>
              <w:left w:val="single" w:sz="4" w:space="0" w:color="auto"/>
              <w:bottom w:val="single" w:sz="4" w:space="0" w:color="auto"/>
            </w:tcBorders>
            <w:shd w:val="clear" w:color="auto" w:fill="auto"/>
            <w:vAlign w:val="center"/>
          </w:tcPr>
          <w:p w14:paraId="72B8E79A" w14:textId="77777777" w:rsidR="00EB16FD" w:rsidRPr="00AF6261" w:rsidRDefault="00EB16FD" w:rsidP="00EB16FD">
            <w:pPr>
              <w:rPr>
                <w:rFonts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3A99F269" w14:textId="77777777" w:rsidR="00EB16FD" w:rsidRPr="00AF6261" w:rsidRDefault="00EB16FD" w:rsidP="00EB16FD">
            <w:pPr>
              <w:rPr>
                <w:rFonts w:cstheme="minorHAnsi"/>
                <w:color w:val="000000"/>
                <w:sz w:val="18"/>
                <w:szCs w:val="18"/>
                <w:lang w:val="en-US"/>
              </w:rPr>
            </w:pPr>
          </w:p>
        </w:tc>
        <w:tc>
          <w:tcPr>
            <w:tcW w:w="1275" w:type="dxa"/>
            <w:vMerge/>
            <w:tcBorders>
              <w:bottom w:val="single" w:sz="4" w:space="0" w:color="auto"/>
            </w:tcBorders>
            <w:textDirection w:val="btLr"/>
            <w:vAlign w:val="center"/>
          </w:tcPr>
          <w:p w14:paraId="3EF57C8A" w14:textId="77777777" w:rsidR="00EB16FD" w:rsidRPr="00AF6261" w:rsidRDefault="00EB16FD" w:rsidP="00EB16FD">
            <w:pPr>
              <w:rPr>
                <w:rFonts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6AB77E2A" w14:textId="53253D6A"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 xml:space="preserve">Oxidative status </w:t>
            </w:r>
          </w:p>
        </w:tc>
        <w:tc>
          <w:tcPr>
            <w:tcW w:w="1703" w:type="dxa"/>
            <w:tcBorders>
              <w:top w:val="single" w:sz="4" w:space="0" w:color="auto"/>
              <w:bottom w:val="single" w:sz="4" w:space="0" w:color="auto"/>
            </w:tcBorders>
            <w:shd w:val="clear" w:color="auto" w:fill="auto"/>
            <w:vAlign w:val="center"/>
          </w:tcPr>
          <w:p w14:paraId="1C700EC4" w14:textId="56B1F24F" w:rsidR="00EB16FD" w:rsidRPr="00AF6261" w:rsidRDefault="00EB16FD" w:rsidP="00EB16FD">
            <w:pPr>
              <w:rPr>
                <w:rFonts w:cstheme="minorHAnsi"/>
                <w:color w:val="131413"/>
                <w:sz w:val="18"/>
                <w:szCs w:val="18"/>
                <w:lang w:val="en-US"/>
              </w:rPr>
            </w:pPr>
            <w:r w:rsidRPr="00AF6261">
              <w:rPr>
                <w:rFonts w:cstheme="minorHAnsi"/>
                <w:color w:val="000000"/>
                <w:sz w:val="18"/>
                <w:szCs w:val="18"/>
                <w:lang w:val="en-US"/>
              </w:rPr>
              <w:t>SOD and NOS genes expression by RT-PCR, Lipid peroxidation by TBARS Assay</w:t>
            </w:r>
          </w:p>
        </w:tc>
        <w:tc>
          <w:tcPr>
            <w:tcW w:w="2010" w:type="dxa"/>
            <w:tcBorders>
              <w:top w:val="single" w:sz="4" w:space="0" w:color="auto"/>
              <w:bottom w:val="single" w:sz="4" w:space="0" w:color="auto"/>
            </w:tcBorders>
            <w:shd w:val="clear" w:color="auto" w:fill="auto"/>
            <w:vAlign w:val="center"/>
          </w:tcPr>
          <w:p w14:paraId="11F33233" w14:textId="3549A3B3"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Reduced expression of SOD genes and increased expression of NOS genes, Lipid peroxidation was significantly increased</w:t>
            </w:r>
          </w:p>
        </w:tc>
        <w:tc>
          <w:tcPr>
            <w:tcW w:w="2273" w:type="dxa"/>
            <w:tcBorders>
              <w:top w:val="single" w:sz="4" w:space="0" w:color="auto"/>
              <w:bottom w:val="single" w:sz="4" w:space="0" w:color="auto"/>
            </w:tcBorders>
            <w:vAlign w:val="center"/>
          </w:tcPr>
          <w:p w14:paraId="39D97C76" w14:textId="1DD0E3D7"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Decreased protection against oxidative stress, Occurance oxidative stress (ID210, ID1112, ID1249, ID1538, ID1869)</w:t>
            </w:r>
            <w:r w:rsidRPr="00AF6261">
              <w:rPr>
                <w:rFonts w:cstheme="minorHAnsi"/>
                <w:color w:val="000000"/>
                <w:sz w:val="18"/>
                <w:szCs w:val="18"/>
                <w:lang w:val="en-US"/>
              </w:rPr>
              <w:br/>
              <w:t>Lipid Peroxidation (ID1445 or ID1511)</w:t>
            </w:r>
          </w:p>
        </w:tc>
        <w:tc>
          <w:tcPr>
            <w:tcW w:w="2386" w:type="dxa"/>
            <w:tcBorders>
              <w:top w:val="single" w:sz="4" w:space="0" w:color="auto"/>
              <w:bottom w:val="single" w:sz="4" w:space="0" w:color="auto"/>
            </w:tcBorders>
            <w:shd w:val="clear" w:color="auto" w:fill="auto"/>
            <w:vAlign w:val="center"/>
          </w:tcPr>
          <w:p w14:paraId="67887B9A" w14:textId="71C1716A"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 xml:space="preserve">General Apoptosis (ID1513) , Oxidative Damage </w:t>
            </w:r>
            <w:r w:rsidRPr="00AF6261">
              <w:rPr>
                <w:rFonts w:cstheme="minorHAnsi"/>
                <w:color w:val="000000"/>
                <w:sz w:val="18"/>
                <w:szCs w:val="18"/>
                <w:lang w:val="en-US"/>
              </w:rPr>
              <w:br/>
              <w:t>(ID356)</w:t>
            </w:r>
          </w:p>
        </w:tc>
        <w:tc>
          <w:tcPr>
            <w:tcW w:w="851" w:type="dxa"/>
            <w:vMerge/>
            <w:tcBorders>
              <w:bottom w:val="single" w:sz="4" w:space="0" w:color="auto"/>
              <w:right w:val="single" w:sz="4" w:space="0" w:color="auto"/>
            </w:tcBorders>
            <w:vAlign w:val="center"/>
          </w:tcPr>
          <w:p w14:paraId="79FAC0BF" w14:textId="77777777" w:rsidR="00EB16FD" w:rsidRPr="00AF6261" w:rsidRDefault="00EB16FD" w:rsidP="007F3FC3">
            <w:pPr>
              <w:spacing w:after="0" w:line="240" w:lineRule="auto"/>
              <w:jc w:val="center"/>
              <w:rPr>
                <w:rFonts w:eastAsia="Times New Roman" w:cstheme="minorHAnsi"/>
                <w:color w:val="000000"/>
                <w:sz w:val="18"/>
                <w:szCs w:val="18"/>
                <w:lang w:val="en-US" w:eastAsia="fr-FR"/>
              </w:rPr>
            </w:pPr>
          </w:p>
        </w:tc>
      </w:tr>
      <w:tr w:rsidR="00EB16FD" w:rsidRPr="00DC5D76" w14:paraId="7AF3D148" w14:textId="77777777" w:rsidTr="007F3FC3">
        <w:trPr>
          <w:cantSplit/>
          <w:trHeight w:val="362"/>
        </w:trPr>
        <w:tc>
          <w:tcPr>
            <w:tcW w:w="1408" w:type="dxa"/>
            <w:vMerge w:val="restart"/>
            <w:tcBorders>
              <w:left w:val="single" w:sz="4" w:space="0" w:color="auto"/>
            </w:tcBorders>
            <w:shd w:val="clear" w:color="auto" w:fill="auto"/>
            <w:textDirection w:val="btLr"/>
            <w:vAlign w:val="center"/>
          </w:tcPr>
          <w:p w14:paraId="21257ED9" w14:textId="649B44B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20 and 200 nm</w:t>
            </w:r>
          </w:p>
        </w:tc>
        <w:tc>
          <w:tcPr>
            <w:tcW w:w="1276" w:type="dxa"/>
            <w:vMerge w:val="restart"/>
            <w:tcBorders>
              <w:top w:val="single" w:sz="4" w:space="0" w:color="auto"/>
              <w:bottom w:val="single" w:sz="4" w:space="0" w:color="auto"/>
            </w:tcBorders>
            <w:shd w:val="clear" w:color="auto" w:fill="auto"/>
            <w:textDirection w:val="btLr"/>
            <w:vAlign w:val="center"/>
          </w:tcPr>
          <w:p w14:paraId="36800607" w14:textId="33A81C0A"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 xml:space="preserve">Ntera2 (NT2, human testicular embryonic carcinoma cell line), and primary testicular cells from C57BL6 mice of wild type (WT) and 8-oxoguanine DNA glycosylase </w:t>
            </w:r>
            <w:r w:rsidRPr="00AF6261">
              <w:rPr>
                <w:rFonts w:cstheme="minorHAnsi"/>
                <w:color w:val="000000"/>
                <w:sz w:val="18"/>
                <w:szCs w:val="18"/>
                <w:lang w:val="en-US"/>
              </w:rPr>
              <w:br/>
              <w:t>knock-out (KO, mOgg1−/−) genotype</w:t>
            </w:r>
          </w:p>
        </w:tc>
        <w:tc>
          <w:tcPr>
            <w:tcW w:w="1275" w:type="dxa"/>
            <w:vMerge w:val="restart"/>
            <w:tcBorders>
              <w:top w:val="single" w:sz="4" w:space="0" w:color="auto"/>
              <w:bottom w:val="single" w:sz="4" w:space="0" w:color="auto"/>
            </w:tcBorders>
            <w:textDirection w:val="btLr"/>
            <w:vAlign w:val="center"/>
          </w:tcPr>
          <w:p w14:paraId="6874010C" w14:textId="53487343"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10, 50, 100  µg/ml,</w:t>
            </w:r>
          </w:p>
        </w:tc>
        <w:tc>
          <w:tcPr>
            <w:tcW w:w="1668" w:type="dxa"/>
            <w:tcBorders>
              <w:top w:val="single" w:sz="4" w:space="0" w:color="auto"/>
              <w:bottom w:val="single" w:sz="4" w:space="0" w:color="auto"/>
            </w:tcBorders>
            <w:shd w:val="clear" w:color="auto" w:fill="auto"/>
            <w:vAlign w:val="center"/>
          </w:tcPr>
          <w:p w14:paraId="455926A4" w14:textId="1D7AC40F"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 xml:space="preserve">Cytotoxicity </w:t>
            </w:r>
          </w:p>
        </w:tc>
        <w:tc>
          <w:tcPr>
            <w:tcW w:w="1703" w:type="dxa"/>
            <w:tcBorders>
              <w:top w:val="single" w:sz="4" w:space="0" w:color="auto"/>
              <w:bottom w:val="single" w:sz="4" w:space="0" w:color="auto"/>
            </w:tcBorders>
            <w:shd w:val="clear" w:color="auto" w:fill="auto"/>
            <w:vAlign w:val="center"/>
          </w:tcPr>
          <w:p w14:paraId="082C3008" w14:textId="09C02A73"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Determination of cell metabolic activity by the MTT assay</w:t>
            </w:r>
          </w:p>
        </w:tc>
        <w:tc>
          <w:tcPr>
            <w:tcW w:w="2010" w:type="dxa"/>
            <w:tcBorders>
              <w:top w:val="single" w:sz="4" w:space="0" w:color="auto"/>
              <w:bottom w:val="single" w:sz="4" w:space="0" w:color="auto"/>
            </w:tcBorders>
            <w:shd w:val="clear" w:color="auto" w:fill="auto"/>
            <w:vAlign w:val="center"/>
          </w:tcPr>
          <w:p w14:paraId="223B5D34" w14:textId="2C293DB1"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At 24 h and at maximum (µg/ml) AgNP concentration, the metabolic activity of all three cell types was reduced to approximately 50% of controls.</w:t>
            </w:r>
          </w:p>
        </w:tc>
        <w:tc>
          <w:tcPr>
            <w:tcW w:w="2273" w:type="dxa"/>
            <w:tcBorders>
              <w:top w:val="single" w:sz="4" w:space="0" w:color="auto"/>
              <w:bottom w:val="single" w:sz="4" w:space="0" w:color="auto"/>
            </w:tcBorders>
            <w:vAlign w:val="center"/>
          </w:tcPr>
          <w:p w14:paraId="5A735381" w14:textId="6519CD63"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increased cytotoxicity (ID887, ID2659)</w:t>
            </w:r>
          </w:p>
        </w:tc>
        <w:tc>
          <w:tcPr>
            <w:tcW w:w="2386" w:type="dxa"/>
            <w:tcBorders>
              <w:top w:val="single" w:sz="4" w:space="0" w:color="auto"/>
              <w:bottom w:val="single" w:sz="4" w:space="0" w:color="auto"/>
            </w:tcBorders>
            <w:shd w:val="clear" w:color="auto" w:fill="auto"/>
            <w:vAlign w:val="center"/>
          </w:tcPr>
          <w:p w14:paraId="15575DDF" w14:textId="71B0DFC2" w:rsidR="00EB16FD" w:rsidRPr="00AF6261" w:rsidRDefault="00EB16FD" w:rsidP="007F1961">
            <w:pPr>
              <w:jc w:val="center"/>
              <w:rPr>
                <w:rFonts w:cstheme="minorHAnsi"/>
                <w:color w:val="000000"/>
                <w:sz w:val="18"/>
                <w:szCs w:val="18"/>
                <w:lang w:val="en-US"/>
              </w:rPr>
            </w:pPr>
            <w:r w:rsidRPr="00AF6261">
              <w:rPr>
                <w:rFonts w:cstheme="minorHAnsi"/>
                <w:color w:val="000000"/>
                <w:sz w:val="18"/>
                <w:szCs w:val="18"/>
                <w:lang w:val="en-US"/>
              </w:rPr>
              <w:t>Increase, Tissue Degeneration, Necrosis &amp; Atrophy (ID868)</w:t>
            </w:r>
          </w:p>
        </w:tc>
        <w:tc>
          <w:tcPr>
            <w:tcW w:w="851" w:type="dxa"/>
            <w:vMerge w:val="restart"/>
            <w:tcBorders>
              <w:top w:val="single" w:sz="4" w:space="0" w:color="auto"/>
              <w:bottom w:val="single" w:sz="4" w:space="0" w:color="auto"/>
              <w:right w:val="single" w:sz="4" w:space="0" w:color="auto"/>
            </w:tcBorders>
            <w:vAlign w:val="center"/>
          </w:tcPr>
          <w:p w14:paraId="53B8FDF7" w14:textId="2DA5A6E0" w:rsidR="00EB16FD" w:rsidRPr="00AF6261" w:rsidRDefault="00EB16FD" w:rsidP="007F3FC3">
            <w:pPr>
              <w:spacing w:after="0" w:line="240" w:lineRule="auto"/>
              <w:jc w:val="center"/>
              <w:rPr>
                <w:rFonts w:eastAsia="Times New Roman" w:cstheme="minorHAnsi"/>
                <w:color w:val="000000"/>
                <w:sz w:val="18"/>
                <w:szCs w:val="18"/>
                <w:lang w:val="en-US" w:eastAsia="fr-FR"/>
              </w:rPr>
            </w:pPr>
            <w:r w:rsidRPr="006935A7">
              <w:rPr>
                <w:rFonts w:eastAsia="Times New Roman" w:cstheme="minorHAnsi"/>
                <w:color w:val="000000"/>
                <w:sz w:val="18"/>
                <w:szCs w:val="18"/>
                <w:lang w:eastAsia="fr-FR"/>
              </w:rPr>
              <w:fldChar w:fldCharType="begin" w:fldLock="1"/>
            </w:r>
            <w:r w:rsidR="007F3FC3" w:rsidRPr="00AF6261">
              <w:rPr>
                <w:rFonts w:eastAsia="Times New Roman" w:cstheme="minorHAnsi"/>
                <w:color w:val="000000"/>
                <w:sz w:val="18"/>
                <w:szCs w:val="18"/>
                <w:lang w:val="en-US" w:eastAsia="fr-FR"/>
              </w:rPr>
              <w:instrText>ADDIN CSL_CITATION {"citationItems":[{"id":"ITEM-1","itemData":{"DOI":"10.1016/J.TOX.2011.10.022","ISSN":"1879-3185","PMID":"22085606","abstract":"Serious concerns have been expressed about potential risks of engineered nanoparticles. Regulatory health risk assessment of such particles has become mandatory for the safe use of nanomaterials in consumer products and medicines; including the potential effects on reproduction and fertility, are relevant for this risk evaluation. In this study, we examined effects of silver part</w:instrText>
            </w:r>
            <w:r w:rsidR="007F3FC3">
              <w:rPr>
                <w:rFonts w:eastAsia="Times New Roman" w:cstheme="minorHAnsi"/>
                <w:color w:val="000000"/>
                <w:sz w:val="18"/>
                <w:szCs w:val="18"/>
                <w:lang w:eastAsia="fr-FR"/>
              </w:rPr>
              <w:instrText>icles of nano- (20nm) and submicron- (200nm) size, and titanium dioxide nanoparticles (TiO 2-NPs; 21nm), with emphasis on reproductive cellular- and genotoxicity. Ntera2 (NT2, human testicular embryonic carcinoma cell line), and primary testicular cells from C57BL6 mice of wild type (WT) and 8-oxoguanine DNA glycosylase knock-out (KO, mOgg1 -/-) genotype were exposed to the particles. The latter mimics the repair status of human testicular cells vs oxidative damage and is thus a suitable model for human male reproductive toxicity studies. The results suggest that silver nano- and submicron-particles (AgNPs) are more cytotoxic and cytostatic compared to TiO 2-NPs, causing apoptosis, necrosis and decreased proliferation in a concentration- and time-dependent manner. The 200nm AgNPs in particular appeared to cause a concentration-dependent increase in DNA-strand breaks in NT2 cells, whereas the latter response did not seem to occur with respect to oxidative purine base damage analy</w:instrText>
            </w:r>
            <w:r w:rsidR="007F3FC3" w:rsidRPr="00AF6261">
              <w:rPr>
                <w:rFonts w:eastAsia="Times New Roman" w:cstheme="minorHAnsi"/>
                <w:color w:val="000000"/>
                <w:sz w:val="18"/>
                <w:szCs w:val="18"/>
                <w:lang w:val="en-US" w:eastAsia="fr-FR"/>
              </w:rPr>
              <w:instrText>sed with any of the particles tested. © 2011 Elsevier Ireland Ltd.","author":[{"dropping-particle":"","family":"Asare","given":"N","non-dropping-particle":"","parse-names":false,"suffix":""},{"dropping-particle":"","family":"Instanes","given":"C","non-dropping-particle":"","parse-names":false,"suffix":""},{"dropping-particle":"","family":"Sandberg","given":"WJ","non-dropping-particle":"","parse-names":false,"suffix":""},{"dropping-particle":"","family":"Refsnes","given":"M","non-dropping-particle":"","parse-names":false,"suffix":""},{"dropping-particle":"","family":"Schwarze","given":"P","non-dropping-particle":"","parse-names":false,"suffix":""},{"dropping-particle":"","family":"Kruszewski","given":"M","non-dropping-particle":"","parse-names":false,"suffix":""},{"dropping-particle":"","family":"Brunborg","given":"G","non-dropping-particle":"","parse-names":false,"suffix":""}],"container-title":"Toxicology","id":"ITEM-1","issue":"1-3","issued":{"date-parts":[["2012","1","27"]]},"page":"65-72","publisher":"Toxicology","title":"Cytotoxic and genotoxic effects of silver nanoparticles in testicular cells","type":"article-journal","volume":"291"},"uris":["http://www.mendeley.com/documents/?uuid=09f54b5f-5355-30d4-ba94-b0ac0727e30e"]}],"mendeley":{"formattedCitation":"(47)","plainTextFormattedCitation":"(47)","previouslyFormattedCitation":"(N Asare et al. 2012)"},"properties":{"noteIndex":0},"schema":"https://github.com/citation-style-language/schema/raw/master/csl-citation.json"}</w:instrText>
            </w:r>
            <w:r w:rsidRPr="006935A7">
              <w:rPr>
                <w:rFonts w:eastAsia="Times New Roman" w:cstheme="minorHAnsi"/>
                <w:color w:val="000000"/>
                <w:sz w:val="18"/>
                <w:szCs w:val="18"/>
                <w:lang w:eastAsia="fr-FR"/>
              </w:rPr>
              <w:fldChar w:fldCharType="separate"/>
            </w:r>
            <w:r w:rsidR="007F3FC3" w:rsidRPr="00AF6261">
              <w:rPr>
                <w:rFonts w:eastAsia="Times New Roman" w:cstheme="minorHAnsi"/>
                <w:noProof/>
                <w:color w:val="000000"/>
                <w:sz w:val="18"/>
                <w:szCs w:val="18"/>
                <w:lang w:val="en-US" w:eastAsia="fr-FR"/>
              </w:rPr>
              <w:t>(47)</w:t>
            </w:r>
            <w:r w:rsidRPr="006935A7">
              <w:rPr>
                <w:rFonts w:eastAsia="Times New Roman" w:cstheme="minorHAnsi"/>
                <w:color w:val="000000"/>
                <w:sz w:val="18"/>
                <w:szCs w:val="18"/>
                <w:lang w:eastAsia="fr-FR"/>
              </w:rPr>
              <w:fldChar w:fldCharType="end"/>
            </w:r>
          </w:p>
        </w:tc>
      </w:tr>
      <w:tr w:rsidR="00EB16FD" w:rsidRPr="00DC5D76" w14:paraId="1DE68137" w14:textId="77777777" w:rsidTr="007F3FC3">
        <w:trPr>
          <w:cantSplit/>
          <w:trHeight w:val="362"/>
        </w:trPr>
        <w:tc>
          <w:tcPr>
            <w:tcW w:w="1408" w:type="dxa"/>
            <w:vMerge/>
            <w:tcBorders>
              <w:left w:val="single" w:sz="4" w:space="0" w:color="auto"/>
              <w:bottom w:val="single" w:sz="4" w:space="0" w:color="auto"/>
            </w:tcBorders>
            <w:shd w:val="clear" w:color="auto" w:fill="auto"/>
            <w:vAlign w:val="center"/>
          </w:tcPr>
          <w:p w14:paraId="25757463" w14:textId="77777777" w:rsidR="00EB16FD" w:rsidRPr="00AF6261" w:rsidRDefault="00EB16FD" w:rsidP="00EB16FD">
            <w:pPr>
              <w:rPr>
                <w:rFonts w:cstheme="minorHAnsi"/>
                <w:color w:val="000000"/>
                <w:sz w:val="18"/>
                <w:szCs w:val="18"/>
                <w:lang w:val="en-US"/>
              </w:rPr>
            </w:pPr>
          </w:p>
        </w:tc>
        <w:tc>
          <w:tcPr>
            <w:tcW w:w="1276" w:type="dxa"/>
            <w:vMerge/>
            <w:tcBorders>
              <w:bottom w:val="single" w:sz="4" w:space="0" w:color="auto"/>
            </w:tcBorders>
            <w:shd w:val="clear" w:color="auto" w:fill="auto"/>
            <w:textDirection w:val="btLr"/>
            <w:vAlign w:val="center"/>
          </w:tcPr>
          <w:p w14:paraId="25FEB024" w14:textId="77777777" w:rsidR="00EB16FD" w:rsidRPr="00AF6261" w:rsidRDefault="00EB16FD" w:rsidP="00EB16FD">
            <w:pPr>
              <w:rPr>
                <w:rFonts w:cstheme="minorHAnsi"/>
                <w:color w:val="000000"/>
                <w:sz w:val="18"/>
                <w:szCs w:val="18"/>
                <w:lang w:val="en-US"/>
              </w:rPr>
            </w:pPr>
          </w:p>
        </w:tc>
        <w:tc>
          <w:tcPr>
            <w:tcW w:w="1275" w:type="dxa"/>
            <w:vMerge/>
            <w:tcBorders>
              <w:bottom w:val="single" w:sz="4" w:space="0" w:color="auto"/>
            </w:tcBorders>
            <w:vAlign w:val="center"/>
          </w:tcPr>
          <w:p w14:paraId="36B81511" w14:textId="2C2EE154" w:rsidR="00EB16FD" w:rsidRPr="00AF6261" w:rsidRDefault="00EB16FD" w:rsidP="00EB16FD">
            <w:pPr>
              <w:rPr>
                <w:rFonts w:cstheme="minorHAnsi"/>
                <w:color w:val="000000"/>
                <w:sz w:val="18"/>
                <w:szCs w:val="18"/>
                <w:lang w:val="en-US"/>
              </w:rPr>
            </w:pPr>
          </w:p>
        </w:tc>
        <w:tc>
          <w:tcPr>
            <w:tcW w:w="1668" w:type="dxa"/>
            <w:tcBorders>
              <w:top w:val="single" w:sz="4" w:space="0" w:color="auto"/>
              <w:bottom w:val="single" w:sz="4" w:space="0" w:color="auto"/>
            </w:tcBorders>
            <w:shd w:val="clear" w:color="auto" w:fill="auto"/>
            <w:vAlign w:val="center"/>
          </w:tcPr>
          <w:p w14:paraId="4F0D0BA9" w14:textId="4BD3B034"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DNA Damage</w:t>
            </w:r>
          </w:p>
        </w:tc>
        <w:tc>
          <w:tcPr>
            <w:tcW w:w="1703" w:type="dxa"/>
            <w:tcBorders>
              <w:top w:val="single" w:sz="4" w:space="0" w:color="auto"/>
              <w:bottom w:val="single" w:sz="4" w:space="0" w:color="auto"/>
            </w:tcBorders>
            <w:shd w:val="clear" w:color="auto" w:fill="auto"/>
            <w:vAlign w:val="center"/>
          </w:tcPr>
          <w:p w14:paraId="42852E1B" w14:textId="131BA48B"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DNA-strand breaks by COMET assay</w:t>
            </w:r>
          </w:p>
        </w:tc>
        <w:tc>
          <w:tcPr>
            <w:tcW w:w="2010" w:type="dxa"/>
            <w:tcBorders>
              <w:top w:val="single" w:sz="4" w:space="0" w:color="auto"/>
              <w:bottom w:val="single" w:sz="4" w:space="0" w:color="auto"/>
            </w:tcBorders>
            <w:shd w:val="clear" w:color="auto" w:fill="auto"/>
            <w:vAlign w:val="center"/>
          </w:tcPr>
          <w:p w14:paraId="0A46A83D" w14:textId="26842052"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Ag200 caused the highest level of damage, with about 25% DNA intensity in tail at the 100 µg ml−1 concentration, whereas Ag20 caused approximately 15% strand breakage in NT2 cells. In contrast, the NPs caused little to no DNA-strand breaks in testicular cells derived from either WT  or KO (Ogg1−/−)</w:t>
            </w:r>
          </w:p>
        </w:tc>
        <w:tc>
          <w:tcPr>
            <w:tcW w:w="2273" w:type="dxa"/>
            <w:tcBorders>
              <w:top w:val="single" w:sz="4" w:space="0" w:color="auto"/>
              <w:bottom w:val="single" w:sz="4" w:space="0" w:color="auto"/>
            </w:tcBorders>
            <w:vAlign w:val="center"/>
          </w:tcPr>
          <w:p w14:paraId="53B0EB40" w14:textId="35D8A9A1"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Increase DNA damage (ID1897)</w:t>
            </w:r>
          </w:p>
        </w:tc>
        <w:tc>
          <w:tcPr>
            <w:tcW w:w="2386" w:type="dxa"/>
            <w:tcBorders>
              <w:top w:val="single" w:sz="4" w:space="0" w:color="auto"/>
              <w:bottom w:val="single" w:sz="4" w:space="0" w:color="auto"/>
            </w:tcBorders>
            <w:shd w:val="clear" w:color="auto" w:fill="auto"/>
            <w:vAlign w:val="center"/>
          </w:tcPr>
          <w:p w14:paraId="453DCDD7" w14:textId="46217B39"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Increase, Apoptosis (ID1365)</w:t>
            </w:r>
          </w:p>
        </w:tc>
        <w:tc>
          <w:tcPr>
            <w:tcW w:w="851" w:type="dxa"/>
            <w:vMerge/>
            <w:tcBorders>
              <w:bottom w:val="single" w:sz="4" w:space="0" w:color="auto"/>
              <w:right w:val="single" w:sz="4" w:space="0" w:color="auto"/>
            </w:tcBorders>
            <w:vAlign w:val="center"/>
          </w:tcPr>
          <w:p w14:paraId="6F0E97E8" w14:textId="77777777" w:rsidR="00EB16FD" w:rsidRPr="00AF6261" w:rsidRDefault="00EB16FD" w:rsidP="007F3FC3">
            <w:pPr>
              <w:spacing w:after="0" w:line="240" w:lineRule="auto"/>
              <w:jc w:val="center"/>
              <w:rPr>
                <w:rFonts w:eastAsia="Times New Roman" w:cstheme="minorHAnsi"/>
                <w:color w:val="000000"/>
                <w:sz w:val="18"/>
                <w:szCs w:val="18"/>
                <w:lang w:val="en-US" w:eastAsia="fr-FR"/>
              </w:rPr>
            </w:pPr>
          </w:p>
        </w:tc>
      </w:tr>
      <w:tr w:rsidR="00EB16FD" w:rsidRPr="00DC5D76" w14:paraId="22127115" w14:textId="77777777" w:rsidTr="007F3FC3">
        <w:trPr>
          <w:cantSplit/>
          <w:trHeight w:val="1134"/>
        </w:trPr>
        <w:tc>
          <w:tcPr>
            <w:tcW w:w="1408" w:type="dxa"/>
            <w:tcBorders>
              <w:top w:val="single" w:sz="4" w:space="0" w:color="auto"/>
              <w:left w:val="single" w:sz="4" w:space="0" w:color="auto"/>
              <w:bottom w:val="single" w:sz="4" w:space="0" w:color="auto"/>
            </w:tcBorders>
            <w:shd w:val="clear" w:color="auto" w:fill="auto"/>
            <w:textDirection w:val="btLr"/>
            <w:vAlign w:val="center"/>
          </w:tcPr>
          <w:p w14:paraId="10B12364"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15 nm</w:t>
            </w:r>
          </w:p>
        </w:tc>
        <w:tc>
          <w:tcPr>
            <w:tcW w:w="1276" w:type="dxa"/>
            <w:tcBorders>
              <w:top w:val="single" w:sz="4" w:space="0" w:color="auto"/>
              <w:bottom w:val="single" w:sz="4" w:space="0" w:color="auto"/>
            </w:tcBorders>
            <w:shd w:val="clear" w:color="auto" w:fill="auto"/>
            <w:textDirection w:val="btLr"/>
            <w:vAlign w:val="center"/>
          </w:tcPr>
          <w:p w14:paraId="76A7642E"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C18–4 cell line</w:t>
            </w:r>
          </w:p>
        </w:tc>
        <w:tc>
          <w:tcPr>
            <w:tcW w:w="1275" w:type="dxa"/>
            <w:tcBorders>
              <w:top w:val="single" w:sz="4" w:space="0" w:color="auto"/>
              <w:bottom w:val="single" w:sz="4" w:space="0" w:color="auto"/>
            </w:tcBorders>
            <w:textDirection w:val="btLr"/>
            <w:vAlign w:val="center"/>
          </w:tcPr>
          <w:p w14:paraId="0EBB230A" w14:textId="77777777" w:rsidR="00EB16FD" w:rsidRPr="00AF6261" w:rsidRDefault="00EB16FD" w:rsidP="00EB16FD">
            <w:pPr>
              <w:ind w:left="113" w:right="113"/>
              <w:jc w:val="center"/>
              <w:rPr>
                <w:rFonts w:cstheme="minorHAnsi"/>
                <w:color w:val="000000"/>
                <w:sz w:val="18"/>
                <w:szCs w:val="18"/>
                <w:lang w:val="en-US"/>
              </w:rPr>
            </w:pPr>
            <w:r w:rsidRPr="00AF6261">
              <w:rPr>
                <w:rFonts w:cstheme="minorHAnsi"/>
                <w:color w:val="000000"/>
                <w:sz w:val="18"/>
                <w:szCs w:val="18"/>
                <w:lang w:val="en-US"/>
              </w:rPr>
              <w:t>5, 10, 25, 50, and 100 µg/ml exposure</w:t>
            </w:r>
          </w:p>
        </w:tc>
        <w:tc>
          <w:tcPr>
            <w:tcW w:w="1668" w:type="dxa"/>
            <w:tcBorders>
              <w:top w:val="single" w:sz="4" w:space="0" w:color="auto"/>
              <w:bottom w:val="single" w:sz="4" w:space="0" w:color="auto"/>
            </w:tcBorders>
            <w:shd w:val="clear" w:color="auto" w:fill="auto"/>
            <w:vAlign w:val="center"/>
          </w:tcPr>
          <w:p w14:paraId="3C3BE085" w14:textId="77777777"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Cytotoxicity</w:t>
            </w:r>
          </w:p>
        </w:tc>
        <w:tc>
          <w:tcPr>
            <w:tcW w:w="1703" w:type="dxa"/>
            <w:tcBorders>
              <w:top w:val="single" w:sz="4" w:space="0" w:color="auto"/>
              <w:bottom w:val="single" w:sz="4" w:space="0" w:color="auto"/>
            </w:tcBorders>
            <w:shd w:val="clear" w:color="auto" w:fill="auto"/>
            <w:vAlign w:val="center"/>
          </w:tcPr>
          <w:p w14:paraId="60211665" w14:textId="77777777"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Mitochondrial function by MTT assay, membrane integrity by LDH assay</w:t>
            </w:r>
          </w:p>
        </w:tc>
        <w:tc>
          <w:tcPr>
            <w:tcW w:w="2010" w:type="dxa"/>
            <w:tcBorders>
              <w:top w:val="single" w:sz="4" w:space="0" w:color="auto"/>
              <w:bottom w:val="single" w:sz="4" w:space="0" w:color="auto"/>
            </w:tcBorders>
            <w:shd w:val="clear" w:color="auto" w:fill="auto"/>
            <w:vAlign w:val="center"/>
          </w:tcPr>
          <w:p w14:paraId="706516DA" w14:textId="31B30843"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Reduced mitochondrial function and cell viability. A slight increase in LDH leakage, indicating that these particles interfere with cell metabolism rather than disrupting the plasma membrane. Thus, they might promote cell apoptosis rather than necrosis</w:t>
            </w:r>
          </w:p>
        </w:tc>
        <w:tc>
          <w:tcPr>
            <w:tcW w:w="2273" w:type="dxa"/>
            <w:tcBorders>
              <w:top w:val="single" w:sz="4" w:space="0" w:color="auto"/>
              <w:bottom w:val="single" w:sz="4" w:space="0" w:color="auto"/>
            </w:tcBorders>
            <w:vAlign w:val="center"/>
          </w:tcPr>
          <w:p w14:paraId="712A9431" w14:textId="77777777" w:rsidR="00EB16FD" w:rsidRPr="00AF6261" w:rsidRDefault="00EB16FD" w:rsidP="00EB16FD">
            <w:pPr>
              <w:jc w:val="center"/>
              <w:rPr>
                <w:rFonts w:cstheme="minorHAnsi"/>
                <w:color w:val="000000"/>
                <w:sz w:val="18"/>
                <w:szCs w:val="18"/>
                <w:lang w:val="en-US"/>
              </w:rPr>
            </w:pPr>
            <w:r w:rsidRPr="00AF6261">
              <w:rPr>
                <w:rFonts w:cstheme="minorHAnsi"/>
                <w:color w:val="000000"/>
                <w:sz w:val="18"/>
                <w:szCs w:val="18"/>
                <w:lang w:val="en-US"/>
              </w:rPr>
              <w:t>increase cytotoxicity (ID887, ID2659)</w:t>
            </w:r>
          </w:p>
        </w:tc>
        <w:tc>
          <w:tcPr>
            <w:tcW w:w="2386" w:type="dxa"/>
            <w:tcBorders>
              <w:top w:val="single" w:sz="4" w:space="0" w:color="auto"/>
              <w:bottom w:val="single" w:sz="4" w:space="0" w:color="auto"/>
            </w:tcBorders>
            <w:shd w:val="clear" w:color="auto" w:fill="auto"/>
            <w:vAlign w:val="center"/>
          </w:tcPr>
          <w:p w14:paraId="09840454" w14:textId="77777777" w:rsidR="00EB16FD" w:rsidRPr="00AF6261" w:rsidRDefault="00EB16FD" w:rsidP="00EB16FD">
            <w:pPr>
              <w:rPr>
                <w:rFonts w:cstheme="minorHAnsi"/>
                <w:color w:val="000000"/>
                <w:sz w:val="18"/>
                <w:szCs w:val="18"/>
                <w:lang w:val="en-US"/>
              </w:rPr>
            </w:pPr>
            <w:r w:rsidRPr="00AF6261">
              <w:rPr>
                <w:rFonts w:cstheme="minorHAnsi"/>
                <w:color w:val="000000"/>
                <w:sz w:val="18"/>
                <w:szCs w:val="18"/>
                <w:lang w:val="en-US"/>
              </w:rPr>
              <w:t>Increase, Apoptosis (ID1365)</w:t>
            </w:r>
          </w:p>
        </w:tc>
        <w:tc>
          <w:tcPr>
            <w:tcW w:w="851" w:type="dxa"/>
            <w:tcBorders>
              <w:top w:val="single" w:sz="4" w:space="0" w:color="auto"/>
              <w:bottom w:val="single" w:sz="4" w:space="0" w:color="auto"/>
              <w:right w:val="single" w:sz="4" w:space="0" w:color="auto"/>
            </w:tcBorders>
            <w:vAlign w:val="center"/>
          </w:tcPr>
          <w:p w14:paraId="28A6CCFB" w14:textId="008F51E8" w:rsidR="00EB16FD" w:rsidRPr="00AF6261" w:rsidRDefault="00EB16FD" w:rsidP="007F3FC3">
            <w:pPr>
              <w:spacing w:after="0" w:line="240" w:lineRule="auto"/>
              <w:jc w:val="center"/>
              <w:rPr>
                <w:rFonts w:eastAsia="Times New Roman" w:cstheme="minorHAnsi"/>
                <w:color w:val="000000"/>
                <w:sz w:val="18"/>
                <w:szCs w:val="18"/>
                <w:lang w:val="en-US" w:eastAsia="fr-FR"/>
              </w:rPr>
            </w:pPr>
            <w:r w:rsidRPr="006935A7">
              <w:rPr>
                <w:rFonts w:eastAsia="Times New Roman" w:cstheme="minorHAnsi"/>
                <w:color w:val="000000"/>
                <w:sz w:val="18"/>
                <w:szCs w:val="18"/>
                <w:lang w:eastAsia="fr-FR"/>
              </w:rPr>
              <w:fldChar w:fldCharType="begin" w:fldLock="1"/>
            </w:r>
            <w:r w:rsidR="007F3FC3" w:rsidRPr="00AF6261">
              <w:rPr>
                <w:rFonts w:eastAsia="Times New Roman" w:cstheme="minorHAnsi"/>
                <w:color w:val="000000"/>
                <w:sz w:val="18"/>
                <w:szCs w:val="18"/>
                <w:lang w:val="en-US" w:eastAsia="fr-FR"/>
              </w:rPr>
              <w:instrText>ADDIN CSL_CITATION {"citationItems":[{"id":"ITEM-1","itemData":{"DOI":"10.1093/TOXSCI/KFI256","ISSN":"1096-6080","PMID":"16014736","abstract":"Gametogenesis is a complex biological process that is particularly sensitive to environmental insults such as chemicals. Many chemicals have a negative impact on the germline, either by directly affecting the germ cells, or indirectly through their action on the somatic nursing cells. Ultimately, these effects can inhibit fertility, and they may have negative consequences for the development of the offspring. Recently, nanomaterials such as nanotubes, nanowires, fullerene der</w:instrText>
            </w:r>
            <w:r w:rsidR="007F3FC3">
              <w:rPr>
                <w:rFonts w:eastAsia="Times New Roman" w:cstheme="minorHAnsi"/>
                <w:color w:val="000000"/>
                <w:sz w:val="18"/>
                <w:szCs w:val="18"/>
                <w:lang w:eastAsia="fr-FR"/>
              </w:rPr>
              <w:instrText>ivatives (buckyballs), and quantum dots have received enormous national attention in the creation of new types of analytical tools for biotechnology and the life sciences. Despite the wide application of nanomaterials, there is a serious lack of information concerning their impact on human health and the environment. Thus, there are limited studies available on toxicity of nanoparticles for risk assessment of nanomaterials. The purpose of this study was to assess the suitability of a mouse spermatogonial stem cell line as a model to assess nanotoxicity in the male germline in vitro. The effects of different types of nanoparticles on these cells were evaluated by light microscopy, and by cell proliferation and standard cytotoxicity assays. Our results demonstrate a concentration-dependent toxicity for all types of particles tested, whereas the corresponding soluble salts had no significant effect. Silver nanoparticles were the most toxic whil</w:instrText>
            </w:r>
            <w:r w:rsidR="007F3FC3" w:rsidRPr="00AF6261">
              <w:rPr>
                <w:rFonts w:eastAsia="Times New Roman" w:cstheme="minorHAnsi"/>
                <w:color w:val="000000"/>
                <w:sz w:val="18"/>
                <w:szCs w:val="18"/>
                <w:lang w:val="en-US" w:eastAsia="fr-FR"/>
              </w:rPr>
              <w:instrText>e molybdenum trioxide (MoO3) nanoparticles were the least toxic. Our results suggest that this cell line provides a valuable model with which to assess the cytotoxicity of nanoparticles in the germ line in vitro. © The Author 2005. Published by Oxford University Press on behalf of the Society of Toxicology. All rights reserved.","author":[{"dropping-particle":"","family":"Braydich-Stolle","given":"Laura","non-dropping-particle":"","parse-names":false,"suffix":""},{"dropping-particle":"","family":"Hussain","given":"S","non-dropping-particle":"","parse-names":false,"suffix":""},{"dropping-particle":"","family":"Schlager","given":"JJ","non-dropping-particle":"","parse-names":false,"suffix":""},{"dropping-particle":"","family":"Hofmann","given":"Marie-Claude","non-dropping-particle":"","parse-names":false,"suffix":""}],"container-title":"Toxicological sciences : an official journal of the Society of Toxicology","id":"ITEM-1","issue":"2","issued":{"date-parts":[["2005","12"]]},"page":"412-419","publisher":"Toxicol Sci","title":"In vitro cytotoxicity of nanoparticles in mammalian germline stem cells","type":"article-journal","volume":"88"},"uris":["http://www.mendeley.com/documents/?uuid=25078f86-0306-3b96-b2d6-db332b2588f7"]}],"mendeley":{"formattedCitation":"(48)","plainTextFormattedCitation":"(48)","previouslyFormattedCitation":"(Braydich-Stolle et al. 2005)"},"properties":{"noteIndex":0},"schema":"https://github.com/citation-style-language/schema/raw/master/csl-citation.json"}</w:instrText>
            </w:r>
            <w:r w:rsidRPr="006935A7">
              <w:rPr>
                <w:rFonts w:eastAsia="Times New Roman" w:cstheme="minorHAnsi"/>
                <w:color w:val="000000"/>
                <w:sz w:val="18"/>
                <w:szCs w:val="18"/>
                <w:lang w:eastAsia="fr-FR"/>
              </w:rPr>
              <w:fldChar w:fldCharType="separate"/>
            </w:r>
            <w:r w:rsidR="007F3FC3" w:rsidRPr="00AF6261">
              <w:rPr>
                <w:rFonts w:eastAsia="Times New Roman" w:cstheme="minorHAnsi"/>
                <w:noProof/>
                <w:color w:val="000000"/>
                <w:sz w:val="18"/>
                <w:szCs w:val="18"/>
                <w:lang w:val="en-US" w:eastAsia="fr-FR"/>
              </w:rPr>
              <w:t>(48)</w:t>
            </w:r>
            <w:r w:rsidRPr="006935A7">
              <w:rPr>
                <w:rFonts w:eastAsia="Times New Roman" w:cstheme="minorHAnsi"/>
                <w:color w:val="000000"/>
                <w:sz w:val="18"/>
                <w:szCs w:val="18"/>
                <w:lang w:eastAsia="fr-FR"/>
              </w:rPr>
              <w:fldChar w:fldCharType="end"/>
            </w:r>
          </w:p>
        </w:tc>
      </w:tr>
    </w:tbl>
    <w:p w14:paraId="5BB1F426" w14:textId="55563A64" w:rsidR="004C6EDD" w:rsidRPr="00AF6261" w:rsidRDefault="004C6EDD">
      <w:pPr>
        <w:rPr>
          <w:rFonts w:cstheme="minorHAnsi"/>
          <w:sz w:val="18"/>
          <w:szCs w:val="18"/>
          <w:lang w:val="en-US"/>
        </w:rPr>
      </w:pPr>
    </w:p>
    <w:p w14:paraId="680AF3EE" w14:textId="073CD6FE" w:rsidR="00FC3D13" w:rsidRPr="00AF6261" w:rsidRDefault="00FC3D13">
      <w:pPr>
        <w:rPr>
          <w:rFonts w:cstheme="minorHAnsi"/>
          <w:sz w:val="18"/>
          <w:szCs w:val="18"/>
          <w:lang w:val="en-US"/>
        </w:rPr>
      </w:pPr>
    </w:p>
    <w:p w14:paraId="44108678" w14:textId="49038C46" w:rsidR="00FC3D13" w:rsidRPr="00AF6261" w:rsidRDefault="00FC3D13">
      <w:pPr>
        <w:rPr>
          <w:rFonts w:cstheme="minorHAnsi"/>
          <w:sz w:val="18"/>
          <w:szCs w:val="18"/>
          <w:lang w:val="en-US"/>
        </w:rPr>
      </w:pPr>
    </w:p>
    <w:p w14:paraId="28293BBD" w14:textId="50E58120" w:rsidR="00FC3D13" w:rsidRPr="00AF6261" w:rsidRDefault="00FC3D13">
      <w:pPr>
        <w:rPr>
          <w:rFonts w:cstheme="minorHAnsi"/>
          <w:sz w:val="18"/>
          <w:szCs w:val="18"/>
          <w:lang w:val="en-US"/>
        </w:rPr>
      </w:pPr>
    </w:p>
    <w:p w14:paraId="7F179887" w14:textId="144EF3CF" w:rsidR="007F3FC3" w:rsidRPr="00AF6261" w:rsidRDefault="00FC3D13" w:rsidP="007F3FC3">
      <w:pPr>
        <w:widowControl w:val="0"/>
        <w:autoSpaceDE w:val="0"/>
        <w:autoSpaceDN w:val="0"/>
        <w:adjustRightInd w:val="0"/>
        <w:spacing w:line="240" w:lineRule="auto"/>
        <w:ind w:left="640" w:hanging="640"/>
        <w:rPr>
          <w:rFonts w:ascii="Calibri" w:hAnsi="Calibri" w:cs="Calibri"/>
          <w:noProof/>
          <w:sz w:val="18"/>
          <w:szCs w:val="24"/>
          <w:lang w:val="en-US"/>
        </w:rPr>
      </w:pPr>
      <w:r>
        <w:rPr>
          <w:rFonts w:cstheme="minorHAnsi"/>
          <w:sz w:val="18"/>
          <w:szCs w:val="18"/>
        </w:rPr>
        <w:fldChar w:fldCharType="begin" w:fldLock="1"/>
      </w:r>
      <w:r w:rsidRPr="00AF6261">
        <w:rPr>
          <w:rFonts w:cstheme="minorHAnsi"/>
          <w:sz w:val="18"/>
          <w:szCs w:val="18"/>
          <w:lang w:val="en-US"/>
        </w:rPr>
        <w:instrText xml:space="preserve">ADDIN Mendeley Bibliography CSL_BIBLIOGRAPHY </w:instrText>
      </w:r>
      <w:r>
        <w:rPr>
          <w:rFonts w:cstheme="minorHAnsi"/>
          <w:sz w:val="18"/>
          <w:szCs w:val="18"/>
        </w:rPr>
        <w:fldChar w:fldCharType="separate"/>
      </w:r>
      <w:r w:rsidR="007F3FC3" w:rsidRPr="00AF6261">
        <w:rPr>
          <w:rFonts w:ascii="Calibri" w:hAnsi="Calibri" w:cs="Calibri"/>
          <w:noProof/>
          <w:sz w:val="18"/>
          <w:szCs w:val="24"/>
          <w:lang w:val="en-US"/>
        </w:rPr>
        <w:t xml:space="preserve">1. </w:t>
      </w:r>
      <w:r w:rsidR="007F3FC3" w:rsidRPr="00AF6261">
        <w:rPr>
          <w:rFonts w:ascii="Calibri" w:hAnsi="Calibri" w:cs="Calibri"/>
          <w:noProof/>
          <w:sz w:val="18"/>
          <w:szCs w:val="24"/>
          <w:lang w:val="en-US"/>
        </w:rPr>
        <w:tab/>
        <w:t xml:space="preserve">Shehata AM, Salem FMS, El-Saied EM, Abd El-Rahman SS, Mahmoud MY, Noshy PA. Zinc nanoparticles ameliorate the reproductive toxicity induced by silver nanoparticles in male rats. Int J Nanomedicine. 2021;16:2555–68. </w:t>
      </w:r>
    </w:p>
    <w:p w14:paraId="47436DB3"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2. </w:t>
      </w:r>
      <w:r w:rsidRPr="00AF6261">
        <w:rPr>
          <w:rFonts w:ascii="Calibri" w:hAnsi="Calibri" w:cs="Calibri"/>
          <w:noProof/>
          <w:sz w:val="18"/>
          <w:szCs w:val="24"/>
          <w:lang w:val="en-US"/>
        </w:rPr>
        <w:tab/>
        <w:t xml:space="preserve">Arslan NP, Keles ON, Gonul-Baltaci N. Effect of Titanium Dioxide and Silver Nanoparticles on Mitochondrial Dynamics in Mouse Testis Tissue. Biol Trace Elem Res. 2021;(0123456789). </w:t>
      </w:r>
    </w:p>
    <w:p w14:paraId="00D45335"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3. </w:t>
      </w:r>
      <w:r w:rsidRPr="00AF6261">
        <w:rPr>
          <w:rFonts w:ascii="Calibri" w:hAnsi="Calibri" w:cs="Calibri"/>
          <w:noProof/>
          <w:sz w:val="18"/>
          <w:szCs w:val="24"/>
          <w:lang w:val="en-US"/>
        </w:rPr>
        <w:tab/>
        <w:t>Abu-Taweel GM, Albetran HM, Al-Mutary MG, Ahmad M, Low IM. Alleviation of silver nanoparticle-induced sexual behavior and testicular parameters dysfunction in male mice by yttrium oxide nanoparticles. Toxicol Reports [Internet]. 2021;8:1121–30. Available from: https://doi.org/10.1016/j.toxrep.2021.05.014</w:t>
      </w:r>
    </w:p>
    <w:p w14:paraId="6C88D04C"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4. </w:t>
      </w:r>
      <w:r w:rsidRPr="00AF6261">
        <w:rPr>
          <w:rFonts w:ascii="Calibri" w:hAnsi="Calibri" w:cs="Calibri"/>
          <w:noProof/>
          <w:sz w:val="18"/>
          <w:szCs w:val="24"/>
          <w:lang w:val="en-US"/>
        </w:rPr>
        <w:tab/>
        <w:t xml:space="preserve">Wang E, Huang Y, Du Q, Sun Y. Alterations in reproductive parameters and gene expression in Balb/c mice testes after exposure to silver nanoparticles. Andrologia. 2021;53(1):1–9. </w:t>
      </w:r>
    </w:p>
    <w:p w14:paraId="57ABEEB7"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5. </w:t>
      </w:r>
      <w:r w:rsidRPr="00AF6261">
        <w:rPr>
          <w:rFonts w:ascii="Calibri" w:hAnsi="Calibri" w:cs="Calibri"/>
          <w:noProof/>
          <w:sz w:val="18"/>
          <w:szCs w:val="24"/>
          <w:lang w:val="en-US"/>
        </w:rPr>
        <w:tab/>
        <w:t xml:space="preserve">Shariatzadeh SMA, Miri SA, Cheraghi E. The protective effect of Kombucha against silver nanoparticles-induced toxicity on testicular tissue in NMRI mice. Andrologia. 2021;53(3):1–10. </w:t>
      </w:r>
    </w:p>
    <w:p w14:paraId="79F1D8A4"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6. </w:t>
      </w:r>
      <w:r w:rsidRPr="00AF6261">
        <w:rPr>
          <w:rFonts w:ascii="Calibri" w:hAnsi="Calibri" w:cs="Calibri"/>
          <w:noProof/>
          <w:sz w:val="18"/>
          <w:szCs w:val="24"/>
          <w:lang w:val="en-US"/>
        </w:rPr>
        <w:tab/>
        <w:t xml:space="preserve">Bidian C, Filip GA, David L, Florea A, Moldovan B, Robu DP, et al. The impact of silver nanoparticles phytosynthesized with Viburnum opulus L. extract on the ultrastrastructure and cell death in the testis of offspring rats. Food Chem Toxicol. 2021;150(February). </w:t>
      </w:r>
    </w:p>
    <w:p w14:paraId="4E10F693"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7. </w:t>
      </w:r>
      <w:r w:rsidRPr="00AF6261">
        <w:rPr>
          <w:rFonts w:ascii="Calibri" w:hAnsi="Calibri" w:cs="Calibri"/>
          <w:noProof/>
          <w:sz w:val="18"/>
          <w:szCs w:val="24"/>
          <w:lang w:val="en-US"/>
        </w:rPr>
        <w:tab/>
        <w:t xml:space="preserve">Collodel G, Simona M, Moretti E, Cerretani D, Lucia M, Anna Ida F, et al. Oxidative and/or Inflammatory Thrust Induced by Silver Nanoparticles in Rabbits: Effect of Vitamin E or NSAID Administration on Semen Parameters. Mediators Inflamm. 2020;2020. </w:t>
      </w:r>
    </w:p>
    <w:p w14:paraId="7BD04DED"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8. </w:t>
      </w:r>
      <w:r w:rsidRPr="00AF6261">
        <w:rPr>
          <w:rFonts w:ascii="Calibri" w:hAnsi="Calibri" w:cs="Calibri"/>
          <w:noProof/>
          <w:sz w:val="18"/>
          <w:szCs w:val="24"/>
          <w:lang w:val="en-US"/>
        </w:rPr>
        <w:tab/>
        <w:t>Olugbodi JO, David O, Oketa EN, Lawal B, Okoli BJ, Mtunzi F. Silver nanoparticles stimulates spermatogenesis impairments and hematological alterations in testis and epididymis of Male rats. Molecules [Internet]. 2020 Feb 27 [cited 2021 Jun 29];25(5). Available from: https://pubmed.ncbi.nlm.nih.gov/32120976/</w:t>
      </w:r>
    </w:p>
    <w:p w14:paraId="014A65DA"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9. </w:t>
      </w:r>
      <w:r w:rsidRPr="00AF6261">
        <w:rPr>
          <w:rFonts w:ascii="Calibri" w:hAnsi="Calibri" w:cs="Calibri"/>
          <w:noProof/>
          <w:sz w:val="18"/>
          <w:szCs w:val="24"/>
          <w:lang w:val="en-US"/>
        </w:rPr>
        <w:tab/>
        <w:t xml:space="preserve">Al-Doaiss AA, Jarrar Q, Alshehri M, Jarrar B. In vivo study of silver nanomaterials’ toxicity with respect to size. Toxicol Ind Health. 2020;36(8):540–57. </w:t>
      </w:r>
    </w:p>
    <w:p w14:paraId="1E320D47"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10. </w:t>
      </w:r>
      <w:r w:rsidRPr="00AF6261">
        <w:rPr>
          <w:rFonts w:ascii="Calibri" w:hAnsi="Calibri" w:cs="Calibri"/>
          <w:noProof/>
          <w:sz w:val="18"/>
          <w:szCs w:val="24"/>
          <w:lang w:val="en-US"/>
        </w:rPr>
        <w:tab/>
        <w:t>de Brito JLM, Lima VN de, Ansa DO, Moya SE, Morais PC, Azevedo RB de, et al. Acute reproductive toxicology after intratesticular injection of silver nanoparticles (AgNPs) in Wistar rats. Nanotoxicology [Internet]. 2020;14(7):893–907. Available from: https://doi.org/10.1080/17435390.2020.1774812</w:t>
      </w:r>
    </w:p>
    <w:p w14:paraId="01340F4D" w14:textId="77777777" w:rsidR="007F3FC3" w:rsidRPr="007F3FC3" w:rsidRDefault="007F3FC3" w:rsidP="007F3FC3">
      <w:pPr>
        <w:widowControl w:val="0"/>
        <w:autoSpaceDE w:val="0"/>
        <w:autoSpaceDN w:val="0"/>
        <w:adjustRightInd w:val="0"/>
        <w:spacing w:line="240" w:lineRule="auto"/>
        <w:ind w:left="640" w:hanging="640"/>
        <w:rPr>
          <w:rFonts w:ascii="Calibri" w:hAnsi="Calibri" w:cs="Calibri"/>
          <w:noProof/>
          <w:sz w:val="18"/>
          <w:szCs w:val="24"/>
        </w:rPr>
      </w:pPr>
      <w:r w:rsidRPr="00AF6261">
        <w:rPr>
          <w:rFonts w:ascii="Calibri" w:hAnsi="Calibri" w:cs="Calibri"/>
          <w:noProof/>
          <w:sz w:val="18"/>
          <w:szCs w:val="24"/>
          <w:lang w:val="en-US"/>
        </w:rPr>
        <w:t xml:space="preserve">11. </w:t>
      </w:r>
      <w:r w:rsidRPr="00AF6261">
        <w:rPr>
          <w:rFonts w:ascii="Calibri" w:hAnsi="Calibri" w:cs="Calibri"/>
          <w:noProof/>
          <w:sz w:val="18"/>
          <w:szCs w:val="24"/>
          <w:lang w:val="en-US"/>
        </w:rPr>
        <w:tab/>
        <w:t xml:space="preserve">Altwaijry N, El-Masry TA, Alotaibi B, Tousson E, Saleh A. Therapeutic effects of rocket seeds (Eruca sativa L.) against testicular toxicity and oxidative stress caused by silver nanoparticles injection in rats. </w:t>
      </w:r>
      <w:r w:rsidRPr="007F3FC3">
        <w:rPr>
          <w:rFonts w:ascii="Calibri" w:hAnsi="Calibri" w:cs="Calibri"/>
          <w:noProof/>
          <w:sz w:val="18"/>
          <w:szCs w:val="24"/>
        </w:rPr>
        <w:t xml:space="preserve">Environ Toxicol. 2020;35(9):952–60. </w:t>
      </w:r>
    </w:p>
    <w:p w14:paraId="453BA5EC"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7F3FC3">
        <w:rPr>
          <w:rFonts w:ascii="Calibri" w:hAnsi="Calibri" w:cs="Calibri"/>
          <w:noProof/>
          <w:sz w:val="18"/>
          <w:szCs w:val="24"/>
        </w:rPr>
        <w:t xml:space="preserve">12. </w:t>
      </w:r>
      <w:r w:rsidRPr="007F3FC3">
        <w:rPr>
          <w:rFonts w:ascii="Calibri" w:hAnsi="Calibri" w:cs="Calibri"/>
          <w:noProof/>
          <w:sz w:val="18"/>
          <w:szCs w:val="24"/>
        </w:rPr>
        <w:tab/>
        <w:t xml:space="preserve">Pourali P, Nouri M, Ameri F, Heidari T, Kheirkhahan N, Arabzadeh S, et al. </w:t>
      </w:r>
      <w:r w:rsidRPr="00AF6261">
        <w:rPr>
          <w:rFonts w:ascii="Calibri" w:hAnsi="Calibri" w:cs="Calibri"/>
          <w:noProof/>
          <w:sz w:val="18"/>
          <w:szCs w:val="24"/>
          <w:lang w:val="en-US"/>
        </w:rPr>
        <w:t xml:space="preserve">Histopathological study of the maternal exposure to the biologically produced silver nanoparticles on different organs of the offspring. Naunyn Schmiedebergs Arch Pharmacol. 2020;393(5):867–78. </w:t>
      </w:r>
    </w:p>
    <w:p w14:paraId="1C591FA0" w14:textId="77777777" w:rsidR="007F3FC3" w:rsidRPr="007F3FC3" w:rsidRDefault="007F3FC3" w:rsidP="007F3FC3">
      <w:pPr>
        <w:widowControl w:val="0"/>
        <w:autoSpaceDE w:val="0"/>
        <w:autoSpaceDN w:val="0"/>
        <w:adjustRightInd w:val="0"/>
        <w:spacing w:line="240" w:lineRule="auto"/>
        <w:ind w:left="640" w:hanging="640"/>
        <w:rPr>
          <w:rFonts w:ascii="Calibri" w:hAnsi="Calibri" w:cs="Calibri"/>
          <w:noProof/>
          <w:sz w:val="18"/>
          <w:szCs w:val="24"/>
        </w:rPr>
      </w:pPr>
      <w:r w:rsidRPr="00AF6261">
        <w:rPr>
          <w:rFonts w:ascii="Calibri" w:hAnsi="Calibri" w:cs="Calibri"/>
          <w:noProof/>
          <w:sz w:val="18"/>
          <w:szCs w:val="24"/>
          <w:lang w:val="en-US"/>
        </w:rPr>
        <w:t xml:space="preserve">13. </w:t>
      </w:r>
      <w:r w:rsidRPr="00AF6261">
        <w:rPr>
          <w:rFonts w:ascii="Calibri" w:hAnsi="Calibri" w:cs="Calibri"/>
          <w:noProof/>
          <w:sz w:val="18"/>
          <w:szCs w:val="24"/>
          <w:lang w:val="en-US"/>
        </w:rPr>
        <w:tab/>
        <w:t xml:space="preserve">Arisha AH, Ahmed MM, Kamel MA, Attia YA, Hussein MMA. Morin ameliorates the testicular apoptosis, oxidative stress, and impact on blood–testis barrier induced by photo-extracellularly synthesized silver nanoparticles. </w:t>
      </w:r>
      <w:r w:rsidRPr="007F3FC3">
        <w:rPr>
          <w:rFonts w:ascii="Calibri" w:hAnsi="Calibri" w:cs="Calibri"/>
          <w:noProof/>
          <w:sz w:val="18"/>
          <w:szCs w:val="24"/>
        </w:rPr>
        <w:t xml:space="preserve">Environ Sci Pollut Res. 2019;26(28):28749–62. </w:t>
      </w:r>
    </w:p>
    <w:p w14:paraId="221EEC08"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7F3FC3">
        <w:rPr>
          <w:rFonts w:ascii="Calibri" w:hAnsi="Calibri" w:cs="Calibri"/>
          <w:noProof/>
          <w:sz w:val="18"/>
          <w:szCs w:val="24"/>
        </w:rPr>
        <w:t xml:space="preserve">14. </w:t>
      </w:r>
      <w:r w:rsidRPr="007F3FC3">
        <w:rPr>
          <w:rFonts w:ascii="Calibri" w:hAnsi="Calibri" w:cs="Calibri"/>
          <w:noProof/>
          <w:sz w:val="18"/>
          <w:szCs w:val="24"/>
        </w:rPr>
        <w:tab/>
        <w:t xml:space="preserve">Fathi N, Hoseinipanah SM, Alizadeh Z, Assari MJ, Moghimbeigi A, Mortazavi M, et al. </w:t>
      </w:r>
      <w:r w:rsidRPr="00AF6261">
        <w:rPr>
          <w:rFonts w:ascii="Calibri" w:hAnsi="Calibri" w:cs="Calibri"/>
          <w:noProof/>
          <w:sz w:val="18"/>
          <w:szCs w:val="24"/>
          <w:lang w:val="en-US"/>
        </w:rPr>
        <w:t xml:space="preserve">The effect of silver nanoparticles on the reproductive system of adult male rats: A morphological, histological and DNA integrity study. Adv Clin Exp Med. 2019;28(3):299–305. </w:t>
      </w:r>
    </w:p>
    <w:p w14:paraId="1751BD82"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15. </w:t>
      </w:r>
      <w:r w:rsidRPr="00AF6261">
        <w:rPr>
          <w:rFonts w:ascii="Calibri" w:hAnsi="Calibri" w:cs="Calibri"/>
          <w:noProof/>
          <w:sz w:val="18"/>
          <w:szCs w:val="24"/>
          <w:lang w:val="en-US"/>
        </w:rPr>
        <w:tab/>
        <w:t>Elsharkawy EE, Abd El-Nasser M, Kamaly HF. Silver nanoparticles testicular toxicity in rat. Environ Toxicol Pharmacol [Internet]. 2019 Aug 1 [cited 2021 Jun 29];70. Available from: https://pubmed.ncbi.nlm.nih.gov/31255771/</w:t>
      </w:r>
    </w:p>
    <w:p w14:paraId="35DFEC75"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16. </w:t>
      </w:r>
      <w:r w:rsidRPr="00AF6261">
        <w:rPr>
          <w:rFonts w:ascii="Calibri" w:hAnsi="Calibri" w:cs="Calibri"/>
          <w:noProof/>
          <w:sz w:val="18"/>
          <w:szCs w:val="24"/>
          <w:lang w:val="en-US"/>
        </w:rPr>
        <w:tab/>
        <w:t xml:space="preserve">Lopes IMD, De Oliveira IM, Bargi-Souza P, Cavallin MD, Kolc CSMH, Khalil NM, et al. Effects of Silver Nanoparticle Exposure to the Testicular Antioxidant System during the Prepubertal Rat Stage. Chem Res Toxicol. 2019;32(6):986–94. </w:t>
      </w:r>
    </w:p>
    <w:p w14:paraId="6A7F223D"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lastRenderedPageBreak/>
        <w:t xml:space="preserve">17. </w:t>
      </w:r>
      <w:r w:rsidRPr="00AF6261">
        <w:rPr>
          <w:rFonts w:ascii="Calibri" w:hAnsi="Calibri" w:cs="Calibri"/>
          <w:noProof/>
          <w:sz w:val="18"/>
          <w:szCs w:val="24"/>
          <w:lang w:val="en-US"/>
        </w:rPr>
        <w:tab/>
        <w:t>Cavallin MD, Wilk R, Oliveira IM, Cardoso NCS, Khalil NM, Oliveira CA, et al. The hypothalamic-pituitary-testicular axis and the testicular function are modulated after silver nanoparticle exposure. Toxicol Res (Camb) [Internet]. 2018;7(1):102–16. Available from: http://dx.doi.org/10.1039/c7tx00236j</w:t>
      </w:r>
    </w:p>
    <w:p w14:paraId="2A5160EB"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18. </w:t>
      </w:r>
      <w:r w:rsidRPr="00AF6261">
        <w:rPr>
          <w:rFonts w:ascii="Calibri" w:hAnsi="Calibri" w:cs="Calibri"/>
          <w:noProof/>
          <w:sz w:val="18"/>
          <w:szCs w:val="24"/>
          <w:lang w:val="en-US"/>
        </w:rPr>
        <w:tab/>
        <w:t xml:space="preserve">Moradi-Sardareh H, Basir HRG, Hassan ZM, Davoudi M, Amidi F, Paknejad M. Toxicity of silver nanoparticles on different tissues of Balb/C mice. Life Sci. 2018 Oct 15;211:81–90. </w:t>
      </w:r>
    </w:p>
    <w:p w14:paraId="0EFFDA49"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19. </w:t>
      </w:r>
      <w:r w:rsidRPr="00AF6261">
        <w:rPr>
          <w:rFonts w:ascii="Calibri" w:hAnsi="Calibri" w:cs="Calibri"/>
          <w:noProof/>
          <w:sz w:val="18"/>
          <w:szCs w:val="24"/>
          <w:lang w:val="en-US"/>
        </w:rPr>
        <w:tab/>
        <w:t xml:space="preserve">Ahmed SM, Abdelrahman SA, Shalaby SM. Evaluating the effect of silver nanoparticles on testes of adult albino rats (histological, immunohistochemical and biochemical study). J Mol Histol. 2017;48(1):9–27. </w:t>
      </w:r>
    </w:p>
    <w:p w14:paraId="0865DDDE"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20. </w:t>
      </w:r>
      <w:r w:rsidRPr="00AF6261">
        <w:rPr>
          <w:rFonts w:ascii="Calibri" w:hAnsi="Calibri" w:cs="Calibri"/>
          <w:noProof/>
          <w:sz w:val="18"/>
          <w:szCs w:val="24"/>
          <w:lang w:val="en-US"/>
        </w:rPr>
        <w:tab/>
        <w:t>Almansour M, Jarrar Q, Battah A, Jarrar B. Histomorphometric Alterations Induced in the Testicular Tissues by Variable Sizes of Silver Nanoparticles - PubMed [Internet]. J Reprod Med . 2017 [cited 2021 Jun 30]. Available from: https://pubmed.ncbi.nlm.nih.gov/30027728/</w:t>
      </w:r>
    </w:p>
    <w:p w14:paraId="46FD3BBB"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21. </w:t>
      </w:r>
      <w:r w:rsidRPr="00AF6261">
        <w:rPr>
          <w:rFonts w:ascii="Calibri" w:hAnsi="Calibri" w:cs="Calibri"/>
          <w:noProof/>
          <w:sz w:val="18"/>
          <w:szCs w:val="24"/>
          <w:lang w:val="en-US"/>
        </w:rPr>
        <w:tab/>
        <w:t xml:space="preserve">Mohamed HRH. Studies on the Genotoxicity Behavior of Silver Nanoparticles in the Presence of Heavy Metal Cadmium Chloride in Mice. J Nanomater. 2016;2016. </w:t>
      </w:r>
    </w:p>
    <w:p w14:paraId="7BE9439B"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22. </w:t>
      </w:r>
      <w:r w:rsidRPr="00AF6261">
        <w:rPr>
          <w:rFonts w:ascii="Calibri" w:hAnsi="Calibri" w:cs="Calibri"/>
          <w:noProof/>
          <w:sz w:val="18"/>
          <w:szCs w:val="24"/>
          <w:lang w:val="en-US"/>
        </w:rPr>
        <w:tab/>
        <w:t xml:space="preserve">Dziendzikowska K, Krawczyńska A, Oczkowski M, Królikowski T, Brzóska K, Lankoff A, et al. Progressive effects of silver nanoparticles on hormonal regulation of reproduction in male rats. Toxicol Appl Pharmacol. 2016;313:35–46. </w:t>
      </w:r>
    </w:p>
    <w:p w14:paraId="3ED386DF"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23. </w:t>
      </w:r>
      <w:r w:rsidRPr="00AF6261">
        <w:rPr>
          <w:rFonts w:ascii="Calibri" w:hAnsi="Calibri" w:cs="Calibri"/>
          <w:noProof/>
          <w:sz w:val="18"/>
          <w:szCs w:val="24"/>
          <w:lang w:val="en-US"/>
        </w:rPr>
        <w:tab/>
        <w:t xml:space="preserve">Gromadzka-Ostrowska J, Dziendzikowska K, Lankoff A, Dobrzyńska M, Instanes C, Brunborg G, et al. Silver nanoparticles effects on epididymal sperm in rats. Toxicol Lett. 2012;214(3):251–8. </w:t>
      </w:r>
    </w:p>
    <w:p w14:paraId="53E9F2B3" w14:textId="77777777" w:rsidR="007F3FC3" w:rsidRPr="007F3FC3" w:rsidRDefault="007F3FC3" w:rsidP="007F3FC3">
      <w:pPr>
        <w:widowControl w:val="0"/>
        <w:autoSpaceDE w:val="0"/>
        <w:autoSpaceDN w:val="0"/>
        <w:adjustRightInd w:val="0"/>
        <w:spacing w:line="240" w:lineRule="auto"/>
        <w:ind w:left="640" w:hanging="640"/>
        <w:rPr>
          <w:rFonts w:ascii="Calibri" w:hAnsi="Calibri" w:cs="Calibri"/>
          <w:noProof/>
          <w:sz w:val="18"/>
          <w:szCs w:val="24"/>
        </w:rPr>
      </w:pPr>
      <w:r w:rsidRPr="00AF6261">
        <w:rPr>
          <w:rFonts w:ascii="Calibri" w:hAnsi="Calibri" w:cs="Calibri"/>
          <w:noProof/>
          <w:sz w:val="18"/>
          <w:szCs w:val="24"/>
          <w:lang w:val="en-US"/>
        </w:rPr>
        <w:t xml:space="preserve">24. </w:t>
      </w:r>
      <w:r w:rsidRPr="00AF6261">
        <w:rPr>
          <w:rFonts w:ascii="Calibri" w:hAnsi="Calibri" w:cs="Calibri"/>
          <w:noProof/>
          <w:sz w:val="18"/>
          <w:szCs w:val="24"/>
          <w:lang w:val="en-US"/>
        </w:rPr>
        <w:tab/>
        <w:t xml:space="preserve">Han JW, Jeong JK, Gurunathan S, Choi YJ, Das J, Kwon DN, et al. Male- and female-derived somatic and germ cell-specific toxicity of silver nanoparticles in mouse. </w:t>
      </w:r>
      <w:r w:rsidRPr="007F3FC3">
        <w:rPr>
          <w:rFonts w:ascii="Calibri" w:hAnsi="Calibri" w:cs="Calibri"/>
          <w:noProof/>
          <w:sz w:val="18"/>
          <w:szCs w:val="24"/>
        </w:rPr>
        <w:t xml:space="preserve">Nanotoxicology. 2016;10(3):361–73. </w:t>
      </w:r>
    </w:p>
    <w:p w14:paraId="5110A720"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7F3FC3">
        <w:rPr>
          <w:rFonts w:ascii="Calibri" w:hAnsi="Calibri" w:cs="Calibri"/>
          <w:noProof/>
          <w:sz w:val="18"/>
          <w:szCs w:val="24"/>
        </w:rPr>
        <w:t xml:space="preserve">25. </w:t>
      </w:r>
      <w:r w:rsidRPr="007F3FC3">
        <w:rPr>
          <w:rFonts w:ascii="Calibri" w:hAnsi="Calibri" w:cs="Calibri"/>
          <w:noProof/>
          <w:sz w:val="18"/>
          <w:szCs w:val="24"/>
        </w:rPr>
        <w:tab/>
        <w:t xml:space="preserve">Lafuente D, Garcia T, Blanco J, Sánchez DJ, Sirvent JJ, Domingo JL, et al. </w:t>
      </w:r>
      <w:r w:rsidRPr="00AF6261">
        <w:rPr>
          <w:rFonts w:ascii="Calibri" w:hAnsi="Calibri" w:cs="Calibri"/>
          <w:noProof/>
          <w:sz w:val="18"/>
          <w:szCs w:val="24"/>
          <w:lang w:val="en-US"/>
        </w:rPr>
        <w:t>Effects of oral exposure to silver nanoparticles on the sperm of rats. Reprod Toxicol [Internet]. 2016;60:133–9. Available from: http://dx.doi.org/10.1016/j.reprotox.2016.02.007</w:t>
      </w:r>
    </w:p>
    <w:p w14:paraId="06E85843"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26. </w:t>
      </w:r>
      <w:r w:rsidRPr="00AF6261">
        <w:rPr>
          <w:rFonts w:ascii="Calibri" w:hAnsi="Calibri" w:cs="Calibri"/>
          <w:noProof/>
          <w:sz w:val="18"/>
          <w:szCs w:val="24"/>
          <w:lang w:val="en-US"/>
        </w:rPr>
        <w:tab/>
        <w:t>Mathias FT, Romano RM, Kizys MML, Kasamatsu T, Giannocco G, Chiamolera MI, et al. Daily exposure to silver nanoparticles during prepubertal development decreases adult sperm and reproductive parameters. Nanotoxicology [Internet]. 2015 Feb 1 [cited 2021 Jun 29];9(1):64–70. Available from: https://pubmed.ncbi.nlm.nih.gov/24533579/</w:t>
      </w:r>
    </w:p>
    <w:p w14:paraId="1A8EA974" w14:textId="77777777" w:rsidR="007F3FC3" w:rsidRPr="007F3FC3" w:rsidRDefault="007F3FC3" w:rsidP="007F3FC3">
      <w:pPr>
        <w:widowControl w:val="0"/>
        <w:autoSpaceDE w:val="0"/>
        <w:autoSpaceDN w:val="0"/>
        <w:adjustRightInd w:val="0"/>
        <w:spacing w:line="240" w:lineRule="auto"/>
        <w:ind w:left="640" w:hanging="640"/>
        <w:rPr>
          <w:rFonts w:ascii="Calibri" w:hAnsi="Calibri" w:cs="Calibri"/>
          <w:noProof/>
          <w:sz w:val="18"/>
          <w:szCs w:val="24"/>
        </w:rPr>
      </w:pPr>
      <w:r w:rsidRPr="00AF6261">
        <w:rPr>
          <w:rFonts w:ascii="Calibri" w:hAnsi="Calibri" w:cs="Calibri"/>
          <w:noProof/>
          <w:sz w:val="18"/>
          <w:szCs w:val="24"/>
          <w:lang w:val="en-US"/>
        </w:rPr>
        <w:t xml:space="preserve">27. </w:t>
      </w:r>
      <w:r w:rsidRPr="00AF6261">
        <w:rPr>
          <w:rFonts w:ascii="Calibri" w:hAnsi="Calibri" w:cs="Calibri"/>
          <w:noProof/>
          <w:sz w:val="18"/>
          <w:szCs w:val="24"/>
          <w:lang w:val="en-US"/>
        </w:rPr>
        <w:tab/>
        <w:t xml:space="preserve">Rezazadeh-Reyhani Z, Razi M, Malekinejad H, Sadrkhanlou R. Cytotoxic effect of nanosilver particles on testicular tissue: Evidence for biochemical stress and Hsp70-2 protein expression. </w:t>
      </w:r>
      <w:r w:rsidRPr="007F3FC3">
        <w:rPr>
          <w:rFonts w:ascii="Calibri" w:hAnsi="Calibri" w:cs="Calibri"/>
          <w:noProof/>
          <w:sz w:val="18"/>
          <w:szCs w:val="24"/>
        </w:rPr>
        <w:t>Environ Toxicol Pharmacol [Internet]. 2015;40(2):626–38. Available from: http://dx.doi.org/10.1016/j.etap.2015.08.024</w:t>
      </w:r>
    </w:p>
    <w:p w14:paraId="6E0799EF"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28. </w:t>
      </w:r>
      <w:r w:rsidRPr="00AF6261">
        <w:rPr>
          <w:rFonts w:ascii="Calibri" w:hAnsi="Calibri" w:cs="Calibri"/>
          <w:noProof/>
          <w:sz w:val="18"/>
          <w:szCs w:val="24"/>
          <w:lang w:val="en-US"/>
        </w:rPr>
        <w:tab/>
        <w:t>Asare N, Duale N, Slagsvold HH, Lindeman B, Olsen AK, Gromadzka-Ostrowska J, et al. Genotoxicity and gene expression modulation of silver and titanium dioxide nanoparticles in mice. Nanotoxicology [Internet]. 2016 [cited 2021 Jun 29];10(3):312–21. Available from: https://www.tandfonline.com/action/journalInformation?journalCode=inan20http://informahealthcare.com/</w:t>
      </w:r>
    </w:p>
    <w:p w14:paraId="34A95B03"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29. </w:t>
      </w:r>
      <w:r w:rsidRPr="00AF6261">
        <w:rPr>
          <w:rFonts w:ascii="Calibri" w:hAnsi="Calibri" w:cs="Calibri"/>
          <w:noProof/>
          <w:sz w:val="18"/>
          <w:szCs w:val="24"/>
          <w:lang w:val="en-US"/>
        </w:rPr>
        <w:tab/>
        <w:t xml:space="preserve">Zhang X-F, Gurunathan S, Kim JH. Effects of silver nanoparticles on neonatal testis development in mice. Int J Nanomedicine. 2015;10:6243–56. </w:t>
      </w:r>
    </w:p>
    <w:p w14:paraId="60155F39"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30. </w:t>
      </w:r>
      <w:r w:rsidRPr="00AF6261">
        <w:rPr>
          <w:rFonts w:ascii="Calibri" w:hAnsi="Calibri" w:cs="Calibri"/>
          <w:noProof/>
          <w:sz w:val="18"/>
          <w:szCs w:val="24"/>
          <w:lang w:val="en-US"/>
        </w:rPr>
        <w:tab/>
        <w:t xml:space="preserve">Garcia TX, Costa GMJ, França LR, Hofmann MC. Sub-acute intravenous administration of silver nanoparticles in male mice alters Leydig cell function and testosterone levels. Reprod Toxicol. 2014;45:59–70. </w:t>
      </w:r>
    </w:p>
    <w:p w14:paraId="2EF30572"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31. </w:t>
      </w:r>
      <w:r w:rsidRPr="00AF6261">
        <w:rPr>
          <w:rFonts w:ascii="Calibri" w:hAnsi="Calibri" w:cs="Calibri"/>
          <w:noProof/>
          <w:sz w:val="18"/>
          <w:szCs w:val="24"/>
          <w:lang w:val="en-US"/>
        </w:rPr>
        <w:tab/>
        <w:t xml:space="preserve">Thakur M, Gupta H, Singh D, Mohanty IR, Maheswari U, Vanage G, et al. Histopathological and ultra structural effects of nanoparticles on rat testis following 90 days (Chronic study) of repeated oral administration. J Nanobiotechnology. 2014;12(1):1–13. </w:t>
      </w:r>
    </w:p>
    <w:p w14:paraId="3C24A3EE"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32. </w:t>
      </w:r>
      <w:r w:rsidRPr="00AF6261">
        <w:rPr>
          <w:rFonts w:ascii="Calibri" w:hAnsi="Calibri" w:cs="Calibri"/>
          <w:noProof/>
          <w:sz w:val="18"/>
          <w:szCs w:val="24"/>
          <w:lang w:val="en-US"/>
        </w:rPr>
        <w:tab/>
        <w:t xml:space="preserve">Baki ME, Miresmaili SM, Pourentezari M, Amraii E, Yousefi V, Spenani HR, et al. Effects of silver nano-particles on sperm parameters, number of Leydig cells and sex hormones in rats. Iran J Reprod Med. 2014;12(2):139–44. </w:t>
      </w:r>
    </w:p>
    <w:p w14:paraId="64B1C02B"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lastRenderedPageBreak/>
        <w:t xml:space="preserve">33. </w:t>
      </w:r>
      <w:r w:rsidRPr="00AF6261">
        <w:rPr>
          <w:rFonts w:ascii="Calibri" w:hAnsi="Calibri" w:cs="Calibri"/>
          <w:noProof/>
          <w:sz w:val="18"/>
          <w:szCs w:val="24"/>
          <w:lang w:val="en-US"/>
        </w:rPr>
        <w:tab/>
        <w:t xml:space="preserve">Attia AA. Evaluation of the testicular alterations induced by silver nanoparticles in male mice: biochemical, histological and ultrastructural studies. Res J Pharm Biol Chem Sci. 2014;5(4):1558–89. </w:t>
      </w:r>
    </w:p>
    <w:p w14:paraId="1226223E"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34. </w:t>
      </w:r>
      <w:r w:rsidRPr="00AF6261">
        <w:rPr>
          <w:rFonts w:ascii="Calibri" w:hAnsi="Calibri" w:cs="Calibri"/>
          <w:noProof/>
          <w:sz w:val="18"/>
          <w:szCs w:val="24"/>
          <w:lang w:val="en-US"/>
        </w:rPr>
        <w:tab/>
        <w:t>Castellini C, Ruggeri S, Mattioli S, Bernardini G, Macchioni L, Moretti E, et al. Systems Biology in Reproductive Medicine Long-term effects of silver nanoparticles on reproductive activity of rabbit buck Long-term effects of silver nanoparticles on reproductive activity of rabbit buck. Syst Biol Reprod Med [Internet]. 2014 [cited 2021 Jun 29];60(3):143–50. Available from: https://www.tandfonline.com/action/journalInformation?journalCode=iaan20http://informahealthcare.com/aan</w:t>
      </w:r>
    </w:p>
    <w:p w14:paraId="5BFC5839"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35. </w:t>
      </w:r>
      <w:r w:rsidRPr="00AF6261">
        <w:rPr>
          <w:rFonts w:ascii="Calibri" w:hAnsi="Calibri" w:cs="Calibri"/>
          <w:noProof/>
          <w:sz w:val="18"/>
          <w:szCs w:val="24"/>
          <w:lang w:val="en-US"/>
        </w:rPr>
        <w:tab/>
        <w:t xml:space="preserve">Coccini T. Gene Expression Changes in Rat Liver and Testes after Lung Instillation of a Low Dose of Silver Nanoparticles. J Nanomed Nanotechnol. 2014;05(05). </w:t>
      </w:r>
    </w:p>
    <w:p w14:paraId="7AD16948" w14:textId="77777777" w:rsidR="007F3FC3" w:rsidRPr="007F3FC3" w:rsidRDefault="007F3FC3" w:rsidP="007F3FC3">
      <w:pPr>
        <w:widowControl w:val="0"/>
        <w:autoSpaceDE w:val="0"/>
        <w:autoSpaceDN w:val="0"/>
        <w:adjustRightInd w:val="0"/>
        <w:spacing w:line="240" w:lineRule="auto"/>
        <w:ind w:left="640" w:hanging="640"/>
        <w:rPr>
          <w:rFonts w:ascii="Calibri" w:hAnsi="Calibri" w:cs="Calibri"/>
          <w:noProof/>
          <w:sz w:val="18"/>
          <w:szCs w:val="24"/>
        </w:rPr>
      </w:pPr>
      <w:r w:rsidRPr="00AF6261">
        <w:rPr>
          <w:rFonts w:ascii="Calibri" w:hAnsi="Calibri" w:cs="Calibri"/>
          <w:noProof/>
          <w:sz w:val="18"/>
          <w:szCs w:val="24"/>
          <w:lang w:val="en-US"/>
        </w:rPr>
        <w:t xml:space="preserve">36. </w:t>
      </w:r>
      <w:r w:rsidRPr="00AF6261">
        <w:rPr>
          <w:rFonts w:ascii="Calibri" w:hAnsi="Calibri" w:cs="Calibri"/>
          <w:noProof/>
          <w:sz w:val="18"/>
          <w:szCs w:val="24"/>
          <w:lang w:val="en-US"/>
        </w:rPr>
        <w:tab/>
        <w:t xml:space="preserve">Miresmaeili SM, Halvaei I, Fesahat F, Fallah A, Nikonahad N, Taherinejad M. Evaluating the role of silver nanoparticles on acrosomal reaction and spermatogenic cells in rat. </w:t>
      </w:r>
      <w:r w:rsidRPr="007F3FC3">
        <w:rPr>
          <w:rFonts w:ascii="Calibri" w:hAnsi="Calibri" w:cs="Calibri"/>
          <w:noProof/>
          <w:sz w:val="18"/>
          <w:szCs w:val="24"/>
        </w:rPr>
        <w:t xml:space="preserve">Iran J Reprod Med. 2013;11(5):423–30. </w:t>
      </w:r>
    </w:p>
    <w:p w14:paraId="4EC0E28C"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7F3FC3">
        <w:rPr>
          <w:rFonts w:ascii="Calibri" w:hAnsi="Calibri" w:cs="Calibri"/>
          <w:noProof/>
          <w:sz w:val="18"/>
          <w:szCs w:val="24"/>
        </w:rPr>
        <w:t xml:space="preserve">37. </w:t>
      </w:r>
      <w:r w:rsidRPr="007F3FC3">
        <w:rPr>
          <w:rFonts w:ascii="Calibri" w:hAnsi="Calibri" w:cs="Calibri"/>
          <w:noProof/>
          <w:sz w:val="18"/>
          <w:szCs w:val="24"/>
        </w:rPr>
        <w:tab/>
        <w:t xml:space="preserve">Sleiman HK, Romano RM, Oliveira CA De, Romano MA. </w:t>
      </w:r>
      <w:r w:rsidRPr="00AF6261">
        <w:rPr>
          <w:rFonts w:ascii="Calibri" w:hAnsi="Calibri" w:cs="Calibri"/>
          <w:noProof/>
          <w:sz w:val="18"/>
          <w:szCs w:val="24"/>
          <w:lang w:val="en-US"/>
        </w:rPr>
        <w:t xml:space="preserve">Effects of prepubertal exposure to silver nanoparticles on reproductive parameters in adult male wistar rats. J Toxicol Environ Heal - Part A Curr Issues. 2013;76(17):1023–32. </w:t>
      </w:r>
    </w:p>
    <w:p w14:paraId="58BFE435"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38. </w:t>
      </w:r>
      <w:r w:rsidRPr="00AF6261">
        <w:rPr>
          <w:rFonts w:ascii="Calibri" w:hAnsi="Calibri" w:cs="Calibri"/>
          <w:noProof/>
          <w:sz w:val="18"/>
          <w:szCs w:val="24"/>
          <w:lang w:val="en-US"/>
        </w:rPr>
        <w:tab/>
        <w:t>Lee J, Kim Y, Song K, Ryu H, Sung J, Park J, et al. Biopersistence of silver nanoparticles in tissues from Sprague-Dawley rats. Part Fibre Toxicol [Internet]. 2013 Aug 1 [cited 2021 Jul 16];10(1). Available from: https://pubmed.ncbi.nlm.nih.gov/24059869/</w:t>
      </w:r>
    </w:p>
    <w:p w14:paraId="54A2ACCE"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7F3FC3">
        <w:rPr>
          <w:rFonts w:ascii="Calibri" w:hAnsi="Calibri" w:cs="Calibri"/>
          <w:noProof/>
          <w:sz w:val="18"/>
          <w:szCs w:val="24"/>
        </w:rPr>
        <w:t xml:space="preserve">39. </w:t>
      </w:r>
      <w:r w:rsidRPr="007F3FC3">
        <w:rPr>
          <w:rFonts w:ascii="Calibri" w:hAnsi="Calibri" w:cs="Calibri"/>
          <w:noProof/>
          <w:sz w:val="18"/>
          <w:szCs w:val="24"/>
        </w:rPr>
        <w:tab/>
        <w:t xml:space="preserve">van der Zande M, Vandebriel RJ, Doren E Van, Kramer E, Rivera ZH, Serrano-Rojero CS, et al. </w:t>
      </w:r>
      <w:r w:rsidRPr="00AF6261">
        <w:rPr>
          <w:rFonts w:ascii="Calibri" w:hAnsi="Calibri" w:cs="Calibri"/>
          <w:noProof/>
          <w:sz w:val="18"/>
          <w:szCs w:val="24"/>
          <w:lang w:val="en-US"/>
        </w:rPr>
        <w:t>Distribution, Elimination, and Toxicity of Silver Nanoparticles and Silver Ions in Rats after 28-Day Oral Exposure. ACS Nano [Internet]. 2012 Aug 28 [cited 2021 Jul 16];6(8):7427–42. Available from: https://pubs.acs.org/doi/full/10.1021/nn302649p</w:t>
      </w:r>
    </w:p>
    <w:p w14:paraId="7FCC35B8"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40. </w:t>
      </w:r>
      <w:r w:rsidRPr="00AF6261">
        <w:rPr>
          <w:rFonts w:ascii="Calibri" w:hAnsi="Calibri" w:cs="Calibri"/>
          <w:noProof/>
          <w:sz w:val="18"/>
          <w:szCs w:val="24"/>
          <w:lang w:val="en-US"/>
        </w:rPr>
        <w:tab/>
        <w:t>Soon Kim Y, Yong Song M, Duck Park J, Seuk Song K, Ryol Ryu H, Hyun Chung Y, et al. Subchronic oral toxicity of silver nanoparticles. 2010 [cited 2021 Jul 16]; Available from: http://www.particleandfibretoxicology.com/content/7/1/20</w:t>
      </w:r>
    </w:p>
    <w:p w14:paraId="5835E0B5"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41. </w:t>
      </w:r>
      <w:r w:rsidRPr="00AF6261">
        <w:rPr>
          <w:rFonts w:ascii="Calibri" w:hAnsi="Calibri" w:cs="Calibri"/>
          <w:noProof/>
          <w:sz w:val="18"/>
          <w:szCs w:val="24"/>
          <w:lang w:val="en-US"/>
        </w:rPr>
        <w:tab/>
        <w:t xml:space="preserve">Park EJ, Bae E, Yi J, Kim Y, Choi K, Lee SH, et al. Repeated-dose toxicity and inflammatory responses in mice by oral administration of silver nanoparticles. Environ Toxicol Pharmacol. 2010 Sep 1;30(2):162–8. </w:t>
      </w:r>
    </w:p>
    <w:p w14:paraId="25FA6C2D"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42. </w:t>
      </w:r>
      <w:r w:rsidRPr="00AF6261">
        <w:rPr>
          <w:rFonts w:ascii="Calibri" w:hAnsi="Calibri" w:cs="Calibri"/>
          <w:noProof/>
          <w:sz w:val="18"/>
          <w:szCs w:val="24"/>
          <w:lang w:val="en-US"/>
        </w:rPr>
        <w:tab/>
        <w:t xml:space="preserve">Lankveld DPK, Oomen AG, Krystek P, Neigh A, Troost - de Jong A, Noorlander CW, et al. The kinetics of the tissue distribution of silver nanoparticles of different sizes. Biomaterials. 2010 Nov 1;31(32):8350–61. </w:t>
      </w:r>
    </w:p>
    <w:p w14:paraId="1314CDD2"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43. </w:t>
      </w:r>
      <w:r w:rsidRPr="00AF6261">
        <w:rPr>
          <w:rFonts w:ascii="Calibri" w:hAnsi="Calibri" w:cs="Calibri"/>
          <w:noProof/>
          <w:sz w:val="18"/>
          <w:szCs w:val="24"/>
          <w:lang w:val="en-US"/>
        </w:rPr>
        <w:tab/>
        <w:t xml:space="preserve">Wang E, Huang Y, Du Q, Sun Y. Silver nanoparticle induced toxicity to human sperm by increasing ROS(reactive oxygen species) production and DNA damage. Environ Toxicol Pharmacol. 2017 Jun 1;52:193–9. </w:t>
      </w:r>
    </w:p>
    <w:p w14:paraId="2028B21B"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44. </w:t>
      </w:r>
      <w:r w:rsidRPr="00AF6261">
        <w:rPr>
          <w:rFonts w:ascii="Calibri" w:hAnsi="Calibri" w:cs="Calibri"/>
          <w:noProof/>
          <w:sz w:val="18"/>
          <w:szCs w:val="24"/>
          <w:lang w:val="en-US"/>
        </w:rPr>
        <w:tab/>
        <w:t xml:space="preserve">Zapór L. Effects of silver nanoparticles of different sizes on cytotoxicity and oxygen metabolism disorders in both reproductive and respiratory system cells. Arch Environ Prot. 2016;42(4):32–47. </w:t>
      </w:r>
    </w:p>
    <w:p w14:paraId="54456DDB"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45. </w:t>
      </w:r>
      <w:r w:rsidRPr="00AF6261">
        <w:rPr>
          <w:rFonts w:ascii="Calibri" w:hAnsi="Calibri" w:cs="Calibri"/>
          <w:noProof/>
          <w:sz w:val="18"/>
          <w:szCs w:val="24"/>
          <w:lang w:val="en-US"/>
        </w:rPr>
        <w:tab/>
        <w:t>Zhang X-F, Choi Y-J, Han JW, Kim E, Park JH, Gurunathan S, et al. Differential nanoreprotoxicity of silver nanoparticles in male somatic cells and spermatogonial stem cells. Int J Nanomedicine [Internet]. 2015 Feb 16 [cited 2021 Jul 19];10:1335–57. Available from: https://pubmed.ncbi.nlm.nih.gov/25733828/</w:t>
      </w:r>
    </w:p>
    <w:p w14:paraId="06943F4E"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46. </w:t>
      </w:r>
      <w:r w:rsidRPr="00AF6261">
        <w:rPr>
          <w:rFonts w:ascii="Calibri" w:hAnsi="Calibri" w:cs="Calibri"/>
          <w:noProof/>
          <w:sz w:val="18"/>
          <w:szCs w:val="24"/>
          <w:lang w:val="en-US"/>
        </w:rPr>
        <w:tab/>
        <w:t>Hassanpour H, Mirshokraei P, Khalili Sadrabad E, Esmailian Dehkordi A, Layeghi S, Afzali A, et al. In vitro effect of nanosilver on gene expression of superoxide dismutases and nitric oxide synthases in chicken sertoli cells. Animal [Internet]. 2014;9(2):295–300. Available from: http://dx.doi.org/10.1017/S1751731114002262</w:t>
      </w:r>
    </w:p>
    <w:p w14:paraId="004D5786"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szCs w:val="24"/>
          <w:lang w:val="en-US"/>
        </w:rPr>
      </w:pPr>
      <w:r w:rsidRPr="00AF6261">
        <w:rPr>
          <w:rFonts w:ascii="Calibri" w:hAnsi="Calibri" w:cs="Calibri"/>
          <w:noProof/>
          <w:sz w:val="18"/>
          <w:szCs w:val="24"/>
          <w:lang w:val="en-US"/>
        </w:rPr>
        <w:t xml:space="preserve">47. </w:t>
      </w:r>
      <w:r w:rsidRPr="00AF6261">
        <w:rPr>
          <w:rFonts w:ascii="Calibri" w:hAnsi="Calibri" w:cs="Calibri"/>
          <w:noProof/>
          <w:sz w:val="18"/>
          <w:szCs w:val="24"/>
          <w:lang w:val="en-US"/>
        </w:rPr>
        <w:tab/>
        <w:t>Asare N, Instanes C, Sandberg W, Refsnes M, Schwarze P, Kruszewski M, et al. Cytotoxic and genotoxic effects of silver nanoparticles in testicular cells. Toxicology [Internet]. 2012 Jan 27 [cited 2021 Aug 10];291(1–3):65–72. Available from: https://pubmed.ncbi.nlm.nih.gov/22085606/</w:t>
      </w:r>
    </w:p>
    <w:p w14:paraId="32236E65" w14:textId="77777777" w:rsidR="007F3FC3" w:rsidRPr="00AF6261" w:rsidRDefault="007F3FC3" w:rsidP="007F3FC3">
      <w:pPr>
        <w:widowControl w:val="0"/>
        <w:autoSpaceDE w:val="0"/>
        <w:autoSpaceDN w:val="0"/>
        <w:adjustRightInd w:val="0"/>
        <w:spacing w:line="240" w:lineRule="auto"/>
        <w:ind w:left="640" w:hanging="640"/>
        <w:rPr>
          <w:rFonts w:ascii="Calibri" w:hAnsi="Calibri" w:cs="Calibri"/>
          <w:noProof/>
          <w:sz w:val="18"/>
          <w:lang w:val="en-US"/>
        </w:rPr>
      </w:pPr>
      <w:r w:rsidRPr="00AF6261">
        <w:rPr>
          <w:rFonts w:ascii="Calibri" w:hAnsi="Calibri" w:cs="Calibri"/>
          <w:noProof/>
          <w:sz w:val="18"/>
          <w:szCs w:val="24"/>
          <w:lang w:val="en-US"/>
        </w:rPr>
        <w:lastRenderedPageBreak/>
        <w:t xml:space="preserve">48. </w:t>
      </w:r>
      <w:r w:rsidRPr="00AF6261">
        <w:rPr>
          <w:rFonts w:ascii="Calibri" w:hAnsi="Calibri" w:cs="Calibri"/>
          <w:noProof/>
          <w:sz w:val="18"/>
          <w:szCs w:val="24"/>
          <w:lang w:val="en-US"/>
        </w:rPr>
        <w:tab/>
        <w:t>Braydich-Stolle L, Hussain S, Schlager J, Hofmann M-C. In vitro cytotoxicity of nanoparticles in mammalian germline stem cells. Toxicol Sci [Internet]. 2005 Dec [cited 2021 Jul 19];88(2):412–9. Available from: https://pubmed.ncbi.nlm.nih.gov/16014736/</w:t>
      </w:r>
    </w:p>
    <w:p w14:paraId="0F977CB3" w14:textId="699DBC4F" w:rsidR="00FC3D13" w:rsidRPr="000F008B" w:rsidRDefault="00FC3D13">
      <w:pPr>
        <w:rPr>
          <w:rFonts w:cstheme="minorHAnsi"/>
          <w:sz w:val="18"/>
          <w:szCs w:val="18"/>
        </w:rPr>
      </w:pPr>
      <w:r>
        <w:rPr>
          <w:rFonts w:cstheme="minorHAnsi"/>
          <w:sz w:val="18"/>
          <w:szCs w:val="18"/>
        </w:rPr>
        <w:fldChar w:fldCharType="end"/>
      </w:r>
    </w:p>
    <w:sectPr w:rsidR="00FC3D13" w:rsidRPr="000F008B" w:rsidSect="002D0136">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B5AABA" w14:textId="77777777" w:rsidR="00F111BC" w:rsidRDefault="00F111BC" w:rsidP="002D0136">
      <w:pPr>
        <w:spacing w:after="0" w:line="240" w:lineRule="auto"/>
      </w:pPr>
      <w:r>
        <w:separator/>
      </w:r>
    </w:p>
  </w:endnote>
  <w:endnote w:type="continuationSeparator" w:id="0">
    <w:p w14:paraId="45A94A70" w14:textId="77777777" w:rsidR="00F111BC" w:rsidRDefault="00F111BC" w:rsidP="002D01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Light Cond">
    <w:altName w:val="Myriad Pro Light Cond"/>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TIX-Regular">
    <w:altName w:val="MS Gothic"/>
    <w:panose1 w:val="00000000000000000000"/>
    <w:charset w:val="80"/>
    <w:family w:val="roman"/>
    <w:notTrueType/>
    <w:pitch w:val="default"/>
    <w:sig w:usb0="00000001" w:usb1="08070000" w:usb2="00000010" w:usb3="00000000" w:csb0="00020000" w:csb1="00000000"/>
  </w:font>
  <w:font w:name="PqlhbjAdvTT3713a231">
    <w:panose1 w:val="00000000000000000000"/>
    <w:charset w:val="00"/>
    <w:family w:val="roman"/>
    <w:notTrueType/>
    <w:pitch w:val="default"/>
    <w:sig w:usb0="00000003" w:usb1="00000000" w:usb2="00000000" w:usb3="00000000" w:csb0="00000001" w:csb1="00000000"/>
  </w:font>
  <w:font w:name="RfgtfmLxjkhmAdvTT3713a231+20">
    <w:altName w:val="MS Gothic"/>
    <w:panose1 w:val="00000000000000000000"/>
    <w:charset w:val="80"/>
    <w:family w:val="auto"/>
    <w:notTrueType/>
    <w:pitch w:val="default"/>
    <w:sig w:usb0="00000001" w:usb1="08070000" w:usb2="00000010" w:usb3="00000000" w:csb0="00020000" w:csb1="00000000"/>
  </w:font>
  <w:font w:name="Myriad Pro">
    <w:altName w:val="Myriad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PS">
    <w:altName w:val="Times New Roman PS"/>
    <w:panose1 w:val="00000000000000000000"/>
    <w:charset w:val="00"/>
    <w:family w:val="roman"/>
    <w:notTrueType/>
    <w:pitch w:val="default"/>
    <w:sig w:usb0="00000003" w:usb1="00000000" w:usb2="00000000" w:usb3="00000000" w:csb0="00000001" w:csb1="00000000"/>
  </w:font>
  <w:font w:name="ENJDG L+ MTSY">
    <w:altName w:val="MTSY"/>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7627B1" w14:textId="77777777" w:rsidR="00F111BC" w:rsidRDefault="00F111BC" w:rsidP="002D0136">
      <w:pPr>
        <w:spacing w:after="0" w:line="240" w:lineRule="auto"/>
      </w:pPr>
      <w:r>
        <w:separator/>
      </w:r>
    </w:p>
  </w:footnote>
  <w:footnote w:type="continuationSeparator" w:id="0">
    <w:p w14:paraId="450DB9D5" w14:textId="77777777" w:rsidR="00F111BC" w:rsidRDefault="00F111BC" w:rsidP="002D01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0136"/>
    <w:rsid w:val="00007A30"/>
    <w:rsid w:val="00010C8A"/>
    <w:rsid w:val="000110BC"/>
    <w:rsid w:val="00013EDF"/>
    <w:rsid w:val="00016512"/>
    <w:rsid w:val="00026B4E"/>
    <w:rsid w:val="0003274F"/>
    <w:rsid w:val="000510A7"/>
    <w:rsid w:val="00061211"/>
    <w:rsid w:val="00065746"/>
    <w:rsid w:val="00071E8D"/>
    <w:rsid w:val="00073F5A"/>
    <w:rsid w:val="00085C70"/>
    <w:rsid w:val="00091C4F"/>
    <w:rsid w:val="000A1722"/>
    <w:rsid w:val="000A4121"/>
    <w:rsid w:val="000C0945"/>
    <w:rsid w:val="000D2642"/>
    <w:rsid w:val="000D750E"/>
    <w:rsid w:val="000E0E58"/>
    <w:rsid w:val="000F008B"/>
    <w:rsid w:val="000F0BE4"/>
    <w:rsid w:val="001058D9"/>
    <w:rsid w:val="00124491"/>
    <w:rsid w:val="0013206C"/>
    <w:rsid w:val="0013340C"/>
    <w:rsid w:val="00143D7C"/>
    <w:rsid w:val="00163965"/>
    <w:rsid w:val="00176679"/>
    <w:rsid w:val="00182EFD"/>
    <w:rsid w:val="00183E88"/>
    <w:rsid w:val="00186F99"/>
    <w:rsid w:val="001B2F04"/>
    <w:rsid w:val="001B7B3D"/>
    <w:rsid w:val="001C5AC4"/>
    <w:rsid w:val="001D0559"/>
    <w:rsid w:val="001E7760"/>
    <w:rsid w:val="001F10EC"/>
    <w:rsid w:val="001F64B2"/>
    <w:rsid w:val="0020269B"/>
    <w:rsid w:val="00203653"/>
    <w:rsid w:val="00216177"/>
    <w:rsid w:val="00216AC2"/>
    <w:rsid w:val="00216B11"/>
    <w:rsid w:val="00216FCA"/>
    <w:rsid w:val="0022295B"/>
    <w:rsid w:val="0022535A"/>
    <w:rsid w:val="00230C08"/>
    <w:rsid w:val="00244CFB"/>
    <w:rsid w:val="002601B6"/>
    <w:rsid w:val="00263962"/>
    <w:rsid w:val="0028502C"/>
    <w:rsid w:val="00285C50"/>
    <w:rsid w:val="00294B1F"/>
    <w:rsid w:val="002A722C"/>
    <w:rsid w:val="002B5DF6"/>
    <w:rsid w:val="002B72F1"/>
    <w:rsid w:val="002C09B2"/>
    <w:rsid w:val="002C432E"/>
    <w:rsid w:val="002C4983"/>
    <w:rsid w:val="002D0136"/>
    <w:rsid w:val="002D21A3"/>
    <w:rsid w:val="002D6DE7"/>
    <w:rsid w:val="002D7B6A"/>
    <w:rsid w:val="002E5EBB"/>
    <w:rsid w:val="002F09B7"/>
    <w:rsid w:val="00305499"/>
    <w:rsid w:val="0031390C"/>
    <w:rsid w:val="0032246C"/>
    <w:rsid w:val="00322ED1"/>
    <w:rsid w:val="00323CFC"/>
    <w:rsid w:val="003304AB"/>
    <w:rsid w:val="00337BE0"/>
    <w:rsid w:val="00337E96"/>
    <w:rsid w:val="003549B6"/>
    <w:rsid w:val="0035715B"/>
    <w:rsid w:val="00357B02"/>
    <w:rsid w:val="0037464E"/>
    <w:rsid w:val="00383713"/>
    <w:rsid w:val="003901FB"/>
    <w:rsid w:val="003912B8"/>
    <w:rsid w:val="003A051A"/>
    <w:rsid w:val="003A31DB"/>
    <w:rsid w:val="003A400D"/>
    <w:rsid w:val="003B553F"/>
    <w:rsid w:val="003D315F"/>
    <w:rsid w:val="003D4B37"/>
    <w:rsid w:val="003D5574"/>
    <w:rsid w:val="003E4264"/>
    <w:rsid w:val="00407175"/>
    <w:rsid w:val="00420B8C"/>
    <w:rsid w:val="00425212"/>
    <w:rsid w:val="00431D62"/>
    <w:rsid w:val="00435D2C"/>
    <w:rsid w:val="00451ED3"/>
    <w:rsid w:val="004613A6"/>
    <w:rsid w:val="0048059E"/>
    <w:rsid w:val="004812C8"/>
    <w:rsid w:val="00483069"/>
    <w:rsid w:val="0048711B"/>
    <w:rsid w:val="0049112B"/>
    <w:rsid w:val="00492699"/>
    <w:rsid w:val="004A519B"/>
    <w:rsid w:val="004A74E6"/>
    <w:rsid w:val="004B4F14"/>
    <w:rsid w:val="004B7D80"/>
    <w:rsid w:val="004C6EDD"/>
    <w:rsid w:val="004D02C6"/>
    <w:rsid w:val="004D1F10"/>
    <w:rsid w:val="00515891"/>
    <w:rsid w:val="00524CBB"/>
    <w:rsid w:val="00525946"/>
    <w:rsid w:val="00526F65"/>
    <w:rsid w:val="00534455"/>
    <w:rsid w:val="005516A0"/>
    <w:rsid w:val="005548B6"/>
    <w:rsid w:val="00556AC5"/>
    <w:rsid w:val="00574B5F"/>
    <w:rsid w:val="005902BA"/>
    <w:rsid w:val="00590703"/>
    <w:rsid w:val="00590D7C"/>
    <w:rsid w:val="005954C0"/>
    <w:rsid w:val="005A1E08"/>
    <w:rsid w:val="005A292B"/>
    <w:rsid w:val="005B005A"/>
    <w:rsid w:val="005C1781"/>
    <w:rsid w:val="005C3D15"/>
    <w:rsid w:val="005C4018"/>
    <w:rsid w:val="005C7007"/>
    <w:rsid w:val="005D0E85"/>
    <w:rsid w:val="005D317C"/>
    <w:rsid w:val="005D46EC"/>
    <w:rsid w:val="005E2DD9"/>
    <w:rsid w:val="005E602D"/>
    <w:rsid w:val="005F3DDB"/>
    <w:rsid w:val="00600A92"/>
    <w:rsid w:val="0060572B"/>
    <w:rsid w:val="006230D6"/>
    <w:rsid w:val="0063024C"/>
    <w:rsid w:val="006324D5"/>
    <w:rsid w:val="00644D40"/>
    <w:rsid w:val="0066128E"/>
    <w:rsid w:val="0066586C"/>
    <w:rsid w:val="00675468"/>
    <w:rsid w:val="006935A7"/>
    <w:rsid w:val="006A0725"/>
    <w:rsid w:val="006A0BA0"/>
    <w:rsid w:val="006A3055"/>
    <w:rsid w:val="006B4CD7"/>
    <w:rsid w:val="006B50F0"/>
    <w:rsid w:val="006C343B"/>
    <w:rsid w:val="006D74E2"/>
    <w:rsid w:val="006E12D8"/>
    <w:rsid w:val="006E268C"/>
    <w:rsid w:val="006E462C"/>
    <w:rsid w:val="006E63E5"/>
    <w:rsid w:val="006F251B"/>
    <w:rsid w:val="00704805"/>
    <w:rsid w:val="00705158"/>
    <w:rsid w:val="00723CFE"/>
    <w:rsid w:val="00724EBB"/>
    <w:rsid w:val="0073064C"/>
    <w:rsid w:val="00732DB4"/>
    <w:rsid w:val="0073428A"/>
    <w:rsid w:val="007350AD"/>
    <w:rsid w:val="00741939"/>
    <w:rsid w:val="00746C2B"/>
    <w:rsid w:val="00756670"/>
    <w:rsid w:val="00757B28"/>
    <w:rsid w:val="00761839"/>
    <w:rsid w:val="00761F81"/>
    <w:rsid w:val="007636E2"/>
    <w:rsid w:val="00770FEC"/>
    <w:rsid w:val="0077167A"/>
    <w:rsid w:val="00773E6E"/>
    <w:rsid w:val="00775949"/>
    <w:rsid w:val="00784AF2"/>
    <w:rsid w:val="00785F90"/>
    <w:rsid w:val="00786DE4"/>
    <w:rsid w:val="00795DF1"/>
    <w:rsid w:val="007A2CDB"/>
    <w:rsid w:val="007B660B"/>
    <w:rsid w:val="007C1C57"/>
    <w:rsid w:val="007C7602"/>
    <w:rsid w:val="007D6E70"/>
    <w:rsid w:val="007E5F49"/>
    <w:rsid w:val="007F1961"/>
    <w:rsid w:val="007F3FC3"/>
    <w:rsid w:val="00805CB3"/>
    <w:rsid w:val="00824B84"/>
    <w:rsid w:val="00827411"/>
    <w:rsid w:val="00832986"/>
    <w:rsid w:val="00844062"/>
    <w:rsid w:val="00861D9C"/>
    <w:rsid w:val="00863B6C"/>
    <w:rsid w:val="00867DE2"/>
    <w:rsid w:val="008758F1"/>
    <w:rsid w:val="008771AB"/>
    <w:rsid w:val="00882960"/>
    <w:rsid w:val="00895154"/>
    <w:rsid w:val="008A37EC"/>
    <w:rsid w:val="008A3ED3"/>
    <w:rsid w:val="008B1405"/>
    <w:rsid w:val="008B6466"/>
    <w:rsid w:val="008B6529"/>
    <w:rsid w:val="008C2D53"/>
    <w:rsid w:val="008C4CCC"/>
    <w:rsid w:val="008C6F66"/>
    <w:rsid w:val="008D2F84"/>
    <w:rsid w:val="008D6117"/>
    <w:rsid w:val="008E5A84"/>
    <w:rsid w:val="008F4C26"/>
    <w:rsid w:val="008F7BE4"/>
    <w:rsid w:val="009077B3"/>
    <w:rsid w:val="00912134"/>
    <w:rsid w:val="00916496"/>
    <w:rsid w:val="00917C40"/>
    <w:rsid w:val="00922ED1"/>
    <w:rsid w:val="009235FC"/>
    <w:rsid w:val="00936EA1"/>
    <w:rsid w:val="00943971"/>
    <w:rsid w:val="00947A37"/>
    <w:rsid w:val="00954269"/>
    <w:rsid w:val="00976F39"/>
    <w:rsid w:val="00980259"/>
    <w:rsid w:val="009870F6"/>
    <w:rsid w:val="009A0D96"/>
    <w:rsid w:val="009B5604"/>
    <w:rsid w:val="009B7A73"/>
    <w:rsid w:val="009C5094"/>
    <w:rsid w:val="009E73E1"/>
    <w:rsid w:val="009F3289"/>
    <w:rsid w:val="009F5E58"/>
    <w:rsid w:val="009F766B"/>
    <w:rsid w:val="00A042C0"/>
    <w:rsid w:val="00A06E90"/>
    <w:rsid w:val="00A14986"/>
    <w:rsid w:val="00A149AA"/>
    <w:rsid w:val="00A17899"/>
    <w:rsid w:val="00A42F2B"/>
    <w:rsid w:val="00A71861"/>
    <w:rsid w:val="00A76588"/>
    <w:rsid w:val="00A85F63"/>
    <w:rsid w:val="00A960DC"/>
    <w:rsid w:val="00A97550"/>
    <w:rsid w:val="00AB52EC"/>
    <w:rsid w:val="00AC1D3F"/>
    <w:rsid w:val="00AC24CA"/>
    <w:rsid w:val="00AC41EB"/>
    <w:rsid w:val="00AD44F7"/>
    <w:rsid w:val="00AD507A"/>
    <w:rsid w:val="00AE1602"/>
    <w:rsid w:val="00AE73B3"/>
    <w:rsid w:val="00AF1793"/>
    <w:rsid w:val="00AF6261"/>
    <w:rsid w:val="00B01806"/>
    <w:rsid w:val="00B01C89"/>
    <w:rsid w:val="00B04249"/>
    <w:rsid w:val="00B1361A"/>
    <w:rsid w:val="00B1566F"/>
    <w:rsid w:val="00B15EC0"/>
    <w:rsid w:val="00B34638"/>
    <w:rsid w:val="00B4454A"/>
    <w:rsid w:val="00B45AD2"/>
    <w:rsid w:val="00B52A6C"/>
    <w:rsid w:val="00B55CD8"/>
    <w:rsid w:val="00B57299"/>
    <w:rsid w:val="00B572B8"/>
    <w:rsid w:val="00B61A46"/>
    <w:rsid w:val="00B849DE"/>
    <w:rsid w:val="00B90A3A"/>
    <w:rsid w:val="00BB4001"/>
    <w:rsid w:val="00BC402A"/>
    <w:rsid w:val="00BC411C"/>
    <w:rsid w:val="00BD6E53"/>
    <w:rsid w:val="00BF3191"/>
    <w:rsid w:val="00BF3A5F"/>
    <w:rsid w:val="00BF5FE0"/>
    <w:rsid w:val="00BF666B"/>
    <w:rsid w:val="00BF6E38"/>
    <w:rsid w:val="00C179C4"/>
    <w:rsid w:val="00C37000"/>
    <w:rsid w:val="00C411FE"/>
    <w:rsid w:val="00C417EB"/>
    <w:rsid w:val="00C50893"/>
    <w:rsid w:val="00C54029"/>
    <w:rsid w:val="00C70F37"/>
    <w:rsid w:val="00C725B9"/>
    <w:rsid w:val="00C72603"/>
    <w:rsid w:val="00C83427"/>
    <w:rsid w:val="00C84BF9"/>
    <w:rsid w:val="00C8682C"/>
    <w:rsid w:val="00C87DA6"/>
    <w:rsid w:val="00C9138D"/>
    <w:rsid w:val="00C91BE6"/>
    <w:rsid w:val="00C91C21"/>
    <w:rsid w:val="00C9282D"/>
    <w:rsid w:val="00C94FC9"/>
    <w:rsid w:val="00CA01B7"/>
    <w:rsid w:val="00CA04D9"/>
    <w:rsid w:val="00CB2402"/>
    <w:rsid w:val="00CC3850"/>
    <w:rsid w:val="00CC4FD5"/>
    <w:rsid w:val="00CE3483"/>
    <w:rsid w:val="00CE7DB5"/>
    <w:rsid w:val="00CF3178"/>
    <w:rsid w:val="00D00710"/>
    <w:rsid w:val="00D044A5"/>
    <w:rsid w:val="00D04994"/>
    <w:rsid w:val="00D04AA4"/>
    <w:rsid w:val="00D159EF"/>
    <w:rsid w:val="00D26DA5"/>
    <w:rsid w:val="00D6662C"/>
    <w:rsid w:val="00D84C4B"/>
    <w:rsid w:val="00D85A17"/>
    <w:rsid w:val="00D863EB"/>
    <w:rsid w:val="00D90A63"/>
    <w:rsid w:val="00D951EC"/>
    <w:rsid w:val="00D952D7"/>
    <w:rsid w:val="00DB08F2"/>
    <w:rsid w:val="00DC3890"/>
    <w:rsid w:val="00DC5D76"/>
    <w:rsid w:val="00DD24AD"/>
    <w:rsid w:val="00DD5B42"/>
    <w:rsid w:val="00DE7CBE"/>
    <w:rsid w:val="00DF227D"/>
    <w:rsid w:val="00DF30DA"/>
    <w:rsid w:val="00DF4608"/>
    <w:rsid w:val="00E001B2"/>
    <w:rsid w:val="00E04C77"/>
    <w:rsid w:val="00E052CF"/>
    <w:rsid w:val="00E1025D"/>
    <w:rsid w:val="00E1103F"/>
    <w:rsid w:val="00E111E7"/>
    <w:rsid w:val="00E12250"/>
    <w:rsid w:val="00E21E37"/>
    <w:rsid w:val="00E26A97"/>
    <w:rsid w:val="00E30B64"/>
    <w:rsid w:val="00E30F63"/>
    <w:rsid w:val="00E517DF"/>
    <w:rsid w:val="00E54876"/>
    <w:rsid w:val="00E573D4"/>
    <w:rsid w:val="00E6551C"/>
    <w:rsid w:val="00E73F95"/>
    <w:rsid w:val="00E830E2"/>
    <w:rsid w:val="00E85A1D"/>
    <w:rsid w:val="00E92B6B"/>
    <w:rsid w:val="00E9598E"/>
    <w:rsid w:val="00E9759A"/>
    <w:rsid w:val="00EA2CF7"/>
    <w:rsid w:val="00EB16FD"/>
    <w:rsid w:val="00EB6E01"/>
    <w:rsid w:val="00EC1A8E"/>
    <w:rsid w:val="00ED38B7"/>
    <w:rsid w:val="00EE7952"/>
    <w:rsid w:val="00EF124A"/>
    <w:rsid w:val="00F02514"/>
    <w:rsid w:val="00F05485"/>
    <w:rsid w:val="00F074D7"/>
    <w:rsid w:val="00F10A3D"/>
    <w:rsid w:val="00F111BC"/>
    <w:rsid w:val="00F15983"/>
    <w:rsid w:val="00F2011F"/>
    <w:rsid w:val="00F203B7"/>
    <w:rsid w:val="00F2697B"/>
    <w:rsid w:val="00F34C99"/>
    <w:rsid w:val="00F52574"/>
    <w:rsid w:val="00F5338C"/>
    <w:rsid w:val="00F55E8B"/>
    <w:rsid w:val="00F56435"/>
    <w:rsid w:val="00F67AFA"/>
    <w:rsid w:val="00F75DD1"/>
    <w:rsid w:val="00F77F34"/>
    <w:rsid w:val="00F81914"/>
    <w:rsid w:val="00F84F21"/>
    <w:rsid w:val="00F91B04"/>
    <w:rsid w:val="00FB38C9"/>
    <w:rsid w:val="00FB7026"/>
    <w:rsid w:val="00FC153D"/>
    <w:rsid w:val="00FC19C4"/>
    <w:rsid w:val="00FC3D13"/>
    <w:rsid w:val="00FC4BD5"/>
    <w:rsid w:val="00FC4F0F"/>
    <w:rsid w:val="00FD3588"/>
    <w:rsid w:val="00FE2275"/>
    <w:rsid w:val="00FF1C16"/>
    <w:rsid w:val="00FF29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6B6CD2"/>
  <w15:chartTrackingRefBased/>
  <w15:docId w15:val="{9C387CB6-0499-4524-8123-3C6F0C1CD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D0136"/>
    <w:pPr>
      <w:tabs>
        <w:tab w:val="center" w:pos="4536"/>
        <w:tab w:val="right" w:pos="9072"/>
      </w:tabs>
      <w:spacing w:after="0" w:line="240" w:lineRule="auto"/>
    </w:pPr>
  </w:style>
  <w:style w:type="character" w:customStyle="1" w:styleId="En-tteCar">
    <w:name w:val="En-tête Car"/>
    <w:basedOn w:val="Policepardfaut"/>
    <w:link w:val="En-tte"/>
    <w:uiPriority w:val="99"/>
    <w:rsid w:val="002D0136"/>
  </w:style>
  <w:style w:type="paragraph" w:styleId="Pieddepage">
    <w:name w:val="footer"/>
    <w:basedOn w:val="Normal"/>
    <w:link w:val="PieddepageCar"/>
    <w:uiPriority w:val="99"/>
    <w:unhideWhenUsed/>
    <w:rsid w:val="002D013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D0136"/>
  </w:style>
  <w:style w:type="character" w:styleId="Lienhypertexte">
    <w:name w:val="Hyperlink"/>
    <w:basedOn w:val="Policepardfaut"/>
    <w:uiPriority w:val="99"/>
    <w:unhideWhenUsed/>
    <w:rsid w:val="003D5574"/>
    <w:rPr>
      <w:color w:val="0563C1" w:themeColor="hyperlink"/>
      <w:u w:val="single"/>
    </w:rPr>
  </w:style>
  <w:style w:type="paragraph" w:styleId="Paragraphedeliste">
    <w:name w:val="List Paragraph"/>
    <w:basedOn w:val="Normal"/>
    <w:uiPriority w:val="34"/>
    <w:qFormat/>
    <w:rsid w:val="00483069"/>
    <w:pPr>
      <w:ind w:left="720"/>
      <w:contextualSpacing/>
    </w:pPr>
  </w:style>
  <w:style w:type="paragraph" w:customStyle="1" w:styleId="Default">
    <w:name w:val="Default"/>
    <w:rsid w:val="00F67AFA"/>
    <w:pPr>
      <w:autoSpaceDE w:val="0"/>
      <w:autoSpaceDN w:val="0"/>
      <w:adjustRightInd w:val="0"/>
      <w:spacing w:after="0" w:line="240" w:lineRule="auto"/>
    </w:pPr>
    <w:rPr>
      <w:rFonts w:ascii="Myriad Pro Light Cond" w:hAnsi="Myriad Pro Light Cond" w:cs="Myriad Pro Light Cond"/>
      <w:color w:val="000000"/>
      <w:sz w:val="24"/>
      <w:szCs w:val="24"/>
    </w:rPr>
  </w:style>
  <w:style w:type="paragraph" w:styleId="Textedebulles">
    <w:name w:val="Balloon Text"/>
    <w:basedOn w:val="Normal"/>
    <w:link w:val="TextedebullesCar"/>
    <w:uiPriority w:val="99"/>
    <w:semiHidden/>
    <w:unhideWhenUsed/>
    <w:rsid w:val="003304A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304AB"/>
    <w:rPr>
      <w:rFonts w:ascii="Segoe UI" w:hAnsi="Segoe UI" w:cs="Segoe UI"/>
      <w:sz w:val="18"/>
      <w:szCs w:val="18"/>
    </w:rPr>
  </w:style>
  <w:style w:type="character" w:styleId="Marquedecommentaire">
    <w:name w:val="annotation reference"/>
    <w:basedOn w:val="Policepardfaut"/>
    <w:uiPriority w:val="99"/>
    <w:semiHidden/>
    <w:unhideWhenUsed/>
    <w:rsid w:val="0037464E"/>
    <w:rPr>
      <w:sz w:val="16"/>
      <w:szCs w:val="16"/>
    </w:rPr>
  </w:style>
  <w:style w:type="paragraph" w:styleId="Commentaire">
    <w:name w:val="annotation text"/>
    <w:basedOn w:val="Normal"/>
    <w:link w:val="CommentaireCar"/>
    <w:uiPriority w:val="99"/>
    <w:semiHidden/>
    <w:unhideWhenUsed/>
    <w:rsid w:val="0037464E"/>
    <w:pPr>
      <w:spacing w:line="240" w:lineRule="auto"/>
    </w:pPr>
    <w:rPr>
      <w:sz w:val="20"/>
      <w:szCs w:val="20"/>
    </w:rPr>
  </w:style>
  <w:style w:type="character" w:customStyle="1" w:styleId="CommentaireCar">
    <w:name w:val="Commentaire Car"/>
    <w:basedOn w:val="Policepardfaut"/>
    <w:link w:val="Commentaire"/>
    <w:uiPriority w:val="99"/>
    <w:semiHidden/>
    <w:rsid w:val="0037464E"/>
    <w:rPr>
      <w:sz w:val="20"/>
      <w:szCs w:val="20"/>
    </w:rPr>
  </w:style>
  <w:style w:type="paragraph" w:styleId="Objetducommentaire">
    <w:name w:val="annotation subject"/>
    <w:basedOn w:val="Commentaire"/>
    <w:next w:val="Commentaire"/>
    <w:link w:val="ObjetducommentaireCar"/>
    <w:uiPriority w:val="99"/>
    <w:semiHidden/>
    <w:unhideWhenUsed/>
    <w:rsid w:val="0037464E"/>
    <w:rPr>
      <w:b/>
      <w:bCs/>
    </w:rPr>
  </w:style>
  <w:style w:type="character" w:customStyle="1" w:styleId="ObjetducommentaireCar">
    <w:name w:val="Objet du commentaire Car"/>
    <w:basedOn w:val="CommentaireCar"/>
    <w:link w:val="Objetducommentaire"/>
    <w:uiPriority w:val="99"/>
    <w:semiHidden/>
    <w:rsid w:val="0037464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407221">
      <w:bodyDiv w:val="1"/>
      <w:marLeft w:val="0"/>
      <w:marRight w:val="0"/>
      <w:marTop w:val="0"/>
      <w:marBottom w:val="0"/>
      <w:divBdr>
        <w:top w:val="none" w:sz="0" w:space="0" w:color="auto"/>
        <w:left w:val="none" w:sz="0" w:space="0" w:color="auto"/>
        <w:bottom w:val="none" w:sz="0" w:space="0" w:color="auto"/>
        <w:right w:val="none" w:sz="0" w:space="0" w:color="auto"/>
      </w:divBdr>
    </w:div>
    <w:div w:id="149248174">
      <w:bodyDiv w:val="1"/>
      <w:marLeft w:val="0"/>
      <w:marRight w:val="0"/>
      <w:marTop w:val="0"/>
      <w:marBottom w:val="0"/>
      <w:divBdr>
        <w:top w:val="none" w:sz="0" w:space="0" w:color="auto"/>
        <w:left w:val="none" w:sz="0" w:space="0" w:color="auto"/>
        <w:bottom w:val="none" w:sz="0" w:space="0" w:color="auto"/>
        <w:right w:val="none" w:sz="0" w:space="0" w:color="auto"/>
      </w:divBdr>
    </w:div>
    <w:div w:id="169570355">
      <w:bodyDiv w:val="1"/>
      <w:marLeft w:val="0"/>
      <w:marRight w:val="0"/>
      <w:marTop w:val="0"/>
      <w:marBottom w:val="0"/>
      <w:divBdr>
        <w:top w:val="none" w:sz="0" w:space="0" w:color="auto"/>
        <w:left w:val="none" w:sz="0" w:space="0" w:color="auto"/>
        <w:bottom w:val="none" w:sz="0" w:space="0" w:color="auto"/>
        <w:right w:val="none" w:sz="0" w:space="0" w:color="auto"/>
      </w:divBdr>
    </w:div>
    <w:div w:id="195774582">
      <w:bodyDiv w:val="1"/>
      <w:marLeft w:val="0"/>
      <w:marRight w:val="0"/>
      <w:marTop w:val="0"/>
      <w:marBottom w:val="0"/>
      <w:divBdr>
        <w:top w:val="none" w:sz="0" w:space="0" w:color="auto"/>
        <w:left w:val="none" w:sz="0" w:space="0" w:color="auto"/>
        <w:bottom w:val="none" w:sz="0" w:space="0" w:color="auto"/>
        <w:right w:val="none" w:sz="0" w:space="0" w:color="auto"/>
      </w:divBdr>
    </w:div>
    <w:div w:id="293874543">
      <w:bodyDiv w:val="1"/>
      <w:marLeft w:val="0"/>
      <w:marRight w:val="0"/>
      <w:marTop w:val="0"/>
      <w:marBottom w:val="0"/>
      <w:divBdr>
        <w:top w:val="none" w:sz="0" w:space="0" w:color="auto"/>
        <w:left w:val="none" w:sz="0" w:space="0" w:color="auto"/>
        <w:bottom w:val="none" w:sz="0" w:space="0" w:color="auto"/>
        <w:right w:val="none" w:sz="0" w:space="0" w:color="auto"/>
      </w:divBdr>
    </w:div>
    <w:div w:id="450363967">
      <w:bodyDiv w:val="1"/>
      <w:marLeft w:val="0"/>
      <w:marRight w:val="0"/>
      <w:marTop w:val="0"/>
      <w:marBottom w:val="0"/>
      <w:divBdr>
        <w:top w:val="none" w:sz="0" w:space="0" w:color="auto"/>
        <w:left w:val="none" w:sz="0" w:space="0" w:color="auto"/>
        <w:bottom w:val="none" w:sz="0" w:space="0" w:color="auto"/>
        <w:right w:val="none" w:sz="0" w:space="0" w:color="auto"/>
      </w:divBdr>
    </w:div>
    <w:div w:id="513231826">
      <w:bodyDiv w:val="1"/>
      <w:marLeft w:val="0"/>
      <w:marRight w:val="0"/>
      <w:marTop w:val="0"/>
      <w:marBottom w:val="0"/>
      <w:divBdr>
        <w:top w:val="none" w:sz="0" w:space="0" w:color="auto"/>
        <w:left w:val="none" w:sz="0" w:space="0" w:color="auto"/>
        <w:bottom w:val="none" w:sz="0" w:space="0" w:color="auto"/>
        <w:right w:val="none" w:sz="0" w:space="0" w:color="auto"/>
      </w:divBdr>
    </w:div>
    <w:div w:id="810710973">
      <w:bodyDiv w:val="1"/>
      <w:marLeft w:val="0"/>
      <w:marRight w:val="0"/>
      <w:marTop w:val="0"/>
      <w:marBottom w:val="0"/>
      <w:divBdr>
        <w:top w:val="none" w:sz="0" w:space="0" w:color="auto"/>
        <w:left w:val="none" w:sz="0" w:space="0" w:color="auto"/>
        <w:bottom w:val="none" w:sz="0" w:space="0" w:color="auto"/>
        <w:right w:val="none" w:sz="0" w:space="0" w:color="auto"/>
      </w:divBdr>
    </w:div>
    <w:div w:id="818687695">
      <w:bodyDiv w:val="1"/>
      <w:marLeft w:val="0"/>
      <w:marRight w:val="0"/>
      <w:marTop w:val="0"/>
      <w:marBottom w:val="0"/>
      <w:divBdr>
        <w:top w:val="none" w:sz="0" w:space="0" w:color="auto"/>
        <w:left w:val="none" w:sz="0" w:space="0" w:color="auto"/>
        <w:bottom w:val="none" w:sz="0" w:space="0" w:color="auto"/>
        <w:right w:val="none" w:sz="0" w:space="0" w:color="auto"/>
      </w:divBdr>
    </w:div>
    <w:div w:id="864946608">
      <w:bodyDiv w:val="1"/>
      <w:marLeft w:val="0"/>
      <w:marRight w:val="0"/>
      <w:marTop w:val="0"/>
      <w:marBottom w:val="0"/>
      <w:divBdr>
        <w:top w:val="none" w:sz="0" w:space="0" w:color="auto"/>
        <w:left w:val="none" w:sz="0" w:space="0" w:color="auto"/>
        <w:bottom w:val="none" w:sz="0" w:space="0" w:color="auto"/>
        <w:right w:val="none" w:sz="0" w:space="0" w:color="auto"/>
      </w:divBdr>
    </w:div>
    <w:div w:id="1134372958">
      <w:bodyDiv w:val="1"/>
      <w:marLeft w:val="0"/>
      <w:marRight w:val="0"/>
      <w:marTop w:val="0"/>
      <w:marBottom w:val="0"/>
      <w:divBdr>
        <w:top w:val="none" w:sz="0" w:space="0" w:color="auto"/>
        <w:left w:val="none" w:sz="0" w:space="0" w:color="auto"/>
        <w:bottom w:val="none" w:sz="0" w:space="0" w:color="auto"/>
        <w:right w:val="none" w:sz="0" w:space="0" w:color="auto"/>
      </w:divBdr>
    </w:div>
    <w:div w:id="1155535451">
      <w:bodyDiv w:val="1"/>
      <w:marLeft w:val="0"/>
      <w:marRight w:val="0"/>
      <w:marTop w:val="0"/>
      <w:marBottom w:val="0"/>
      <w:divBdr>
        <w:top w:val="none" w:sz="0" w:space="0" w:color="auto"/>
        <w:left w:val="none" w:sz="0" w:space="0" w:color="auto"/>
        <w:bottom w:val="none" w:sz="0" w:space="0" w:color="auto"/>
        <w:right w:val="none" w:sz="0" w:space="0" w:color="auto"/>
      </w:divBdr>
    </w:div>
    <w:div w:id="1201279605">
      <w:bodyDiv w:val="1"/>
      <w:marLeft w:val="0"/>
      <w:marRight w:val="0"/>
      <w:marTop w:val="0"/>
      <w:marBottom w:val="0"/>
      <w:divBdr>
        <w:top w:val="none" w:sz="0" w:space="0" w:color="auto"/>
        <w:left w:val="none" w:sz="0" w:space="0" w:color="auto"/>
        <w:bottom w:val="none" w:sz="0" w:space="0" w:color="auto"/>
        <w:right w:val="none" w:sz="0" w:space="0" w:color="auto"/>
      </w:divBdr>
    </w:div>
    <w:div w:id="1301424396">
      <w:bodyDiv w:val="1"/>
      <w:marLeft w:val="0"/>
      <w:marRight w:val="0"/>
      <w:marTop w:val="0"/>
      <w:marBottom w:val="0"/>
      <w:divBdr>
        <w:top w:val="none" w:sz="0" w:space="0" w:color="auto"/>
        <w:left w:val="none" w:sz="0" w:space="0" w:color="auto"/>
        <w:bottom w:val="none" w:sz="0" w:space="0" w:color="auto"/>
        <w:right w:val="none" w:sz="0" w:space="0" w:color="auto"/>
      </w:divBdr>
    </w:div>
    <w:div w:id="1673410268">
      <w:bodyDiv w:val="1"/>
      <w:marLeft w:val="0"/>
      <w:marRight w:val="0"/>
      <w:marTop w:val="0"/>
      <w:marBottom w:val="0"/>
      <w:divBdr>
        <w:top w:val="none" w:sz="0" w:space="0" w:color="auto"/>
        <w:left w:val="none" w:sz="0" w:space="0" w:color="auto"/>
        <w:bottom w:val="none" w:sz="0" w:space="0" w:color="auto"/>
        <w:right w:val="none" w:sz="0" w:space="0" w:color="auto"/>
      </w:divBdr>
    </w:div>
    <w:div w:id="1682047272">
      <w:bodyDiv w:val="1"/>
      <w:marLeft w:val="0"/>
      <w:marRight w:val="0"/>
      <w:marTop w:val="0"/>
      <w:marBottom w:val="0"/>
      <w:divBdr>
        <w:top w:val="none" w:sz="0" w:space="0" w:color="auto"/>
        <w:left w:val="none" w:sz="0" w:space="0" w:color="auto"/>
        <w:bottom w:val="none" w:sz="0" w:space="0" w:color="auto"/>
        <w:right w:val="none" w:sz="0" w:space="0" w:color="auto"/>
      </w:divBdr>
    </w:div>
    <w:div w:id="1745446018">
      <w:bodyDiv w:val="1"/>
      <w:marLeft w:val="0"/>
      <w:marRight w:val="0"/>
      <w:marTop w:val="0"/>
      <w:marBottom w:val="0"/>
      <w:divBdr>
        <w:top w:val="none" w:sz="0" w:space="0" w:color="auto"/>
        <w:left w:val="none" w:sz="0" w:space="0" w:color="auto"/>
        <w:bottom w:val="none" w:sz="0" w:space="0" w:color="auto"/>
        <w:right w:val="none" w:sz="0" w:space="0" w:color="auto"/>
      </w:divBdr>
    </w:div>
    <w:div w:id="2091148839">
      <w:bodyDiv w:val="1"/>
      <w:marLeft w:val="0"/>
      <w:marRight w:val="0"/>
      <w:marTop w:val="0"/>
      <w:marBottom w:val="0"/>
      <w:divBdr>
        <w:top w:val="none" w:sz="0" w:space="0" w:color="auto"/>
        <w:left w:val="none" w:sz="0" w:space="0" w:color="auto"/>
        <w:bottom w:val="none" w:sz="0" w:space="0" w:color="auto"/>
        <w:right w:val="none" w:sz="0" w:space="0" w:color="auto"/>
      </w:divBdr>
    </w:div>
    <w:div w:id="2136096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B574D-89D6-466C-A097-81935DDD8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30293</Words>
  <Characters>172675</Characters>
  <Application>Microsoft Office Word</Application>
  <DocSecurity>0</DocSecurity>
  <Lines>1438</Lines>
  <Paragraphs>405</Paragraphs>
  <ScaleCrop>false</ScaleCrop>
  <HeadingPairs>
    <vt:vector size="2" baseType="variant">
      <vt:variant>
        <vt:lpstr>Titre</vt:lpstr>
      </vt:variant>
      <vt:variant>
        <vt:i4>1</vt:i4>
      </vt:variant>
    </vt:vector>
  </HeadingPairs>
  <TitlesOfParts>
    <vt:vector size="1" baseType="lpstr">
      <vt:lpstr/>
    </vt:vector>
  </TitlesOfParts>
  <Company>CEA</Company>
  <LinksUpToDate>false</LinksUpToDate>
  <CharactersWithSpaces>202563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KOSE Ozge</dc:creator>
  <cp:keywords/>
  <dc:description/>
  <cp:lastModifiedBy>CARRIERE Marie 201099</cp:lastModifiedBy>
  <cp:revision>4</cp:revision>
  <dcterms:created xsi:type="dcterms:W3CDTF">2022-09-21T07:10:00Z</dcterms:created>
  <dcterms:modified xsi:type="dcterms:W3CDTF">2022-10-13T07:35:00Z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Recent Style Id 0_1">
    <vt:lpwstr>http://www.zotero.org/styles/american-political-science-association</vt:lpwstr>
  </property>
  <property fmtid="{D5CDD505-2E9C-101B-9397-08002B2CF9AE}" pid="4" name="Mendeley Recent Style Name 0_1">
    <vt:lpwstr>American Political Science Association</vt:lpwstr>
  </property>
  <property fmtid="{D5CDD505-2E9C-101B-9397-08002B2CF9AE}" pid="5" name="Mendeley Recent Style Id 1_1">
    <vt:lpwstr>http://www.zotero.org/styles/apa</vt:lpwstr>
  </property>
  <property fmtid="{D5CDD505-2E9C-101B-9397-08002B2CF9AE}" pid="6" name="Mendeley Recent Style Name 1_1">
    <vt:lpwstr>American Psychological Association 7th edition</vt:lpwstr>
  </property>
  <property fmtid="{D5CDD505-2E9C-101B-9397-08002B2CF9AE}" pid="7" name="Mendeley Recent Style Id 2_1">
    <vt:lpwstr>http://www.zotero.org/styles/american-sociological-association</vt:lpwstr>
  </property>
  <property fmtid="{D5CDD505-2E9C-101B-9397-08002B2CF9AE}" pid="8" name="Mendeley Recent Style Name 2_1">
    <vt:lpwstr>American Sociological Association 6th edition</vt:lpwstr>
  </property>
  <property fmtid="{D5CDD505-2E9C-101B-9397-08002B2CF9AE}" pid="9" name="Mendeley Recent Style Id 3_1">
    <vt:lpwstr>http://www.zotero.org/styles/annual-review-of-pharmacology-and-toxicology</vt:lpwstr>
  </property>
  <property fmtid="{D5CDD505-2E9C-101B-9397-08002B2CF9AE}" pid="10" name="Mendeley Recent Style Name 3_1">
    <vt:lpwstr>Annual Review of Pharmacology and Toxicology</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http://www.zotero.org/styles/la-trobe-university-apa</vt:lpwstr>
  </property>
  <property fmtid="{D5CDD505-2E9C-101B-9397-08002B2CF9AE}" pid="18" name="Mendeley Recent Style Name 7_1">
    <vt:lpwstr>La Trobe University - APA 6th edition</vt:lpwstr>
  </property>
  <property fmtid="{D5CDD505-2E9C-101B-9397-08002B2CF9AE}" pid="19" name="Mendeley Recent Style Id 8_1">
    <vt:lpwstr>http://www.zotero.org/styles/modern-humanities-research-association</vt:lpwstr>
  </property>
  <property fmtid="{D5CDD505-2E9C-101B-9397-08002B2CF9AE}" pid="20" name="Mendeley Recent Style Name 8_1">
    <vt:lpwstr>Modern Humanities Research Association 3rd edition (note with bibliography)</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y fmtid="{D5CDD505-2E9C-101B-9397-08002B2CF9AE}" pid="23" name="Mendeley Unique User Id_1">
    <vt:lpwstr>3861acd1-6ad4-3891-b69a-da6db7340f8d</vt:lpwstr>
  </property>
  <property fmtid="{D5CDD505-2E9C-101B-9397-08002B2CF9AE}" pid="24" name="Mendeley Citation Style_1">
    <vt:lpwstr>http://www.zotero.org/styles/vancouver</vt:lpwstr>
  </property>
</Properties>
</file>