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8AA317" w14:textId="00346A43" w:rsidR="00A35B2D" w:rsidRPr="00AC347F" w:rsidRDefault="00AC347F">
      <w:pPr>
        <w:rPr>
          <w:b/>
          <w:bCs/>
        </w:rPr>
      </w:pPr>
      <w:r w:rsidRPr="00AC347F">
        <w:rPr>
          <w:b/>
          <w:bCs/>
          <w:lang w:val="en-US"/>
        </w:rPr>
        <w:t>Supplementary</w:t>
      </w:r>
      <w:r w:rsidRPr="00AC347F">
        <w:rPr>
          <w:b/>
          <w:bCs/>
        </w:rPr>
        <w:t xml:space="preserve"> material 1</w:t>
      </w:r>
      <w:r w:rsidR="002C1EC7">
        <w:rPr>
          <w:b/>
          <w:bCs/>
        </w:rPr>
        <w:t>.</w:t>
      </w:r>
      <w:r w:rsidRPr="00AC347F">
        <w:rPr>
          <w:b/>
          <w:bCs/>
        </w:rPr>
        <w:t xml:space="preserve"> </w:t>
      </w:r>
    </w:p>
    <w:p w14:paraId="7593A695" w14:textId="7D3AA29C" w:rsidR="00AC347F" w:rsidRDefault="00AC347F">
      <w:pPr>
        <w:rPr>
          <w:lang w:val="en-US"/>
        </w:rPr>
      </w:pPr>
      <w:r w:rsidRPr="00AC347F">
        <w:rPr>
          <w:lang w:val="en-US"/>
        </w:rPr>
        <w:t>Tabl</w:t>
      </w:r>
      <w:r>
        <w:rPr>
          <w:lang w:val="en-US"/>
        </w:rPr>
        <w:t xml:space="preserve">e 4. </w:t>
      </w:r>
      <w:r w:rsidRPr="00AC347F">
        <w:rPr>
          <w:lang w:val="en-US"/>
        </w:rPr>
        <w:t>Variables associated with superficial incisional s</w:t>
      </w:r>
      <w:r>
        <w:rPr>
          <w:lang w:val="en-US"/>
        </w:rPr>
        <w:t>urgical-site infection (si-SSI): univariate analysis.</w:t>
      </w:r>
    </w:p>
    <w:tbl>
      <w:tblPr>
        <w:tblStyle w:val="Tablaconcuadrcula"/>
        <w:tblW w:w="10773" w:type="dxa"/>
        <w:tblInd w:w="-1139" w:type="dxa"/>
        <w:tblLook w:val="04A0" w:firstRow="1" w:lastRow="0" w:firstColumn="1" w:lastColumn="0" w:noHBand="0" w:noVBand="1"/>
      </w:tblPr>
      <w:tblGrid>
        <w:gridCol w:w="2554"/>
        <w:gridCol w:w="1557"/>
        <w:gridCol w:w="1701"/>
        <w:gridCol w:w="1276"/>
        <w:gridCol w:w="1984"/>
        <w:gridCol w:w="1701"/>
      </w:tblGrid>
      <w:tr w:rsidR="00AC347F" w14:paraId="6F7E3C62" w14:textId="77777777" w:rsidTr="004D261C">
        <w:tc>
          <w:tcPr>
            <w:tcW w:w="2554" w:type="dxa"/>
            <w:vMerge w:val="restart"/>
          </w:tcPr>
          <w:p w14:paraId="5EA699AB" w14:textId="03C06C72" w:rsidR="00AC347F" w:rsidRPr="00AC347F" w:rsidRDefault="00AC347F">
            <w:pPr>
              <w:rPr>
                <w:sz w:val="20"/>
                <w:szCs w:val="20"/>
                <w:lang w:val="en-US"/>
              </w:rPr>
            </w:pPr>
            <w:r w:rsidRPr="00AC347F">
              <w:rPr>
                <w:sz w:val="20"/>
                <w:szCs w:val="20"/>
                <w:lang w:val="en-US"/>
              </w:rPr>
              <w:t>Factor</w:t>
            </w:r>
          </w:p>
        </w:tc>
        <w:tc>
          <w:tcPr>
            <w:tcW w:w="3258" w:type="dxa"/>
            <w:gridSpan w:val="2"/>
            <w:tcBorders>
              <w:bottom w:val="nil"/>
            </w:tcBorders>
          </w:tcPr>
          <w:p w14:paraId="25A83C3F" w14:textId="195E80D8" w:rsidR="00AC347F" w:rsidRPr="00AC347F" w:rsidRDefault="00AC347F" w:rsidP="00AC347F">
            <w:pPr>
              <w:jc w:val="center"/>
              <w:rPr>
                <w:sz w:val="20"/>
                <w:szCs w:val="20"/>
                <w:lang w:val="en-US"/>
              </w:rPr>
            </w:pPr>
            <w:r w:rsidRPr="00AC347F">
              <w:rPr>
                <w:sz w:val="20"/>
                <w:szCs w:val="20"/>
                <w:lang w:val="en-US"/>
              </w:rPr>
              <w:t>Incidence of si-SSI (%)</w:t>
            </w:r>
          </w:p>
        </w:tc>
        <w:tc>
          <w:tcPr>
            <w:tcW w:w="1276" w:type="dxa"/>
            <w:vMerge w:val="restart"/>
          </w:tcPr>
          <w:p w14:paraId="421C0A96" w14:textId="4B9EB748" w:rsidR="00AC347F" w:rsidRPr="00AC347F" w:rsidRDefault="00AC347F">
            <w:pPr>
              <w:rPr>
                <w:sz w:val="20"/>
                <w:szCs w:val="20"/>
                <w:lang w:val="en-US"/>
              </w:rPr>
            </w:pPr>
            <w:r w:rsidRPr="00AC347F">
              <w:rPr>
                <w:sz w:val="20"/>
                <w:szCs w:val="20"/>
                <w:lang w:val="en-US"/>
              </w:rPr>
              <w:t>Risk ratio</w:t>
            </w:r>
          </w:p>
        </w:tc>
        <w:tc>
          <w:tcPr>
            <w:tcW w:w="1984" w:type="dxa"/>
            <w:vMerge w:val="restart"/>
          </w:tcPr>
          <w:p w14:paraId="48CF0431" w14:textId="12E21BE6" w:rsidR="00AC347F" w:rsidRPr="00AC347F" w:rsidRDefault="00AC347F">
            <w:pPr>
              <w:rPr>
                <w:sz w:val="20"/>
                <w:szCs w:val="20"/>
                <w:lang w:val="en-US"/>
              </w:rPr>
            </w:pPr>
            <w:r w:rsidRPr="00AC347F">
              <w:rPr>
                <w:sz w:val="20"/>
                <w:szCs w:val="20"/>
                <w:lang w:val="en-US"/>
              </w:rPr>
              <w:t>95% confidence interval</w:t>
            </w:r>
          </w:p>
        </w:tc>
        <w:tc>
          <w:tcPr>
            <w:tcW w:w="1701" w:type="dxa"/>
            <w:vMerge w:val="restart"/>
          </w:tcPr>
          <w:p w14:paraId="48E0B4A0" w14:textId="6768D776" w:rsidR="00AC347F" w:rsidRPr="00AC347F" w:rsidRDefault="00AC347F">
            <w:pPr>
              <w:rPr>
                <w:sz w:val="20"/>
                <w:szCs w:val="20"/>
                <w:lang w:val="en-US"/>
              </w:rPr>
            </w:pPr>
            <w:r w:rsidRPr="00AC347F">
              <w:rPr>
                <w:sz w:val="20"/>
                <w:szCs w:val="20"/>
                <w:lang w:val="en-US"/>
              </w:rPr>
              <w:t>P-value</w:t>
            </w:r>
          </w:p>
        </w:tc>
      </w:tr>
      <w:tr w:rsidR="00AC347F" w14:paraId="12131B0A" w14:textId="77777777" w:rsidTr="004D261C">
        <w:tc>
          <w:tcPr>
            <w:tcW w:w="2554" w:type="dxa"/>
            <w:vMerge/>
          </w:tcPr>
          <w:p w14:paraId="58DF68C5" w14:textId="77777777" w:rsidR="00AC347F" w:rsidRPr="00AC347F" w:rsidRDefault="00AC347F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557" w:type="dxa"/>
            <w:tcBorders>
              <w:top w:val="nil"/>
              <w:right w:val="nil"/>
            </w:tcBorders>
          </w:tcPr>
          <w:p w14:paraId="0DC3406F" w14:textId="687ED200" w:rsidR="00AC347F" w:rsidRPr="00AC347F" w:rsidRDefault="00AC347F">
            <w:pPr>
              <w:rPr>
                <w:sz w:val="20"/>
                <w:szCs w:val="20"/>
                <w:lang w:val="en-US"/>
              </w:rPr>
            </w:pPr>
            <w:r w:rsidRPr="00AC347F">
              <w:rPr>
                <w:sz w:val="20"/>
                <w:szCs w:val="20"/>
                <w:lang w:val="en-US"/>
              </w:rPr>
              <w:t>Risk factor, no</w:t>
            </w:r>
          </w:p>
        </w:tc>
        <w:tc>
          <w:tcPr>
            <w:tcW w:w="1701" w:type="dxa"/>
            <w:tcBorders>
              <w:top w:val="nil"/>
              <w:left w:val="nil"/>
            </w:tcBorders>
          </w:tcPr>
          <w:p w14:paraId="168BA743" w14:textId="644B4A20" w:rsidR="00AC347F" w:rsidRPr="00AC347F" w:rsidRDefault="00AC347F">
            <w:pPr>
              <w:rPr>
                <w:sz w:val="20"/>
                <w:szCs w:val="20"/>
                <w:lang w:val="en-US"/>
              </w:rPr>
            </w:pPr>
            <w:r w:rsidRPr="00AC347F">
              <w:rPr>
                <w:sz w:val="20"/>
                <w:szCs w:val="20"/>
                <w:lang w:val="en-US"/>
              </w:rPr>
              <w:t xml:space="preserve">Risk factor, yes </w:t>
            </w:r>
          </w:p>
        </w:tc>
        <w:tc>
          <w:tcPr>
            <w:tcW w:w="1276" w:type="dxa"/>
            <w:vMerge/>
          </w:tcPr>
          <w:p w14:paraId="069C6D04" w14:textId="77777777" w:rsidR="00AC347F" w:rsidRPr="00AC347F" w:rsidRDefault="00AC347F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984" w:type="dxa"/>
            <w:vMerge/>
          </w:tcPr>
          <w:p w14:paraId="3A0EE45B" w14:textId="77777777" w:rsidR="00AC347F" w:rsidRPr="00AC347F" w:rsidRDefault="00AC347F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  <w:vMerge/>
          </w:tcPr>
          <w:p w14:paraId="685B4FD9" w14:textId="77777777" w:rsidR="00AC347F" w:rsidRPr="00AC347F" w:rsidRDefault="00AC347F">
            <w:pPr>
              <w:rPr>
                <w:sz w:val="20"/>
                <w:szCs w:val="20"/>
                <w:lang w:val="en-US"/>
              </w:rPr>
            </w:pPr>
          </w:p>
        </w:tc>
      </w:tr>
      <w:tr w:rsidR="00AC347F" w14:paraId="352611E5" w14:textId="77777777" w:rsidTr="004D261C">
        <w:tc>
          <w:tcPr>
            <w:tcW w:w="2554" w:type="dxa"/>
          </w:tcPr>
          <w:p w14:paraId="3F357A15" w14:textId="77777777" w:rsidR="00AC347F" w:rsidRDefault="00AC347F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Surgical indication (malignancy)</w:t>
            </w:r>
          </w:p>
          <w:p w14:paraId="020114FF" w14:textId="40F62D52" w:rsidR="00CC230C" w:rsidRPr="00AC347F" w:rsidRDefault="00CC230C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557" w:type="dxa"/>
          </w:tcPr>
          <w:p w14:paraId="7E8F1D40" w14:textId="35A62B00" w:rsidR="00AC347F" w:rsidRPr="00AC347F" w:rsidRDefault="00AC347F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10/183 (</w:t>
            </w:r>
            <w:r w:rsidR="00CC230C">
              <w:rPr>
                <w:sz w:val="20"/>
                <w:szCs w:val="20"/>
                <w:lang w:val="en-US"/>
              </w:rPr>
              <w:t>5.46</w:t>
            </w:r>
            <w:r>
              <w:rPr>
                <w:sz w:val="20"/>
                <w:szCs w:val="20"/>
                <w:lang w:val="en-US"/>
              </w:rPr>
              <w:t>%)</w:t>
            </w:r>
          </w:p>
        </w:tc>
        <w:tc>
          <w:tcPr>
            <w:tcW w:w="1701" w:type="dxa"/>
          </w:tcPr>
          <w:p w14:paraId="53621D4F" w14:textId="4E569762" w:rsidR="00AC347F" w:rsidRPr="00AC347F" w:rsidRDefault="00AC347F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15/161 (</w:t>
            </w:r>
            <w:r w:rsidR="00CC230C">
              <w:rPr>
                <w:sz w:val="20"/>
                <w:szCs w:val="20"/>
                <w:lang w:val="en-US"/>
              </w:rPr>
              <w:t>9.32%)</w:t>
            </w:r>
          </w:p>
        </w:tc>
        <w:tc>
          <w:tcPr>
            <w:tcW w:w="1276" w:type="dxa"/>
          </w:tcPr>
          <w:p w14:paraId="760B303F" w14:textId="11A12BC7" w:rsidR="00AC347F" w:rsidRPr="00AC347F" w:rsidRDefault="00CC230C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1.70</w:t>
            </w:r>
          </w:p>
        </w:tc>
        <w:tc>
          <w:tcPr>
            <w:tcW w:w="1984" w:type="dxa"/>
          </w:tcPr>
          <w:p w14:paraId="2646C4D8" w14:textId="658C09F1" w:rsidR="00AC347F" w:rsidRPr="00AC347F" w:rsidRDefault="00CC230C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0.79 – 3.69</w:t>
            </w:r>
          </w:p>
        </w:tc>
        <w:tc>
          <w:tcPr>
            <w:tcW w:w="1701" w:type="dxa"/>
          </w:tcPr>
          <w:p w14:paraId="03FA51F0" w14:textId="627EA3BA" w:rsidR="00AC347F" w:rsidRPr="00AC347F" w:rsidRDefault="00CC230C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0.170*</w:t>
            </w:r>
          </w:p>
        </w:tc>
      </w:tr>
      <w:tr w:rsidR="00AC347F" w14:paraId="4178C3A0" w14:textId="77777777" w:rsidTr="004D261C">
        <w:tc>
          <w:tcPr>
            <w:tcW w:w="2554" w:type="dxa"/>
          </w:tcPr>
          <w:p w14:paraId="76D2F1F7" w14:textId="63AF63EC" w:rsidR="00AC347F" w:rsidRPr="00AC347F" w:rsidRDefault="00CC230C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Major liver resection</w:t>
            </w:r>
          </w:p>
        </w:tc>
        <w:tc>
          <w:tcPr>
            <w:tcW w:w="1557" w:type="dxa"/>
          </w:tcPr>
          <w:p w14:paraId="099EB44A" w14:textId="77777777" w:rsidR="00AC347F" w:rsidRDefault="00CC230C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23/317 (7.26%)</w:t>
            </w:r>
          </w:p>
          <w:p w14:paraId="15998C24" w14:textId="446C4BA4" w:rsidR="00CC230C" w:rsidRPr="00AC347F" w:rsidRDefault="00CC230C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</w:tcPr>
          <w:p w14:paraId="3EA1FAD9" w14:textId="5FD5ABFD" w:rsidR="00AC347F" w:rsidRPr="00AC347F" w:rsidRDefault="00CC230C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2/27 (7.41%)</w:t>
            </w:r>
          </w:p>
        </w:tc>
        <w:tc>
          <w:tcPr>
            <w:tcW w:w="1276" w:type="dxa"/>
          </w:tcPr>
          <w:p w14:paraId="67213264" w14:textId="15671AE3" w:rsidR="00AC347F" w:rsidRPr="00AC347F" w:rsidRDefault="00CC230C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1.02</w:t>
            </w:r>
          </w:p>
        </w:tc>
        <w:tc>
          <w:tcPr>
            <w:tcW w:w="1984" w:type="dxa"/>
          </w:tcPr>
          <w:p w14:paraId="7F97252E" w14:textId="619CF75A" w:rsidR="00AC347F" w:rsidRPr="00AC347F" w:rsidRDefault="00CC230C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0.25 – 4.10</w:t>
            </w:r>
          </w:p>
        </w:tc>
        <w:tc>
          <w:tcPr>
            <w:tcW w:w="1701" w:type="dxa"/>
          </w:tcPr>
          <w:p w14:paraId="647A4367" w14:textId="360D219E" w:rsidR="00AC347F" w:rsidRPr="00CC230C" w:rsidRDefault="00CC230C">
            <w:pPr>
              <w:rPr>
                <w:sz w:val="20"/>
                <w:szCs w:val="20"/>
                <w:vertAlign w:val="superscript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0.977</w:t>
            </w:r>
            <w:r>
              <w:rPr>
                <w:sz w:val="20"/>
                <w:szCs w:val="20"/>
                <w:vertAlign w:val="superscript"/>
                <w:lang w:val="en-US"/>
              </w:rPr>
              <w:t>Ç</w:t>
            </w:r>
          </w:p>
        </w:tc>
      </w:tr>
      <w:tr w:rsidR="00AC347F" w14:paraId="63484C2E" w14:textId="77777777" w:rsidTr="004D261C">
        <w:tc>
          <w:tcPr>
            <w:tcW w:w="2554" w:type="dxa"/>
          </w:tcPr>
          <w:p w14:paraId="7E6970AB" w14:textId="5A1A3CC8" w:rsidR="00AC347F" w:rsidRPr="00AC347F" w:rsidRDefault="00CC230C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Major pancreatic resection</w:t>
            </w:r>
          </w:p>
        </w:tc>
        <w:tc>
          <w:tcPr>
            <w:tcW w:w="1557" w:type="dxa"/>
          </w:tcPr>
          <w:p w14:paraId="2E144456" w14:textId="3AB1B113" w:rsidR="00AC347F" w:rsidRPr="00AC347F" w:rsidRDefault="00CC230C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22/320 (6.87%)</w:t>
            </w:r>
          </w:p>
        </w:tc>
        <w:tc>
          <w:tcPr>
            <w:tcW w:w="1701" w:type="dxa"/>
          </w:tcPr>
          <w:p w14:paraId="5A8E6697" w14:textId="136DC27E" w:rsidR="00AC347F" w:rsidRPr="00AC347F" w:rsidRDefault="00CC230C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3/24 (12.5%)</w:t>
            </w:r>
          </w:p>
        </w:tc>
        <w:tc>
          <w:tcPr>
            <w:tcW w:w="1276" w:type="dxa"/>
          </w:tcPr>
          <w:p w14:paraId="24029669" w14:textId="362295E6" w:rsidR="00AC347F" w:rsidRPr="00AC347F" w:rsidRDefault="00CC230C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1.82</w:t>
            </w:r>
          </w:p>
        </w:tc>
        <w:tc>
          <w:tcPr>
            <w:tcW w:w="1984" w:type="dxa"/>
          </w:tcPr>
          <w:p w14:paraId="1250EEAC" w14:textId="69CD75B2" w:rsidR="00AC347F" w:rsidRPr="00AC347F" w:rsidRDefault="00CC230C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0.59 – 5.64</w:t>
            </w:r>
          </w:p>
        </w:tc>
        <w:tc>
          <w:tcPr>
            <w:tcW w:w="1701" w:type="dxa"/>
          </w:tcPr>
          <w:p w14:paraId="519F431B" w14:textId="64663EBF" w:rsidR="00AC347F" w:rsidRPr="00CC230C" w:rsidRDefault="00CC230C">
            <w:pPr>
              <w:rPr>
                <w:sz w:val="20"/>
                <w:szCs w:val="20"/>
                <w:vertAlign w:val="superscript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0.401</w:t>
            </w:r>
            <w:r>
              <w:rPr>
                <w:sz w:val="20"/>
                <w:szCs w:val="20"/>
                <w:vertAlign w:val="superscript"/>
                <w:lang w:val="en-US"/>
              </w:rPr>
              <w:t>Ç</w:t>
            </w:r>
          </w:p>
          <w:p w14:paraId="18D808D8" w14:textId="77777777" w:rsidR="00CC230C" w:rsidRDefault="00CC230C">
            <w:pPr>
              <w:rPr>
                <w:sz w:val="20"/>
                <w:szCs w:val="20"/>
                <w:lang w:val="en-US"/>
              </w:rPr>
            </w:pPr>
          </w:p>
          <w:p w14:paraId="45E0FC9F" w14:textId="65DE365A" w:rsidR="00CC230C" w:rsidRPr="00AC347F" w:rsidRDefault="00CC230C">
            <w:pPr>
              <w:rPr>
                <w:sz w:val="20"/>
                <w:szCs w:val="20"/>
                <w:lang w:val="en-US"/>
              </w:rPr>
            </w:pPr>
          </w:p>
        </w:tc>
      </w:tr>
      <w:tr w:rsidR="00AC347F" w14:paraId="4174A08D" w14:textId="77777777" w:rsidTr="004D261C">
        <w:tc>
          <w:tcPr>
            <w:tcW w:w="2554" w:type="dxa"/>
          </w:tcPr>
          <w:p w14:paraId="774B051C" w14:textId="77777777" w:rsidR="00AC347F" w:rsidRDefault="00CC230C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Bilioenteric anastomosis</w:t>
            </w:r>
          </w:p>
          <w:p w14:paraId="67FCBC44" w14:textId="794F6E65" w:rsidR="00CC230C" w:rsidRPr="00AC347F" w:rsidRDefault="00CC230C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557" w:type="dxa"/>
          </w:tcPr>
          <w:p w14:paraId="65CF7DF4" w14:textId="3E4E2B92" w:rsidR="00AC347F" w:rsidRPr="00AC347F" w:rsidRDefault="00CC230C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23/328 (7.01%)</w:t>
            </w:r>
          </w:p>
        </w:tc>
        <w:tc>
          <w:tcPr>
            <w:tcW w:w="1701" w:type="dxa"/>
          </w:tcPr>
          <w:p w14:paraId="641FE024" w14:textId="3D0BED2E" w:rsidR="00AC347F" w:rsidRPr="00AC347F" w:rsidRDefault="00CC230C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2/16 (12.5%)</w:t>
            </w:r>
          </w:p>
        </w:tc>
        <w:tc>
          <w:tcPr>
            <w:tcW w:w="1276" w:type="dxa"/>
          </w:tcPr>
          <w:p w14:paraId="35E6B180" w14:textId="4241C1F2" w:rsidR="00AC347F" w:rsidRPr="00AC347F" w:rsidRDefault="00CC230C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1.78</w:t>
            </w:r>
          </w:p>
        </w:tc>
        <w:tc>
          <w:tcPr>
            <w:tcW w:w="1984" w:type="dxa"/>
          </w:tcPr>
          <w:p w14:paraId="6E344EF8" w14:textId="151F149B" w:rsidR="00AC347F" w:rsidRPr="00AC347F" w:rsidRDefault="00CC230C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0.46 – 6.91</w:t>
            </w:r>
          </w:p>
        </w:tc>
        <w:tc>
          <w:tcPr>
            <w:tcW w:w="1701" w:type="dxa"/>
          </w:tcPr>
          <w:p w14:paraId="67C66745" w14:textId="47DAA757" w:rsidR="00AC347F" w:rsidRPr="004D261C" w:rsidRDefault="004D261C">
            <w:pPr>
              <w:rPr>
                <w:sz w:val="20"/>
                <w:szCs w:val="20"/>
                <w:vertAlign w:val="superscript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0.327</w:t>
            </w:r>
            <w:r>
              <w:rPr>
                <w:sz w:val="20"/>
                <w:szCs w:val="20"/>
                <w:vertAlign w:val="superscript"/>
                <w:lang w:val="en-US"/>
              </w:rPr>
              <w:t>Ç</w:t>
            </w:r>
          </w:p>
        </w:tc>
      </w:tr>
      <w:tr w:rsidR="004D261C" w14:paraId="614F45C8" w14:textId="77777777" w:rsidTr="004D261C">
        <w:tc>
          <w:tcPr>
            <w:tcW w:w="2554" w:type="dxa"/>
          </w:tcPr>
          <w:p w14:paraId="184B806A" w14:textId="77777777" w:rsidR="004D261C" w:rsidRDefault="004D261C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Laparoscopic approach</w:t>
            </w:r>
          </w:p>
          <w:p w14:paraId="5C8C3750" w14:textId="19777EE3" w:rsidR="004D261C" w:rsidRDefault="004D261C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557" w:type="dxa"/>
          </w:tcPr>
          <w:p w14:paraId="4441A246" w14:textId="77777777" w:rsidR="004D261C" w:rsidRDefault="004D261C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15/163 (9.20%)</w:t>
            </w:r>
          </w:p>
          <w:p w14:paraId="0A32D92C" w14:textId="4463D07A" w:rsidR="004D261C" w:rsidRDefault="004D261C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</w:tcPr>
          <w:p w14:paraId="5BC2300B" w14:textId="023C196B" w:rsidR="004D261C" w:rsidRDefault="004D261C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10/181 (5.52%)</w:t>
            </w:r>
          </w:p>
        </w:tc>
        <w:tc>
          <w:tcPr>
            <w:tcW w:w="1276" w:type="dxa"/>
          </w:tcPr>
          <w:p w14:paraId="43BA05A4" w14:textId="5860D98C" w:rsidR="004D261C" w:rsidRDefault="004D261C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0.61</w:t>
            </w:r>
          </w:p>
        </w:tc>
        <w:tc>
          <w:tcPr>
            <w:tcW w:w="1984" w:type="dxa"/>
          </w:tcPr>
          <w:p w14:paraId="527730C8" w14:textId="1F985C15" w:rsidR="004D261C" w:rsidRDefault="004D261C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0.28 – 1.30</w:t>
            </w:r>
          </w:p>
        </w:tc>
        <w:tc>
          <w:tcPr>
            <w:tcW w:w="1701" w:type="dxa"/>
          </w:tcPr>
          <w:p w14:paraId="41973815" w14:textId="7A4AC1DD" w:rsidR="004D261C" w:rsidRDefault="004D261C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0.190*</w:t>
            </w:r>
          </w:p>
        </w:tc>
      </w:tr>
      <w:tr w:rsidR="00AC347F" w14:paraId="69F560C8" w14:textId="77777777" w:rsidTr="004D261C">
        <w:tc>
          <w:tcPr>
            <w:tcW w:w="2554" w:type="dxa"/>
          </w:tcPr>
          <w:p w14:paraId="785DDFE8" w14:textId="77777777" w:rsidR="00AC347F" w:rsidRDefault="004D261C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Total bilirubin level </w:t>
            </w:r>
            <w:r>
              <w:rPr>
                <w:rFonts w:cstheme="minorHAnsi"/>
                <w:sz w:val="20"/>
                <w:szCs w:val="20"/>
                <w:lang w:val="en-US"/>
              </w:rPr>
              <w:t>≥2 mg/dL (serum)</w:t>
            </w:r>
          </w:p>
          <w:p w14:paraId="5FE07E18" w14:textId="611EDF00" w:rsidR="004D261C" w:rsidRPr="00AC347F" w:rsidRDefault="004D261C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557" w:type="dxa"/>
          </w:tcPr>
          <w:p w14:paraId="42523F74" w14:textId="349E88BE" w:rsidR="00AC347F" w:rsidRPr="00AC347F" w:rsidRDefault="004D261C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19/270 (7.04%)</w:t>
            </w:r>
          </w:p>
        </w:tc>
        <w:tc>
          <w:tcPr>
            <w:tcW w:w="1701" w:type="dxa"/>
          </w:tcPr>
          <w:p w14:paraId="68590BB9" w14:textId="55E18FAA" w:rsidR="00AC347F" w:rsidRPr="00AC347F" w:rsidRDefault="004D261C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6/74 (8.11%)</w:t>
            </w:r>
          </w:p>
        </w:tc>
        <w:tc>
          <w:tcPr>
            <w:tcW w:w="1276" w:type="dxa"/>
          </w:tcPr>
          <w:p w14:paraId="3B239618" w14:textId="23273C21" w:rsidR="00AC347F" w:rsidRPr="00AC347F" w:rsidRDefault="004D261C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1.15</w:t>
            </w:r>
          </w:p>
        </w:tc>
        <w:tc>
          <w:tcPr>
            <w:tcW w:w="1984" w:type="dxa"/>
          </w:tcPr>
          <w:p w14:paraId="5F41E10C" w14:textId="4ACE28B6" w:rsidR="00AC347F" w:rsidRPr="00AC347F" w:rsidRDefault="004D261C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0.48 – 2.78</w:t>
            </w:r>
          </w:p>
        </w:tc>
        <w:tc>
          <w:tcPr>
            <w:tcW w:w="1701" w:type="dxa"/>
          </w:tcPr>
          <w:p w14:paraId="7D636A63" w14:textId="0C4F8145" w:rsidR="00AC347F" w:rsidRPr="00AC347F" w:rsidRDefault="004D261C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0.195*</w:t>
            </w:r>
          </w:p>
        </w:tc>
      </w:tr>
    </w:tbl>
    <w:p w14:paraId="5ED249F6" w14:textId="77777777" w:rsidR="00CC230C" w:rsidRDefault="00CC230C" w:rsidP="00CC230C">
      <w:pPr>
        <w:spacing w:after="0" w:line="240" w:lineRule="auto"/>
        <w:rPr>
          <w:lang w:val="en-US"/>
        </w:rPr>
      </w:pPr>
    </w:p>
    <w:p w14:paraId="05DAB16E" w14:textId="2A9986BA" w:rsidR="00AC347F" w:rsidRDefault="00CC230C" w:rsidP="00CC230C">
      <w:pPr>
        <w:spacing w:after="0" w:line="240" w:lineRule="auto"/>
        <w:rPr>
          <w:lang w:val="en-US"/>
        </w:rPr>
      </w:pPr>
      <w:r>
        <w:rPr>
          <w:lang w:val="en-US"/>
        </w:rPr>
        <w:t xml:space="preserve">*Pearson’s Chi-square test. </w:t>
      </w:r>
    </w:p>
    <w:p w14:paraId="22F176C4" w14:textId="51058C1D" w:rsidR="00CC230C" w:rsidRDefault="00CC230C" w:rsidP="00CC230C">
      <w:pPr>
        <w:spacing w:after="0" w:line="240" w:lineRule="auto"/>
        <w:rPr>
          <w:lang w:val="en-US"/>
        </w:rPr>
      </w:pPr>
      <w:r>
        <w:rPr>
          <w:vertAlign w:val="superscript"/>
          <w:lang w:val="en-US"/>
        </w:rPr>
        <w:t xml:space="preserve">Ç </w:t>
      </w:r>
      <w:r>
        <w:rPr>
          <w:lang w:val="en-US"/>
        </w:rPr>
        <w:t xml:space="preserve">Fisher’s exact test. </w:t>
      </w:r>
    </w:p>
    <w:p w14:paraId="5CDD2321" w14:textId="66F999A1" w:rsidR="00CC230C" w:rsidRDefault="00CC230C" w:rsidP="00CC230C">
      <w:pPr>
        <w:spacing w:after="0" w:line="240" w:lineRule="auto"/>
        <w:rPr>
          <w:lang w:val="en-US"/>
        </w:rPr>
      </w:pPr>
    </w:p>
    <w:p w14:paraId="108799F8" w14:textId="77777777" w:rsidR="004D261C" w:rsidRPr="00CC230C" w:rsidRDefault="004D261C" w:rsidP="00CC230C">
      <w:pPr>
        <w:spacing w:after="0" w:line="240" w:lineRule="auto"/>
        <w:rPr>
          <w:lang w:val="en-US"/>
        </w:rPr>
      </w:pPr>
    </w:p>
    <w:p w14:paraId="56098EFC" w14:textId="5BE2191C" w:rsidR="00AC347F" w:rsidRDefault="00AC347F">
      <w:pPr>
        <w:rPr>
          <w:lang w:val="en-US"/>
        </w:rPr>
      </w:pPr>
      <w:r>
        <w:rPr>
          <w:lang w:val="en-US"/>
        </w:rPr>
        <w:t>Table 5. Independent factors associated with superficial incisional surgical-site infection (si-SSI) in the multivariate analysis.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831"/>
        <w:gridCol w:w="2831"/>
        <w:gridCol w:w="2832"/>
      </w:tblGrid>
      <w:tr w:rsidR="00AC347F" w14:paraId="10AF2643" w14:textId="77777777" w:rsidTr="00AC347F">
        <w:tc>
          <w:tcPr>
            <w:tcW w:w="2831" w:type="dxa"/>
          </w:tcPr>
          <w:p w14:paraId="37345C62" w14:textId="4912FBFA" w:rsidR="00AC347F" w:rsidRDefault="00AC347F">
            <w:pPr>
              <w:rPr>
                <w:lang w:val="en-US"/>
              </w:rPr>
            </w:pPr>
            <w:r>
              <w:rPr>
                <w:lang w:val="en-US"/>
              </w:rPr>
              <w:t>Factor</w:t>
            </w:r>
          </w:p>
        </w:tc>
        <w:tc>
          <w:tcPr>
            <w:tcW w:w="2831" w:type="dxa"/>
          </w:tcPr>
          <w:p w14:paraId="6EC8FE94" w14:textId="3816535B" w:rsidR="00AC347F" w:rsidRDefault="00AC347F">
            <w:pPr>
              <w:rPr>
                <w:lang w:val="en-US"/>
              </w:rPr>
            </w:pPr>
            <w:r>
              <w:rPr>
                <w:lang w:val="en-US"/>
              </w:rPr>
              <w:t>Odds ratio</w:t>
            </w:r>
          </w:p>
        </w:tc>
        <w:tc>
          <w:tcPr>
            <w:tcW w:w="2832" w:type="dxa"/>
          </w:tcPr>
          <w:p w14:paraId="2FDB71F2" w14:textId="31375C83" w:rsidR="00AC347F" w:rsidRDefault="00AC347F">
            <w:pPr>
              <w:rPr>
                <w:lang w:val="en-US"/>
              </w:rPr>
            </w:pPr>
            <w:r>
              <w:rPr>
                <w:lang w:val="en-US"/>
              </w:rPr>
              <w:t>95% confidence interval</w:t>
            </w:r>
          </w:p>
        </w:tc>
      </w:tr>
      <w:tr w:rsidR="004D261C" w14:paraId="7E0B7211" w14:textId="77777777" w:rsidTr="00AC347F">
        <w:tc>
          <w:tcPr>
            <w:tcW w:w="2831" w:type="dxa"/>
          </w:tcPr>
          <w:p w14:paraId="1823E1B3" w14:textId="77777777" w:rsidR="004D261C" w:rsidRDefault="004D261C" w:rsidP="004D261C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Surgical indication (malignancy)</w:t>
            </w:r>
          </w:p>
          <w:p w14:paraId="39423045" w14:textId="77777777" w:rsidR="004D261C" w:rsidRDefault="004D261C">
            <w:pPr>
              <w:rPr>
                <w:lang w:val="en-US"/>
              </w:rPr>
            </w:pPr>
          </w:p>
        </w:tc>
        <w:tc>
          <w:tcPr>
            <w:tcW w:w="2831" w:type="dxa"/>
          </w:tcPr>
          <w:p w14:paraId="3B428FBF" w14:textId="40559940" w:rsidR="004D261C" w:rsidRDefault="004D261C">
            <w:pPr>
              <w:rPr>
                <w:lang w:val="en-US"/>
              </w:rPr>
            </w:pPr>
            <w:r>
              <w:rPr>
                <w:lang w:val="en-US"/>
              </w:rPr>
              <w:t>1.24</w:t>
            </w:r>
          </w:p>
        </w:tc>
        <w:tc>
          <w:tcPr>
            <w:tcW w:w="2832" w:type="dxa"/>
          </w:tcPr>
          <w:p w14:paraId="03917393" w14:textId="5FA802CA" w:rsidR="004D261C" w:rsidRDefault="004D261C">
            <w:pPr>
              <w:rPr>
                <w:lang w:val="en-US"/>
              </w:rPr>
            </w:pPr>
            <w:r>
              <w:rPr>
                <w:lang w:val="en-US"/>
              </w:rPr>
              <w:t>0.37 – 4.13</w:t>
            </w:r>
          </w:p>
        </w:tc>
      </w:tr>
      <w:tr w:rsidR="004D261C" w14:paraId="736FF4F6" w14:textId="77777777" w:rsidTr="00AC347F">
        <w:tc>
          <w:tcPr>
            <w:tcW w:w="2831" w:type="dxa"/>
          </w:tcPr>
          <w:p w14:paraId="19CE8469" w14:textId="77777777" w:rsidR="004D261C" w:rsidRDefault="004D261C" w:rsidP="004D261C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Major pancreatic resection</w:t>
            </w:r>
          </w:p>
          <w:p w14:paraId="15FD63CD" w14:textId="393AA4BC" w:rsidR="004D261C" w:rsidRDefault="004D261C" w:rsidP="004D261C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831" w:type="dxa"/>
          </w:tcPr>
          <w:p w14:paraId="34EA6160" w14:textId="49254CBC" w:rsidR="004D261C" w:rsidRDefault="004D261C">
            <w:pPr>
              <w:rPr>
                <w:lang w:val="en-US"/>
              </w:rPr>
            </w:pPr>
            <w:r>
              <w:rPr>
                <w:lang w:val="en-US"/>
              </w:rPr>
              <w:t>1.55</w:t>
            </w:r>
          </w:p>
        </w:tc>
        <w:tc>
          <w:tcPr>
            <w:tcW w:w="2832" w:type="dxa"/>
          </w:tcPr>
          <w:p w14:paraId="1EA678AB" w14:textId="39007443" w:rsidR="004D261C" w:rsidRDefault="004D261C">
            <w:pPr>
              <w:rPr>
                <w:lang w:val="en-US"/>
              </w:rPr>
            </w:pPr>
            <w:r>
              <w:rPr>
                <w:lang w:val="en-US"/>
              </w:rPr>
              <w:t>0.39 – 6.11</w:t>
            </w:r>
          </w:p>
        </w:tc>
      </w:tr>
      <w:tr w:rsidR="004D261C" w14:paraId="7C6E9442" w14:textId="77777777" w:rsidTr="00AC347F">
        <w:tc>
          <w:tcPr>
            <w:tcW w:w="2831" w:type="dxa"/>
          </w:tcPr>
          <w:p w14:paraId="3207BB7C" w14:textId="77777777" w:rsidR="004D261C" w:rsidRDefault="004D261C" w:rsidP="004D261C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Laparoscopic approach</w:t>
            </w:r>
          </w:p>
          <w:p w14:paraId="00FFD972" w14:textId="77777777" w:rsidR="004D261C" w:rsidRDefault="004D261C" w:rsidP="004D261C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831" w:type="dxa"/>
          </w:tcPr>
          <w:p w14:paraId="72458EFA" w14:textId="5E31BB93" w:rsidR="004D261C" w:rsidRDefault="004D261C">
            <w:pPr>
              <w:rPr>
                <w:lang w:val="en-US"/>
              </w:rPr>
            </w:pPr>
            <w:r>
              <w:rPr>
                <w:lang w:val="en-US"/>
              </w:rPr>
              <w:t>0.75</w:t>
            </w:r>
          </w:p>
        </w:tc>
        <w:tc>
          <w:tcPr>
            <w:tcW w:w="2832" w:type="dxa"/>
          </w:tcPr>
          <w:p w14:paraId="718AFF3C" w14:textId="251EBA29" w:rsidR="004D261C" w:rsidRDefault="004D261C">
            <w:pPr>
              <w:rPr>
                <w:lang w:val="en-US"/>
              </w:rPr>
            </w:pPr>
            <w:r>
              <w:rPr>
                <w:lang w:val="en-US"/>
              </w:rPr>
              <w:t>0.25 – 2.39</w:t>
            </w:r>
          </w:p>
        </w:tc>
      </w:tr>
      <w:tr w:rsidR="004D261C" w14:paraId="63A6CECD" w14:textId="77777777" w:rsidTr="00AC347F">
        <w:tc>
          <w:tcPr>
            <w:tcW w:w="2831" w:type="dxa"/>
          </w:tcPr>
          <w:p w14:paraId="0A66D70E" w14:textId="77777777" w:rsidR="004D261C" w:rsidRDefault="004D261C" w:rsidP="004D261C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Total bilirubin level </w:t>
            </w:r>
            <w:r>
              <w:rPr>
                <w:rFonts w:cstheme="minorHAnsi"/>
                <w:sz w:val="20"/>
                <w:szCs w:val="20"/>
                <w:lang w:val="en-US"/>
              </w:rPr>
              <w:t>≥2 mg/dL (serum)</w:t>
            </w:r>
          </w:p>
          <w:p w14:paraId="12C68AC7" w14:textId="77777777" w:rsidR="004D261C" w:rsidRDefault="004D261C" w:rsidP="004D261C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831" w:type="dxa"/>
          </w:tcPr>
          <w:p w14:paraId="65C6ADC3" w14:textId="1128ABFC" w:rsidR="004D261C" w:rsidRDefault="004D261C">
            <w:pPr>
              <w:rPr>
                <w:lang w:val="en-US"/>
              </w:rPr>
            </w:pPr>
            <w:r>
              <w:rPr>
                <w:lang w:val="en-US"/>
              </w:rPr>
              <w:t>3.19</w:t>
            </w:r>
          </w:p>
        </w:tc>
        <w:tc>
          <w:tcPr>
            <w:tcW w:w="2832" w:type="dxa"/>
          </w:tcPr>
          <w:p w14:paraId="1204F7E5" w14:textId="560A3BB9" w:rsidR="004D261C" w:rsidRDefault="004D261C">
            <w:pPr>
              <w:rPr>
                <w:lang w:val="en-US"/>
              </w:rPr>
            </w:pPr>
            <w:r>
              <w:rPr>
                <w:lang w:val="en-US"/>
              </w:rPr>
              <w:t>0.49 – 25.33</w:t>
            </w:r>
          </w:p>
        </w:tc>
      </w:tr>
    </w:tbl>
    <w:p w14:paraId="20FE6FF2" w14:textId="11849606" w:rsidR="002C1EC7" w:rsidRPr="00AC347F" w:rsidRDefault="002C1EC7">
      <w:pPr>
        <w:rPr>
          <w:lang w:val="en-US"/>
        </w:rPr>
      </w:pPr>
      <w:r>
        <w:rPr>
          <w:lang w:val="en-US"/>
        </w:rPr>
        <w:t>*</w:t>
      </w:r>
      <w:r w:rsidR="004D261C">
        <w:rPr>
          <w:lang w:val="en-US"/>
        </w:rPr>
        <w:t xml:space="preserve">Variables </w:t>
      </w:r>
      <w:r>
        <w:rPr>
          <w:lang w:val="en-US"/>
        </w:rPr>
        <w:t xml:space="preserve">selected by univariate analyses with a p-value </w:t>
      </w:r>
      <w:r>
        <w:rPr>
          <w:rFonts w:cstheme="minorHAnsi"/>
          <w:lang w:val="en-US"/>
        </w:rPr>
        <w:t>≤</w:t>
      </w:r>
      <w:r>
        <w:rPr>
          <w:lang w:val="en-US"/>
        </w:rPr>
        <w:t>0.2 were subsequently entered in the multiple logistic regression model to estimate the size of the association (Odds ratio) and the 95% confidence interval</w:t>
      </w:r>
    </w:p>
    <w:sectPr w:rsidR="002C1EC7" w:rsidRPr="00AC347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347F"/>
    <w:rsid w:val="002C1EC7"/>
    <w:rsid w:val="004D261C"/>
    <w:rsid w:val="00A35B2D"/>
    <w:rsid w:val="00AC347F"/>
    <w:rsid w:val="00CC23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ACFB87"/>
  <w15:chartTrackingRefBased/>
  <w15:docId w15:val="{8BF096BD-739D-41E7-AD18-3E4A99C664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AC34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214</Words>
  <Characters>1182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Ignacio Aguirre Allende</dc:creator>
  <cp:keywords/>
  <dc:description/>
  <cp:lastModifiedBy>Ignacio Aguirre Allende</cp:lastModifiedBy>
  <cp:revision>1</cp:revision>
  <dcterms:created xsi:type="dcterms:W3CDTF">2022-10-14T15:52:00Z</dcterms:created>
  <dcterms:modified xsi:type="dcterms:W3CDTF">2022-10-14T16:25:00Z</dcterms:modified>
</cp:coreProperties>
</file>