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eastAsiaTheme="minorEastAsia"/>
          <w:b w:val="0"/>
          <w:bCs w:val="0"/>
          <w:i w:val="0"/>
          <w:iCs w:val="0"/>
          <w:color w:val="auto"/>
          <w:sz w:val="24"/>
          <w:szCs w:val="24"/>
          <w:u w:val="none"/>
        </w:rPr>
      </w:pPr>
      <w:r>
        <w:rPr>
          <w:rFonts w:hint="default" w:ascii="Times New Roman" w:hAnsi="Times New Roman" w:cs="Times New Roman" w:eastAsiaTheme="minorEastAsia"/>
          <w:b w:val="0"/>
          <w:bCs w:val="0"/>
          <w:i w:val="0"/>
          <w:iCs w:val="0"/>
          <w:color w:val="auto"/>
          <w:sz w:val="24"/>
          <w:szCs w:val="24"/>
          <w:u w:val="none"/>
        </w:rPr>
        <w:t>Expert C</w:t>
      </w:r>
      <w:bookmarkStart w:id="0" w:name="_GoBack"/>
      <w:bookmarkEnd w:id="0"/>
      <w:r>
        <w:rPr>
          <w:rFonts w:hint="default" w:ascii="Times New Roman" w:hAnsi="Times New Roman" w:cs="Times New Roman" w:eastAsiaTheme="minorEastAsia"/>
          <w:b w:val="0"/>
          <w:bCs w:val="0"/>
          <w:i w:val="0"/>
          <w:iCs w:val="0"/>
          <w:color w:val="auto"/>
          <w:sz w:val="24"/>
          <w:szCs w:val="24"/>
          <w:u w:val="none"/>
        </w:rPr>
        <w:t>onsultation Form of Large</w:t>
      </w:r>
      <w:r>
        <w:rPr>
          <w:rFonts w:hint="default" w:ascii="Times New Roman" w:hAnsi="Times New Roman" w:cs="Times New Roman" w:eastAsiaTheme="minorEastAsia"/>
          <w:b w:val="0"/>
          <w:bCs w:val="0"/>
          <w:i w:val="0"/>
          <w:iCs w:val="0"/>
          <w:color w:val="auto"/>
          <w:sz w:val="24"/>
          <w:szCs w:val="24"/>
          <w:u w:val="none"/>
          <w:lang w:val="en-US" w:eastAsia="zh-CN"/>
        </w:rPr>
        <w:t>-Scale</w:t>
      </w:r>
      <w:r>
        <w:rPr>
          <w:rFonts w:hint="default" w:ascii="Times New Roman" w:hAnsi="Times New Roman" w:cs="Times New Roman" w:eastAsiaTheme="minorEastAsia"/>
          <w:b w:val="0"/>
          <w:bCs w:val="0"/>
          <w:i w:val="0"/>
          <w:iCs w:val="0"/>
          <w:color w:val="auto"/>
          <w:sz w:val="24"/>
          <w:szCs w:val="24"/>
          <w:u w:val="none"/>
        </w:rPr>
        <w:t xml:space="preserve"> Medical Equipment Value Evaluation Index System</w:t>
      </w:r>
    </w:p>
    <w:p>
      <w:pPr>
        <w:spacing w:line="192" w:lineRule="auto"/>
        <w:jc w:val="left"/>
        <w:rPr>
          <w:rFonts w:hint="default" w:ascii="Times New Roman" w:hAnsi="Times New Roman" w:eastAsia="黑体" w:cs="Times New Roman"/>
          <w:b w:val="0"/>
          <w:bCs w:val="0"/>
          <w:i w:val="0"/>
          <w:iCs w:val="0"/>
          <w:color w:val="auto"/>
          <w:sz w:val="24"/>
          <w:szCs w:val="24"/>
          <w:u w:val="none"/>
          <w:lang w:val="en-US" w:eastAsia="zh-CN"/>
        </w:rPr>
      </w:pPr>
      <w:r>
        <w:rPr>
          <w:rFonts w:hint="default" w:ascii="Times New Roman" w:hAnsi="Times New Roman" w:eastAsia="黑体" w:cs="Times New Roman"/>
          <w:b w:val="0"/>
          <w:bCs w:val="0"/>
          <w:i w:val="0"/>
          <w:iCs w:val="0"/>
          <w:color w:val="auto"/>
          <w:sz w:val="24"/>
          <w:szCs w:val="24"/>
          <w:u w:val="none"/>
        </w:rPr>
        <w:t>Dear experts</w:t>
      </w:r>
      <w:r>
        <w:rPr>
          <w:rFonts w:hint="default" w:ascii="Times New Roman" w:hAnsi="Times New Roman" w:eastAsia="黑体" w:cs="Times New Roman"/>
          <w:b w:val="0"/>
          <w:bCs w:val="0"/>
          <w:i w:val="0"/>
          <w:iCs w:val="0"/>
          <w:color w:val="auto"/>
          <w:sz w:val="24"/>
          <w:szCs w:val="24"/>
          <w:u w:val="none"/>
          <w:lang w:val="en-US" w:eastAsia="zh-CN"/>
        </w:rPr>
        <w:t>:</w:t>
      </w:r>
    </w:p>
    <w:p>
      <w:pPr>
        <w:spacing w:line="192" w:lineRule="auto"/>
        <w:ind w:firstLine="480" w:firstLineChars="200"/>
        <w:jc w:val="left"/>
        <w:rPr>
          <w:rFonts w:hint="default" w:ascii="Times New Roman" w:hAnsi="Times New Roman" w:cs="Times New Roman" w:eastAsiaTheme="minorEastAsia"/>
          <w:b w:val="0"/>
          <w:bCs w:val="0"/>
          <w:i w:val="0"/>
          <w:iCs w:val="0"/>
          <w:color w:val="auto"/>
          <w:sz w:val="24"/>
          <w:szCs w:val="24"/>
          <w:u w:val="none"/>
          <w:lang w:val="en-US" w:eastAsia="zh-CN"/>
        </w:rPr>
      </w:pPr>
      <w:r>
        <w:rPr>
          <w:rFonts w:hint="default" w:ascii="Times New Roman" w:hAnsi="Times New Roman" w:eastAsia="黑体" w:cs="Times New Roman"/>
          <w:b w:val="0"/>
          <w:bCs w:val="0"/>
          <w:i w:val="0"/>
          <w:iCs w:val="0"/>
          <w:color w:val="auto"/>
          <w:sz w:val="24"/>
          <w:szCs w:val="24"/>
          <w:u w:val="none"/>
        </w:rPr>
        <w:t xml:space="preserve"> I would like to express my great gratitude to you for participating in the consultation </w:t>
      </w:r>
      <w:r>
        <w:rPr>
          <w:rFonts w:hint="default" w:ascii="Times New Roman" w:hAnsi="Times New Roman" w:eastAsia="黑体" w:cs="Times New Roman"/>
          <w:b w:val="0"/>
          <w:bCs w:val="0"/>
          <w:i w:val="0"/>
          <w:iCs w:val="0"/>
          <w:color w:val="auto"/>
          <w:sz w:val="24"/>
          <w:szCs w:val="24"/>
          <w:u w:val="none"/>
          <w:lang w:val="en-US" w:eastAsia="zh-CN"/>
        </w:rPr>
        <w:t>on</w:t>
      </w:r>
      <w:r>
        <w:rPr>
          <w:rFonts w:hint="default" w:ascii="Times New Roman" w:hAnsi="Times New Roman" w:eastAsia="黑体" w:cs="Times New Roman"/>
          <w:b w:val="0"/>
          <w:bCs w:val="0"/>
          <w:i w:val="0"/>
          <w:iCs w:val="0"/>
          <w:color w:val="auto"/>
          <w:sz w:val="24"/>
          <w:szCs w:val="24"/>
          <w:u w:val="none"/>
        </w:rPr>
        <w:t xml:space="preserve"> this topic (research on the construction of </w:t>
      </w:r>
      <w:r>
        <w:rPr>
          <w:rFonts w:hint="default" w:ascii="Times New Roman" w:hAnsi="Times New Roman" w:eastAsia="黑体" w:cs="Times New Roman"/>
          <w:b w:val="0"/>
          <w:bCs w:val="0"/>
          <w:i w:val="0"/>
          <w:iCs w:val="0"/>
          <w:color w:val="auto"/>
          <w:sz w:val="24"/>
          <w:szCs w:val="24"/>
          <w:u w:val="none"/>
          <w:lang w:val="en-US" w:eastAsia="zh-CN"/>
        </w:rPr>
        <w:t xml:space="preserve"> </w:t>
      </w:r>
      <w:r>
        <w:rPr>
          <w:rFonts w:hint="eastAsia" w:eastAsia="黑体" w:cs="Times New Roman"/>
          <w:b w:val="0"/>
          <w:bCs w:val="0"/>
          <w:i w:val="0"/>
          <w:iCs w:val="0"/>
          <w:color w:val="auto"/>
          <w:sz w:val="24"/>
          <w:szCs w:val="24"/>
          <w:u w:val="none"/>
          <w:lang w:val="en-US" w:eastAsia="zh-CN"/>
        </w:rPr>
        <w:t xml:space="preserve">a </w:t>
      </w:r>
      <w:r>
        <w:rPr>
          <w:rFonts w:hint="default" w:ascii="Times New Roman" w:hAnsi="Times New Roman" w:cs="Times New Roman" w:eastAsiaTheme="minorEastAsia"/>
          <w:b w:val="0"/>
          <w:bCs w:val="0"/>
          <w:i w:val="0"/>
          <w:iCs w:val="0"/>
          <w:color w:val="auto"/>
          <w:sz w:val="24"/>
          <w:szCs w:val="24"/>
          <w:u w:val="none"/>
        </w:rPr>
        <w:t>Large</w:t>
      </w:r>
      <w:r>
        <w:rPr>
          <w:rFonts w:hint="default" w:ascii="Times New Roman" w:hAnsi="Times New Roman" w:cs="Times New Roman" w:eastAsiaTheme="minorEastAsia"/>
          <w:b w:val="0"/>
          <w:bCs w:val="0"/>
          <w:i w:val="0"/>
          <w:iCs w:val="0"/>
          <w:color w:val="auto"/>
          <w:sz w:val="24"/>
          <w:szCs w:val="24"/>
          <w:u w:val="none"/>
          <w:lang w:val="en-US" w:eastAsia="zh-CN"/>
        </w:rPr>
        <w:t>-Scale</w:t>
      </w:r>
      <w:r>
        <w:rPr>
          <w:rFonts w:hint="default" w:ascii="Times New Roman" w:hAnsi="Times New Roman" w:cs="Times New Roman" w:eastAsiaTheme="minorEastAsia"/>
          <w:b w:val="0"/>
          <w:bCs w:val="0"/>
          <w:i w:val="0"/>
          <w:iCs w:val="0"/>
          <w:color w:val="auto"/>
          <w:sz w:val="24"/>
          <w:szCs w:val="24"/>
          <w:u w:val="none"/>
        </w:rPr>
        <w:t xml:space="preserve"> Medical Equipment Value Evaluation Index System</w:t>
      </w:r>
      <w:r>
        <w:rPr>
          <w:rFonts w:hint="default" w:ascii="Times New Roman" w:hAnsi="Times New Roman" w:cs="Times New Roman" w:eastAsiaTheme="minorEastAsia"/>
          <w:b w:val="0"/>
          <w:bCs w:val="0"/>
          <w:i w:val="0"/>
          <w:iCs w:val="0"/>
          <w:color w:val="auto"/>
          <w:sz w:val="24"/>
          <w:szCs w:val="24"/>
          <w:u w:val="none"/>
          <w:lang w:val="en-US" w:eastAsia="zh-CN"/>
        </w:rPr>
        <w:t>)</w:t>
      </w:r>
    </w:p>
    <w:p>
      <w:pPr>
        <w:spacing w:line="312" w:lineRule="auto"/>
        <w:ind w:firstLine="480" w:firstLineChars="200"/>
        <w:jc w:val="left"/>
        <w:rPr>
          <w:rFonts w:hint="default" w:ascii="Times New Roman" w:hAnsi="Times New Roman" w:cs="Times New Roman"/>
          <w:b w:val="0"/>
          <w:bCs w:val="0"/>
          <w:i w:val="0"/>
          <w:iCs w:val="0"/>
          <w:color w:val="auto"/>
          <w:sz w:val="24"/>
          <w:szCs w:val="24"/>
          <w:u w:val="none"/>
          <w:lang w:val="en-US" w:eastAsia="zh-CN"/>
        </w:rPr>
      </w:pPr>
      <w:r>
        <w:rPr>
          <w:rFonts w:hint="default" w:ascii="Times New Roman" w:hAnsi="Times New Roman" w:cs="Times New Roman"/>
          <w:b w:val="0"/>
          <w:bCs w:val="0"/>
          <w:i w:val="0"/>
          <w:iCs w:val="0"/>
          <w:color w:val="auto"/>
          <w:sz w:val="24"/>
          <w:szCs w:val="24"/>
          <w:u w:val="none"/>
          <w:lang w:val="en-US" w:eastAsia="zh-CN"/>
        </w:rPr>
        <w:t>In the previous stage, the research group organized and analyzed the data of the first round of consultation form</w:t>
      </w:r>
      <w:r>
        <w:rPr>
          <w:rFonts w:hint="eastAsia" w:cs="Times New Roman"/>
          <w:b w:val="0"/>
          <w:bCs w:val="0"/>
          <w:i w:val="0"/>
          <w:iCs w:val="0"/>
          <w:color w:val="auto"/>
          <w:sz w:val="24"/>
          <w:szCs w:val="24"/>
          <w:u w:val="none"/>
          <w:lang w:val="en-US" w:eastAsia="zh-CN"/>
        </w:rPr>
        <w:t>s</w:t>
      </w:r>
      <w:r>
        <w:rPr>
          <w:rFonts w:hint="default" w:ascii="Times New Roman" w:hAnsi="Times New Roman" w:cs="Times New Roman"/>
          <w:b w:val="0"/>
          <w:bCs w:val="0"/>
          <w:i w:val="0"/>
          <w:iCs w:val="0"/>
          <w:color w:val="auto"/>
          <w:sz w:val="24"/>
          <w:szCs w:val="24"/>
          <w:u w:val="none"/>
          <w:lang w:val="en-US" w:eastAsia="zh-CN"/>
        </w:rPr>
        <w:t xml:space="preserve"> filled by all the experts, and in combination with the modification suggestions put forward by all the experts, mainly made two adjustments and improvements to the consultation form. First, the research group summarizes the index modification opinions of all experts, screens the indexes by the boundary value method, and constructs a value evaluation system of large medical equipment consisting of four grade I indexes and 46 grade II indexes. Second, the research group listed the average importance scores of each retention indicator in the previous round in the consultation table, and marked some important opinions of experts, so that all experts can better understand the situation of the first round of consultation.</w:t>
      </w:r>
    </w:p>
    <w:p>
      <w:pPr>
        <w:spacing w:line="312" w:lineRule="auto"/>
        <w:ind w:firstLine="480" w:firstLineChars="200"/>
        <w:jc w:val="left"/>
        <w:rPr>
          <w:rFonts w:hint="default" w:ascii="Times New Roman" w:hAnsi="Times New Roman" w:cs="Times New Roman"/>
          <w:b w:val="0"/>
          <w:bCs w:val="0"/>
          <w:i w:val="0"/>
          <w:iCs w:val="0"/>
          <w:color w:val="auto"/>
          <w:sz w:val="24"/>
          <w:szCs w:val="24"/>
          <w:u w:val="none"/>
          <w:lang w:val="en-US" w:eastAsia="zh-CN"/>
        </w:rPr>
      </w:pPr>
      <w:r>
        <w:rPr>
          <w:rFonts w:hint="default" w:ascii="Times New Roman" w:hAnsi="Times New Roman" w:cs="Times New Roman"/>
          <w:b w:val="0"/>
          <w:bCs w:val="0"/>
          <w:i w:val="0"/>
          <w:iCs w:val="0"/>
          <w:color w:val="auto"/>
          <w:sz w:val="24"/>
          <w:szCs w:val="24"/>
          <w:u w:val="none"/>
          <w:lang w:val="en-US" w:eastAsia="zh-CN"/>
        </w:rPr>
        <w:t>The research group will decide whether to conduct the third round of consultation according to the current consultation and the suggestions of all experts. After the consultation, we will select representative and operable items to conduct an empirical pre-investigation. After the preliminary investigation results were obtained, the number and weight of items in the primary and secondary indicators were determined and confirmed using statistical methods such as factor analysis, item reliability, and validity, and finally</w:t>
      </w:r>
      <w:r>
        <w:rPr>
          <w:rFonts w:hint="eastAsia" w:cs="Times New Roman"/>
          <w:b w:val="0"/>
          <w:bCs w:val="0"/>
          <w:i w:val="0"/>
          <w:iCs w:val="0"/>
          <w:color w:val="auto"/>
          <w:sz w:val="24"/>
          <w:szCs w:val="24"/>
          <w:u w:val="none"/>
          <w:lang w:val="en-US" w:eastAsia="zh-CN"/>
        </w:rPr>
        <w:t>,</w:t>
      </w:r>
      <w:r>
        <w:rPr>
          <w:rFonts w:hint="default" w:ascii="Times New Roman" w:hAnsi="Times New Roman" w:cs="Times New Roman"/>
          <w:b w:val="0"/>
          <w:bCs w:val="0"/>
          <w:i w:val="0"/>
          <w:iCs w:val="0"/>
          <w:color w:val="auto"/>
          <w:sz w:val="24"/>
          <w:szCs w:val="24"/>
          <w:u w:val="none"/>
          <w:lang w:val="en-US" w:eastAsia="zh-CN"/>
        </w:rPr>
        <w:t xml:space="preserve"> a formal Evaluation Index System for the Value of Large-scale Medical Equipment was formed.</w:t>
      </w:r>
    </w:p>
    <w:p>
      <w:pPr>
        <w:spacing w:line="312" w:lineRule="auto"/>
        <w:ind w:firstLine="480" w:firstLineChars="200"/>
        <w:jc w:val="left"/>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lang w:val="en-US" w:eastAsia="zh-CN"/>
        </w:rPr>
        <w:t>In order to ensure the progress of the study, you are expected to complete the consultation questionnaire within one week. If you have any questions during the questionnaire filling, you can contact us at any time. At the same time, we would like to thank you for your support and dedication to this study.</w:t>
      </w:r>
    </w:p>
    <w:p>
      <w:pPr>
        <w:spacing w:line="192" w:lineRule="auto"/>
        <w:ind w:firstLine="480" w:firstLineChars="200"/>
        <w:jc w:val="left"/>
        <w:rPr>
          <w:rFonts w:hint="default" w:ascii="Times New Roman" w:hAnsi="Times New Roman" w:eastAsia="黑体" w:cs="Times New Roman"/>
          <w:b w:val="0"/>
          <w:bCs w:val="0"/>
          <w:i w:val="0"/>
          <w:iCs w:val="0"/>
          <w:color w:val="auto"/>
          <w:sz w:val="24"/>
          <w:szCs w:val="24"/>
          <w:u w:val="none"/>
          <w:lang w:val="en-US" w:eastAsia="zh-CN"/>
        </w:rPr>
      </w:pPr>
      <w:r>
        <w:rPr>
          <w:rFonts w:hint="default" w:ascii="Times New Roman" w:hAnsi="Times New Roman" w:eastAsia="黑体" w:cs="Times New Roman"/>
          <w:b w:val="0"/>
          <w:bCs w:val="0"/>
          <w:i w:val="0"/>
          <w:iCs w:val="0"/>
          <w:color w:val="auto"/>
          <w:sz w:val="24"/>
          <w:szCs w:val="24"/>
          <w:u w:val="none"/>
        </w:rPr>
        <w:t>Finally, thank you again for your support</w:t>
      </w:r>
      <w:r>
        <w:rPr>
          <w:rFonts w:hint="default" w:ascii="Times New Roman" w:hAnsi="Times New Roman" w:eastAsia="黑体" w:cs="Times New Roman"/>
          <w:b w:val="0"/>
          <w:bCs w:val="0"/>
          <w:i w:val="0"/>
          <w:iCs w:val="0"/>
          <w:color w:val="auto"/>
          <w:sz w:val="24"/>
          <w:szCs w:val="24"/>
          <w:u w:val="none"/>
          <w:lang w:val="en-US" w:eastAsia="zh-CN"/>
        </w:rPr>
        <w:t>.</w:t>
      </w:r>
    </w:p>
    <w:p>
      <w:pPr>
        <w:spacing w:line="192" w:lineRule="auto"/>
        <w:ind w:firstLine="480" w:firstLineChars="200"/>
        <w:jc w:val="left"/>
        <w:rPr>
          <w:rFonts w:hint="default" w:ascii="Times New Roman" w:hAnsi="Times New Roman" w:eastAsia="黑体" w:cs="Times New Roman"/>
          <w:b w:val="0"/>
          <w:bCs w:val="0"/>
          <w:i w:val="0"/>
          <w:iCs w:val="0"/>
          <w:color w:val="auto"/>
          <w:sz w:val="24"/>
          <w:szCs w:val="24"/>
          <w:u w:val="none"/>
          <w:lang w:val="en-US" w:eastAsia="zh-CN"/>
        </w:rPr>
      </w:pPr>
      <w:r>
        <w:rPr>
          <w:rFonts w:hint="default" w:ascii="Times New Roman" w:hAnsi="Times New Roman" w:eastAsia="黑体" w:cs="Times New Roman"/>
          <w:b w:val="0"/>
          <w:bCs w:val="0"/>
          <w:i w:val="0"/>
          <w:iCs w:val="0"/>
          <w:color w:val="auto"/>
          <w:sz w:val="24"/>
          <w:szCs w:val="24"/>
          <w:u w:val="none"/>
          <w:lang w:val="en-US" w:eastAsia="zh-CN"/>
        </w:rPr>
        <w:t>Best wishes!</w:t>
      </w:r>
    </w:p>
    <w:p>
      <w:pPr>
        <w:spacing w:line="192" w:lineRule="auto"/>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Health Economics Evaluation of Large-scale Medical Equipment in Public Hospitals</w:t>
      </w:r>
    </w:p>
    <w:p>
      <w:pPr>
        <w:spacing w:line="192" w:lineRule="auto"/>
        <w:jc w:val="left"/>
        <w:rPr>
          <w:rFonts w:hint="default" w:ascii="Times New Roman" w:hAnsi="Times New Roman" w:cs="Times New Roman" w:eastAsiaTheme="minorEastAsia"/>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System Construction Research Group</w:t>
      </w:r>
    </w:p>
    <w:p>
      <w:pPr>
        <w:spacing w:line="192" w:lineRule="auto"/>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 xml:space="preserve">Contact: Peng Jizhuan (master's student) </w:t>
      </w:r>
      <w:r>
        <w:rPr>
          <w:rFonts w:hint="default" w:ascii="Times New Roman" w:hAnsi="Times New Roman" w:eastAsia="黑体" w:cs="Times New Roman"/>
          <w:b w:val="0"/>
          <w:bCs w:val="0"/>
          <w:i w:val="0"/>
          <w:iCs w:val="0"/>
          <w:color w:val="auto"/>
          <w:sz w:val="24"/>
          <w:szCs w:val="24"/>
          <w:u w:val="none"/>
          <w:lang w:val="en-US" w:eastAsia="zh-CN"/>
        </w:rPr>
        <w:t xml:space="preserve">          </w:t>
      </w:r>
      <w:r>
        <w:rPr>
          <w:rFonts w:hint="default" w:ascii="Times New Roman" w:hAnsi="Times New Roman" w:eastAsia="黑体" w:cs="Times New Roman"/>
          <w:b w:val="0"/>
          <w:bCs w:val="0"/>
          <w:i w:val="0"/>
          <w:iCs w:val="0"/>
          <w:color w:val="auto"/>
          <w:sz w:val="24"/>
          <w:szCs w:val="24"/>
          <w:u w:val="none"/>
        </w:rPr>
        <w:t>Supervisor: Xu Jun, researcher</w:t>
      </w:r>
    </w:p>
    <w:p>
      <w:pPr>
        <w:spacing w:line="192" w:lineRule="auto"/>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Email: 15588522261@163.com (After completing the answer, please send the electronic version to this email)</w:t>
      </w:r>
    </w:p>
    <w:p>
      <w:pPr>
        <w:spacing w:line="192" w:lineRule="auto"/>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Contact address: Graduate School of Southern Medical University, No. 1838, North Guangzhou Avenue, Guangzhou,Guangdong Province;510515</w:t>
      </w:r>
    </w:p>
    <w:p>
      <w:pPr>
        <w:rPr>
          <w:rFonts w:hint="default" w:ascii="Times New Roman" w:hAnsi="Times New Roman" w:cs="Times New Roman"/>
          <w:b w:val="0"/>
          <w:bCs w:val="0"/>
          <w:i w:val="0"/>
          <w:iCs w:val="0"/>
          <w:color w:val="auto"/>
          <w:sz w:val="24"/>
          <w:szCs w:val="24"/>
          <w:u w:val="none"/>
        </w:rPr>
      </w:pPr>
    </w:p>
    <w:p>
      <w:pPr>
        <w:jc w:val="left"/>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 xml:space="preserve">Part I </w:t>
      </w:r>
      <w:r>
        <w:rPr>
          <w:rFonts w:hint="default" w:ascii="Times New Roman" w:hAnsi="Times New Roman" w:cs="Times New Roman"/>
          <w:b w:val="0"/>
          <w:bCs w:val="0"/>
          <w:i w:val="0"/>
          <w:iCs w:val="0"/>
          <w:color w:val="auto"/>
          <w:sz w:val="24"/>
          <w:szCs w:val="24"/>
          <w:u w:val="none"/>
          <w:lang w:val="en-US" w:eastAsia="zh-CN"/>
        </w:rPr>
        <w:t xml:space="preserve"> </w:t>
      </w:r>
      <w:r>
        <w:rPr>
          <w:rFonts w:hint="default" w:ascii="Times New Roman" w:hAnsi="Times New Roman" w:cs="Times New Roman"/>
          <w:b w:val="0"/>
          <w:bCs w:val="0"/>
          <w:i w:val="0"/>
          <w:iCs w:val="0"/>
          <w:color w:val="auto"/>
          <w:sz w:val="24"/>
          <w:szCs w:val="24"/>
          <w:u w:val="none"/>
        </w:rPr>
        <w:t>Basic information of experts</w:t>
      </w:r>
    </w:p>
    <w:tbl>
      <w:tblPr>
        <w:tblStyle w:val="3"/>
        <w:tblW w:w="13485" w:type="dxa"/>
        <w:tblInd w:w="0" w:type="dxa"/>
        <w:tblLayout w:type="fixed"/>
        <w:tblCellMar>
          <w:top w:w="15" w:type="dxa"/>
          <w:left w:w="15" w:type="dxa"/>
          <w:bottom w:w="15" w:type="dxa"/>
          <w:right w:w="15" w:type="dxa"/>
        </w:tblCellMar>
      </w:tblPr>
      <w:tblGrid>
        <w:gridCol w:w="1080"/>
        <w:gridCol w:w="3129"/>
        <w:gridCol w:w="1677"/>
        <w:gridCol w:w="3135"/>
        <w:gridCol w:w="1335"/>
        <w:gridCol w:w="3129"/>
      </w:tblGrid>
      <w:tr>
        <w:tblPrEx>
          <w:tblCellMar>
            <w:top w:w="15" w:type="dxa"/>
            <w:left w:w="15" w:type="dxa"/>
            <w:bottom w:w="15" w:type="dxa"/>
            <w:right w:w="15" w:type="dxa"/>
          </w:tblCellMar>
        </w:tblPrEx>
        <w:trPr>
          <w:trHeight w:val="90" w:hRule="atLeast"/>
        </w:trPr>
        <w:tc>
          <w:tcPr>
            <w:tcW w:w="13485" w:type="dxa"/>
            <w:gridSpan w:val="6"/>
            <w:vAlign w:val="center"/>
          </w:tcPr>
          <w:p>
            <w:pPr>
              <w:widowControl/>
              <w:jc w:val="center"/>
              <w:textAlignment w:val="center"/>
              <w:rPr>
                <w:rFonts w:hint="default" w:ascii="Times New Roman" w:hAnsi="Times New Roman" w:cs="Times New Roman"/>
                <w:b w:val="0"/>
                <w:bCs w:val="0"/>
                <w:i w:val="0"/>
                <w:iCs w:val="0"/>
                <w:color w:val="auto"/>
                <w:kern w:val="0"/>
                <w:sz w:val="24"/>
                <w:szCs w:val="24"/>
                <w:u w:val="none"/>
                <w:lang w:val="en-US" w:eastAsia="zh-CN"/>
              </w:rPr>
            </w:pPr>
            <w:r>
              <w:rPr>
                <w:rFonts w:hint="default" w:ascii="Times New Roman" w:hAnsi="Times New Roman" w:cs="Times New Roman"/>
                <w:b w:val="0"/>
                <w:bCs w:val="0"/>
                <w:i w:val="0"/>
                <w:iCs w:val="0"/>
                <w:color w:val="auto"/>
                <w:kern w:val="0"/>
                <w:sz w:val="24"/>
                <w:szCs w:val="24"/>
                <w:u w:val="none"/>
              </w:rPr>
              <w:t>Expert Personal Information Form (Your name is sufficient)</w:t>
            </w:r>
          </w:p>
        </w:tc>
      </w:tr>
      <w:tr>
        <w:tblPrEx>
          <w:tblCellMar>
            <w:top w:w="15" w:type="dxa"/>
            <w:left w:w="15" w:type="dxa"/>
            <w:bottom w:w="15" w:type="dxa"/>
            <w:right w:w="15" w:type="dxa"/>
          </w:tblCellMar>
        </w:tblPrEx>
        <w:trPr>
          <w:trHeight w:val="510" w:hRule="atLeast"/>
        </w:trPr>
        <w:tc>
          <w:tcPr>
            <w:tcW w:w="13485" w:type="dxa"/>
            <w:gridSpan w:val="6"/>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kern w:val="0"/>
                <w:sz w:val="24"/>
                <w:szCs w:val="24"/>
                <w:u w:val="none"/>
              </w:rPr>
              <w:t>(Please fill in your relevant information in the form. Your personal information is only used for the research experts' authoritative degree of the research group. The research group will strictly keep your personal information confidential)</w:t>
            </w:r>
          </w:p>
        </w:tc>
      </w:tr>
      <w:tr>
        <w:tblPrEx>
          <w:tblCellMar>
            <w:top w:w="15" w:type="dxa"/>
            <w:left w:w="15" w:type="dxa"/>
            <w:bottom w:w="15" w:type="dxa"/>
            <w:right w:w="15"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lang w:val="en-US" w:eastAsia="zh-CN"/>
              </w:rPr>
              <w:t>F</w:t>
            </w:r>
            <w:r>
              <w:rPr>
                <w:rFonts w:hint="default" w:ascii="Times New Roman" w:hAnsi="Times New Roman" w:eastAsia="黑体" w:cs="Times New Roman"/>
                <w:b w:val="0"/>
                <w:bCs w:val="0"/>
                <w:i w:val="0"/>
                <w:iCs w:val="0"/>
                <w:color w:val="auto"/>
                <w:kern w:val="0"/>
                <w:sz w:val="24"/>
                <w:szCs w:val="24"/>
                <w:u w:val="none"/>
              </w:rPr>
              <w:t>ull name</w:t>
            </w:r>
          </w:p>
        </w:tc>
        <w:tc>
          <w:tcPr>
            <w:tcW w:w="31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lang w:val="en-US" w:eastAsia="zh-CN"/>
              </w:rPr>
            </w:pPr>
          </w:p>
        </w:tc>
        <w:tc>
          <w:tcPr>
            <w:tcW w:w="1677" w:type="dxa"/>
            <w:tcBorders>
              <w:top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Gender</w:t>
            </w:r>
          </w:p>
        </w:tc>
        <w:tc>
          <w:tcPr>
            <w:tcW w:w="313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lang w:val="en-US" w:eastAsia="zh-CN"/>
              </w:rPr>
            </w:pPr>
          </w:p>
        </w:tc>
        <w:tc>
          <w:tcPr>
            <w:tcW w:w="13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Age</w:t>
            </w:r>
          </w:p>
        </w:tc>
        <w:tc>
          <w:tcPr>
            <w:tcW w:w="31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lang w:val="en-US" w:eastAsia="zh-CN"/>
              </w:rPr>
            </w:pPr>
          </w:p>
        </w:tc>
      </w:tr>
      <w:tr>
        <w:tblPrEx>
          <w:tblCellMar>
            <w:top w:w="15" w:type="dxa"/>
            <w:left w:w="15" w:type="dxa"/>
            <w:bottom w:w="15" w:type="dxa"/>
            <w:right w:w="15"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Years of service</w:t>
            </w:r>
          </w:p>
        </w:tc>
        <w:tc>
          <w:tcPr>
            <w:tcW w:w="31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lang w:val="en-US" w:eastAsia="zh-CN"/>
              </w:rPr>
            </w:pPr>
          </w:p>
        </w:tc>
        <w:tc>
          <w:tcPr>
            <w:tcW w:w="1677" w:type="dxa"/>
            <w:tcBorders>
              <w:top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Currently engaged in</w:t>
            </w:r>
          </w:p>
        </w:tc>
        <w:tc>
          <w:tcPr>
            <w:tcW w:w="313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lang w:val="en-US" w:eastAsia="zh-CN"/>
              </w:rPr>
            </w:pPr>
          </w:p>
        </w:tc>
        <w:tc>
          <w:tcPr>
            <w:tcW w:w="13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Professional years</w:t>
            </w:r>
          </w:p>
        </w:tc>
        <w:tc>
          <w:tcPr>
            <w:tcW w:w="31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lang w:val="en-US" w:eastAsia="zh-CN"/>
              </w:rPr>
            </w:pPr>
          </w:p>
        </w:tc>
      </w:tr>
      <w:tr>
        <w:tblPrEx>
          <w:tblCellMar>
            <w:top w:w="15" w:type="dxa"/>
            <w:left w:w="15" w:type="dxa"/>
            <w:bottom w:w="15" w:type="dxa"/>
            <w:right w:w="15"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kern w:val="0"/>
                <w:sz w:val="24"/>
                <w:szCs w:val="24"/>
                <w:u w:val="none"/>
              </w:rPr>
              <w:t>academic degree</w:t>
            </w:r>
          </w:p>
        </w:tc>
        <w:tc>
          <w:tcPr>
            <w:tcW w:w="31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lang w:val="en-US" w:eastAsia="zh-CN"/>
              </w:rPr>
            </w:pPr>
          </w:p>
        </w:tc>
        <w:tc>
          <w:tcPr>
            <w:tcW w:w="1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Company</w:t>
            </w:r>
          </w:p>
        </w:tc>
        <w:tc>
          <w:tcPr>
            <w:tcW w:w="313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lang w:val="en-US" w:eastAsia="zh-CN"/>
              </w:rPr>
            </w:pPr>
          </w:p>
        </w:tc>
        <w:tc>
          <w:tcPr>
            <w:tcW w:w="1335" w:type="dxa"/>
            <w:tcBorders>
              <w:top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lang w:val="en-US" w:eastAsia="zh-CN"/>
              </w:rPr>
              <w:t>D</w:t>
            </w:r>
            <w:r>
              <w:rPr>
                <w:rFonts w:hint="default" w:ascii="Times New Roman" w:hAnsi="Times New Roman" w:eastAsia="黑体" w:cs="Times New Roman"/>
                <w:b w:val="0"/>
                <w:bCs w:val="0"/>
                <w:i w:val="0"/>
                <w:iCs w:val="0"/>
                <w:color w:val="auto"/>
                <w:kern w:val="0"/>
                <w:sz w:val="24"/>
                <w:szCs w:val="24"/>
                <w:u w:val="none"/>
              </w:rPr>
              <w:t>epartment</w:t>
            </w:r>
          </w:p>
        </w:tc>
        <w:tc>
          <w:tcPr>
            <w:tcW w:w="31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lang w:val="en-US" w:eastAsia="zh-CN"/>
              </w:rPr>
            </w:pPr>
          </w:p>
        </w:tc>
      </w:tr>
      <w:tr>
        <w:tblPrEx>
          <w:tblCellMar>
            <w:top w:w="15" w:type="dxa"/>
            <w:left w:w="15" w:type="dxa"/>
            <w:bottom w:w="15" w:type="dxa"/>
            <w:right w:w="15"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kern w:val="0"/>
                <w:sz w:val="24"/>
                <w:szCs w:val="24"/>
                <w:u w:val="none"/>
              </w:rPr>
              <w:t>professional title</w:t>
            </w:r>
          </w:p>
        </w:tc>
        <w:tc>
          <w:tcPr>
            <w:tcW w:w="31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rPr>
            </w:pPr>
          </w:p>
        </w:tc>
        <w:tc>
          <w:tcPr>
            <w:tcW w:w="1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post</w:t>
            </w:r>
          </w:p>
        </w:tc>
        <w:tc>
          <w:tcPr>
            <w:tcW w:w="313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rPr>
            </w:pPr>
          </w:p>
        </w:tc>
        <w:tc>
          <w:tcPr>
            <w:tcW w:w="13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lang w:val="en-US" w:eastAsia="zh-CN"/>
              </w:rPr>
              <w:t>E-</w:t>
            </w:r>
            <w:r>
              <w:rPr>
                <w:rFonts w:hint="default" w:ascii="Times New Roman" w:hAnsi="Times New Roman" w:eastAsia="黑体" w:cs="Times New Roman"/>
                <w:b w:val="0"/>
                <w:bCs w:val="0"/>
                <w:i w:val="0"/>
                <w:iCs w:val="0"/>
                <w:color w:val="auto"/>
                <w:kern w:val="0"/>
                <w:sz w:val="24"/>
                <w:szCs w:val="24"/>
                <w:u w:val="none"/>
              </w:rPr>
              <w:t>mail</w:t>
            </w:r>
          </w:p>
        </w:tc>
        <w:tc>
          <w:tcPr>
            <w:tcW w:w="31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contact number</w:t>
            </w:r>
          </w:p>
        </w:tc>
        <w:tc>
          <w:tcPr>
            <w:tcW w:w="31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rPr>
            </w:pPr>
          </w:p>
        </w:tc>
        <w:tc>
          <w:tcPr>
            <w:tcW w:w="1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postal address</w:t>
            </w:r>
          </w:p>
        </w:tc>
        <w:tc>
          <w:tcPr>
            <w:tcW w:w="759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4"/>
                <w:szCs w:val="24"/>
                <w:u w:val="none"/>
              </w:rPr>
            </w:pPr>
          </w:p>
        </w:tc>
      </w:tr>
    </w:tbl>
    <w:p>
      <w:pPr>
        <w:jc w:val="left"/>
        <w:rPr>
          <w:rFonts w:hint="default" w:ascii="Times New Roman" w:hAnsi="Times New Roman" w:cs="Times New Roman"/>
          <w:b w:val="0"/>
          <w:bCs w:val="0"/>
          <w:i w:val="0"/>
          <w:iCs w:val="0"/>
          <w:color w:val="auto"/>
          <w:sz w:val="24"/>
          <w:szCs w:val="24"/>
          <w:u w:val="none"/>
        </w:rPr>
      </w:pPr>
    </w:p>
    <w:p>
      <w:pPr>
        <w:numPr>
          <w:ilvl w:val="0"/>
          <w:numId w:val="0"/>
        </w:numPr>
        <w:jc w:val="left"/>
        <w:rPr>
          <w:rFonts w:hint="default" w:ascii="Times New Roman" w:hAnsi="Times New Roman" w:cs="Times New Roman"/>
          <w:b w:val="0"/>
          <w:bCs w:val="0"/>
          <w:i w:val="0"/>
          <w:iCs w:val="0"/>
          <w:color w:val="auto"/>
          <w:sz w:val="24"/>
          <w:szCs w:val="24"/>
          <w:u w:val="none"/>
          <w:lang w:val="en-US"/>
        </w:rPr>
      </w:pPr>
      <w:r>
        <w:rPr>
          <w:rFonts w:hint="default" w:ascii="Times New Roman" w:hAnsi="Times New Roman" w:eastAsia="黑体" w:cs="Times New Roman"/>
          <w:b w:val="0"/>
          <w:bCs w:val="0"/>
          <w:i w:val="0"/>
          <w:iCs w:val="0"/>
          <w:color w:val="auto"/>
          <w:sz w:val="24"/>
          <w:szCs w:val="24"/>
          <w:u w:val="none"/>
        </w:rPr>
        <w:t xml:space="preserve">Part II </w:t>
      </w:r>
      <w:r>
        <w:rPr>
          <w:rFonts w:hint="eastAsia" w:eastAsia="黑体" w:cs="Times New Roman"/>
          <w:b w:val="0"/>
          <w:bCs w:val="0"/>
          <w:i w:val="0"/>
          <w:iCs w:val="0"/>
          <w:color w:val="auto"/>
          <w:sz w:val="24"/>
          <w:szCs w:val="24"/>
          <w:u w:val="none"/>
          <w:lang w:val="en-US" w:eastAsia="zh-CN"/>
        </w:rPr>
        <w:t xml:space="preserve"> </w:t>
      </w:r>
      <w:r>
        <w:rPr>
          <w:rFonts w:hint="default" w:ascii="Times New Roman" w:hAnsi="Times New Roman" w:eastAsia="黑体" w:cs="Times New Roman"/>
          <w:b w:val="0"/>
          <w:bCs w:val="0"/>
          <w:i w:val="0"/>
          <w:iCs w:val="0"/>
          <w:color w:val="auto"/>
          <w:sz w:val="24"/>
          <w:szCs w:val="24"/>
          <w:u w:val="none"/>
        </w:rPr>
        <w:t>Expert Consultation Form of Large</w:t>
      </w:r>
      <w:r>
        <w:rPr>
          <w:rFonts w:hint="eastAsia" w:eastAsia="黑体" w:cs="Times New Roman"/>
          <w:b w:val="0"/>
          <w:bCs w:val="0"/>
          <w:i w:val="0"/>
          <w:iCs w:val="0"/>
          <w:color w:val="auto"/>
          <w:sz w:val="24"/>
          <w:szCs w:val="24"/>
          <w:u w:val="none"/>
          <w:lang w:val="en-US" w:eastAsia="zh-CN"/>
        </w:rPr>
        <w:t xml:space="preserve">-scale </w:t>
      </w:r>
      <w:r>
        <w:rPr>
          <w:rFonts w:hint="default" w:ascii="Times New Roman" w:hAnsi="Times New Roman" w:eastAsia="黑体" w:cs="Times New Roman"/>
          <w:b w:val="0"/>
          <w:bCs w:val="0"/>
          <w:i w:val="0"/>
          <w:iCs w:val="0"/>
          <w:color w:val="auto"/>
          <w:sz w:val="24"/>
          <w:szCs w:val="24"/>
          <w:u w:val="none"/>
        </w:rPr>
        <w:t>Medical Equipment Value Evaluation Index System</w:t>
      </w:r>
      <w:r>
        <w:rPr>
          <w:rFonts w:hint="default" w:ascii="Times New Roman" w:hAnsi="Times New Roman" w:cs="Times New Roman"/>
          <w:b w:val="0"/>
          <w:bCs w:val="0"/>
          <w:i w:val="0"/>
          <w:iCs w:val="0"/>
          <w:color w:val="auto"/>
          <w:sz w:val="24"/>
          <w:szCs w:val="24"/>
          <w:u w:val="none"/>
        </w:rPr>
        <w:t xml:space="preserve"> (Second Round)</w:t>
      </w:r>
    </w:p>
    <w:p>
      <w:pPr>
        <w:widowControl/>
        <w:ind w:firstLine="480" w:firstLineChars="200"/>
        <w:jc w:val="left"/>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Based on the analysis and group discussion of a round of data, we initially constructed the value evaluation index system framework of large medical equipment, which consists of four primary indicators and 46 secondary indicators. The scoring criteria for index importance evaluation is 1–5 points, 5= very important, 4= relatively important, 3= generally important, 2= not too important, 1= not important; Familiarity with the indicators was scored on a scale of 1–5, with 5= familiarity, 4= familiarity, 3= general familiarity, 2= unfamiliarity, and 1= unfamiliarity. Please click the mouse to tick the corresponding scores according to the requirements of the consultation items (if it is not convenient for you to tick, please mark the corresponding scores with red). If you have other suggestions for the selected metrics, please comment on the modifications, additions, or deletions to the metrics in the comments section.</w:t>
      </w:r>
    </w:p>
    <w:p>
      <w:pPr>
        <w:ind w:firstLine="480" w:firstLineChars="200"/>
        <w:rPr>
          <w:rFonts w:hint="default" w:ascii="Times New Roman" w:hAnsi="Times New Roman" w:cs="Times New Roman"/>
          <w:b w:val="0"/>
          <w:bCs w:val="0"/>
          <w:i w:val="0"/>
          <w:iCs w:val="0"/>
          <w:color w:val="auto"/>
          <w:sz w:val="24"/>
          <w:szCs w:val="24"/>
          <w:u w:val="none"/>
        </w:rPr>
      </w:pPr>
    </w:p>
    <w:tbl>
      <w:tblPr>
        <w:tblStyle w:val="3"/>
        <w:tblW w:w="5022" w:type="pct"/>
        <w:jc w:val="center"/>
        <w:tblLayout w:type="fixed"/>
        <w:tblCellMar>
          <w:top w:w="15" w:type="dxa"/>
          <w:left w:w="15" w:type="dxa"/>
          <w:bottom w:w="15" w:type="dxa"/>
          <w:right w:w="15" w:type="dxa"/>
        </w:tblCellMar>
      </w:tblPr>
      <w:tblGrid>
        <w:gridCol w:w="1983"/>
        <w:gridCol w:w="3122"/>
        <w:gridCol w:w="805"/>
        <w:gridCol w:w="487"/>
        <w:gridCol w:w="447"/>
        <w:gridCol w:w="523"/>
        <w:gridCol w:w="390"/>
        <w:gridCol w:w="320"/>
        <w:gridCol w:w="320"/>
        <w:gridCol w:w="470"/>
        <w:gridCol w:w="420"/>
        <w:gridCol w:w="350"/>
        <w:gridCol w:w="450"/>
        <w:gridCol w:w="2489"/>
        <w:gridCol w:w="1476"/>
      </w:tblGrid>
      <w:tr>
        <w:tblPrEx>
          <w:tblCellMar>
            <w:top w:w="15" w:type="dxa"/>
            <w:left w:w="15" w:type="dxa"/>
            <w:bottom w:w="15" w:type="dxa"/>
            <w:right w:w="15" w:type="dxa"/>
          </w:tblCellMar>
        </w:tblPrEx>
        <w:trPr>
          <w:trHeight w:val="575" w:hRule="atLeast"/>
          <w:tblHeader/>
          <w:jc w:val="center"/>
        </w:trPr>
        <w:tc>
          <w:tcPr>
            <w:tcW w:w="1816"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Consultation items</w:t>
            </w:r>
          </w:p>
        </w:tc>
        <w:tc>
          <w:tcPr>
            <w:tcW w:w="286"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eastAsia" w:cs="Times New Roman"/>
                <w:b w:val="0"/>
                <w:bCs w:val="0"/>
                <w:i w:val="0"/>
                <w:iCs w:val="0"/>
                <w:color w:val="auto"/>
                <w:kern w:val="0"/>
                <w:sz w:val="21"/>
                <w:szCs w:val="21"/>
                <w:u w:val="none"/>
                <w:lang w:val="en-US" w:eastAsia="zh-CN"/>
              </w:rPr>
              <w:t>The f</w:t>
            </w:r>
            <w:r>
              <w:rPr>
                <w:rFonts w:hint="default" w:ascii="Times New Roman" w:hAnsi="Times New Roman" w:cs="Times New Roman"/>
                <w:b w:val="0"/>
                <w:bCs w:val="0"/>
                <w:i w:val="0"/>
                <w:iCs w:val="0"/>
                <w:color w:val="auto"/>
                <w:kern w:val="0"/>
                <w:sz w:val="21"/>
                <w:szCs w:val="21"/>
                <w:u w:val="none"/>
                <w:lang w:val="en-US" w:eastAsia="zh-CN"/>
              </w:rPr>
              <w:t>irst round of importance scoring</w:t>
            </w:r>
          </w:p>
        </w:tc>
        <w:tc>
          <w:tcPr>
            <w:tcW w:w="771" w:type="pct"/>
            <w:gridSpan w:val="5"/>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Evaluation of the importance of indicators</w:t>
            </w:r>
          </w:p>
        </w:tc>
        <w:tc>
          <w:tcPr>
            <w:tcW w:w="715" w:type="pct"/>
            <w:gridSpan w:val="5"/>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Familiarity with indicators</w:t>
            </w:r>
          </w:p>
        </w:tc>
        <w:tc>
          <w:tcPr>
            <w:tcW w:w="885"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remarks</w:t>
            </w:r>
          </w:p>
        </w:tc>
        <w:tc>
          <w:tcPr>
            <w:tcW w:w="525"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remarks</w:t>
            </w:r>
          </w:p>
        </w:tc>
      </w:tr>
      <w:tr>
        <w:tblPrEx>
          <w:tblCellMar>
            <w:top w:w="15" w:type="dxa"/>
            <w:left w:w="15" w:type="dxa"/>
            <w:bottom w:w="15" w:type="dxa"/>
            <w:right w:w="15" w:type="dxa"/>
          </w:tblCellMar>
        </w:tblPrEx>
        <w:trPr>
          <w:trHeight w:val="1495" w:hRule="atLeast"/>
          <w:tblHeader/>
          <w:jc w:val="center"/>
        </w:trPr>
        <w:tc>
          <w:tcPr>
            <w:tcW w:w="1816" w:type="pct"/>
            <w:gridSpan w:val="2"/>
            <w:tcBorders>
              <w:top w:val="single" w:color="000000" w:sz="4" w:space="0"/>
              <w:left w:val="single" w:color="000000" w:sz="4" w:space="0"/>
              <w:right w:val="single" w:color="auto" w:sz="4" w:space="0"/>
              <w:tl2br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Indicators and indicator description </w:t>
            </w:r>
          </w:p>
          <w:p>
            <w:pPr>
              <w:widowControl/>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comments and scores</w:t>
            </w:r>
          </w:p>
        </w:tc>
        <w:tc>
          <w:tcPr>
            <w:tcW w:w="286"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eastAsia="zh-CN"/>
              </w:rPr>
              <w:t>(mean)</w:t>
            </w:r>
          </w:p>
        </w:tc>
        <w:tc>
          <w:tcPr>
            <w:tcW w:w="173"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sz w:val="21"/>
                <w:szCs w:val="21"/>
                <w:u w:val="none"/>
              </w:rPr>
              <w:t>very important</w:t>
            </w:r>
          </w:p>
        </w:tc>
        <w:tc>
          <w:tcPr>
            <w:tcW w:w="159"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sz w:val="21"/>
                <w:szCs w:val="21"/>
                <w:u w:val="none"/>
              </w:rPr>
              <w:t>More important</w:t>
            </w:r>
          </w:p>
        </w:tc>
        <w:tc>
          <w:tcPr>
            <w:tcW w:w="186"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sz w:val="21"/>
                <w:szCs w:val="21"/>
                <w:u w:val="none"/>
              </w:rPr>
              <w:t>Generally important</w:t>
            </w:r>
          </w:p>
        </w:tc>
        <w:tc>
          <w:tcPr>
            <w:tcW w:w="138"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sz w:val="21"/>
                <w:szCs w:val="21"/>
                <w:u w:val="none"/>
              </w:rPr>
              <w:t>Not too important</w:t>
            </w:r>
          </w:p>
        </w:tc>
        <w:tc>
          <w:tcPr>
            <w:tcW w:w="113"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sz w:val="21"/>
                <w:szCs w:val="21"/>
                <w:u w:val="none"/>
              </w:rPr>
              <w:t>unimportance</w:t>
            </w:r>
          </w:p>
        </w:tc>
        <w:tc>
          <w:tcPr>
            <w:tcW w:w="113" w:type="pct"/>
            <w:tcBorders>
              <w:top w:val="single" w:color="000000" w:sz="4" w:space="0"/>
              <w:left w:val="single" w:color="000000" w:sz="4" w:space="0"/>
              <w:right w:val="single" w:color="000000"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Very familiar</w:t>
            </w:r>
          </w:p>
        </w:tc>
        <w:tc>
          <w:tcPr>
            <w:tcW w:w="167" w:type="pct"/>
            <w:tcBorders>
              <w:top w:val="single" w:color="000000" w:sz="4" w:space="0"/>
              <w:left w:val="single" w:color="000000" w:sz="4" w:space="0"/>
              <w:right w:val="single" w:color="000000"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Be familiar with</w:t>
            </w:r>
          </w:p>
        </w:tc>
        <w:tc>
          <w:tcPr>
            <w:tcW w:w="149" w:type="pct"/>
            <w:tcBorders>
              <w:top w:val="single" w:color="000000" w:sz="4" w:space="0"/>
              <w:left w:val="single" w:color="000000" w:sz="4" w:space="0"/>
              <w:right w:val="single" w:color="000000"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General familiarity</w:t>
            </w:r>
          </w:p>
        </w:tc>
        <w:tc>
          <w:tcPr>
            <w:tcW w:w="124" w:type="pct"/>
            <w:tcBorders>
              <w:top w:val="single" w:color="000000" w:sz="4" w:space="0"/>
              <w:left w:val="single" w:color="000000" w:sz="4" w:space="0"/>
              <w:right w:val="single" w:color="000000"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Not familiar with</w:t>
            </w:r>
          </w:p>
        </w:tc>
        <w:tc>
          <w:tcPr>
            <w:tcW w:w="160" w:type="pct"/>
            <w:tcBorders>
              <w:top w:val="single" w:color="000000" w:sz="4" w:space="0"/>
              <w:left w:val="single" w:color="000000" w:sz="4" w:space="0"/>
              <w:right w:val="single" w:color="000000"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be unfamiliar with</w:t>
            </w:r>
          </w:p>
        </w:tc>
        <w:tc>
          <w:tcPr>
            <w:tcW w:w="885" w:type="pct"/>
            <w:tcBorders>
              <w:top w:val="single" w:color="000000" w:sz="4" w:space="0"/>
              <w:left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First round of expert advice</w:t>
            </w:r>
          </w:p>
        </w:tc>
        <w:tc>
          <w:tcPr>
            <w:tcW w:w="525" w:type="pct"/>
            <w:tcBorders>
              <w:top w:val="single" w:color="000000" w:sz="4" w:space="0"/>
              <w:left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sz w:val="21"/>
                <w:szCs w:val="21"/>
                <w:u w:val="none"/>
              </w:rPr>
              <w:t>Your opinions on the modification, supplement, and deletion of this round</w:t>
            </w:r>
          </w:p>
        </w:tc>
      </w:tr>
      <w:tr>
        <w:tblPrEx>
          <w:tblCellMar>
            <w:top w:w="15" w:type="dxa"/>
            <w:left w:w="15" w:type="dxa"/>
            <w:bottom w:w="15" w:type="dxa"/>
            <w:right w:w="15" w:type="dxa"/>
          </w:tblCellMar>
        </w:tblPrEx>
        <w:trPr>
          <w:trHeight w:val="95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Fill in example:</w:t>
            </w:r>
          </w:p>
          <w:p>
            <w:pPr>
              <w:widowControl/>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A-1 stability</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sz w:val="21"/>
                <w:szCs w:val="21"/>
                <w:u w:val="none"/>
              </w:rPr>
              <w:t xml:space="preserve">Whether the equipment </w:t>
            </w:r>
            <w:r>
              <w:rPr>
                <w:rFonts w:hint="default" w:ascii="Times New Roman" w:hAnsi="Times New Roman" w:eastAsia="黑体" w:cs="Times New Roman"/>
                <w:b w:val="0"/>
                <w:bCs w:val="0"/>
                <w:i w:val="0"/>
                <w:iCs w:val="0"/>
                <w:color w:val="auto"/>
                <w:sz w:val="21"/>
                <w:szCs w:val="21"/>
                <w:u w:val="none"/>
                <w:lang w:val="en-US" w:eastAsia="zh-CN"/>
              </w:rPr>
              <w:t>can</w:t>
            </w:r>
            <w:r>
              <w:rPr>
                <w:rFonts w:hint="default" w:ascii="Times New Roman" w:hAnsi="Times New Roman" w:eastAsia="黑体" w:cs="Times New Roman"/>
                <w:b w:val="0"/>
                <w:bCs w:val="0"/>
                <w:i w:val="0"/>
                <w:iCs w:val="0"/>
                <w:color w:val="auto"/>
                <w:sz w:val="21"/>
                <w:szCs w:val="21"/>
                <w:u w:val="none"/>
              </w:rPr>
              <w:t xml:space="preserve"> withstand the short circuit current electrodynamic force without causing equipment deformation and damage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7463870"/>
                <w14:checkbox>
                  <w14:checked w14:val="1"/>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黑体" w:cs="Times New Roman"/>
                    <w:b w:val="0"/>
                    <w:bCs w:val="0"/>
                    <w:i w:val="0"/>
                    <w:iCs w:val="0"/>
                    <w:color w:val="auto"/>
                    <w:sz w:val="21"/>
                    <w:szCs w:val="21"/>
                    <w:u w:val="none"/>
                  </w:rPr>
                  <w:sym w:font="Wingdings 2" w:char="F052"/>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4753744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790100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3759080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49191666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9075721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55545861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32233000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311842624"/>
                <w14:checkbox>
                  <w14:checked w14:val="1"/>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黑体" w:cs="Times New Roman"/>
                    <w:b w:val="0"/>
                    <w:bCs w:val="0"/>
                    <w:i w:val="0"/>
                    <w:iCs w:val="0"/>
                    <w:color w:val="auto"/>
                    <w:sz w:val="21"/>
                    <w:szCs w:val="21"/>
                    <w:u w:val="none"/>
                  </w:rPr>
                  <w:sym w:font="Wingdings 2" w:char="F052"/>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9439035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584"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A engineering value</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1"/>
                <w:szCs w:val="21"/>
                <w:u w:val="none"/>
                <w:lang w:val="en-US" w:eastAsia="zh-CN"/>
              </w:rPr>
            </w:pPr>
          </w:p>
        </w:tc>
        <w:tc>
          <w:tcPr>
            <w:tcW w:w="885"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1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A-1 stability</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sz w:val="21"/>
                <w:szCs w:val="21"/>
                <w:u w:val="none"/>
              </w:rPr>
              <w:t>Whether the equipment has the ability to withstand the short circuit current electric force without causing deformation and damage of the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4.73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7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rPr>
              <w:t>A-2 Service life (factors such as service frequency are not considered temporarily)</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sz w:val="21"/>
                <w:szCs w:val="21"/>
                <w:u w:val="none"/>
              </w:rPr>
              <w:t>The service life of the corresponding large medical equipment specified by the manufacturer (specified in the equipment manual and other materials)</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4.53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1"/>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Wingdings 2" w:hAnsi="Wingdings 2" w:eastAsia="宋体" w:cs="Times New Roman"/>
                    <w:b w:val="0"/>
                    <w:bCs w:val="0"/>
                    <w:i w:val="0"/>
                    <w:iCs w:val="0"/>
                    <w:color w:val="auto"/>
                    <w:kern w:val="2"/>
                    <w:sz w:val="21"/>
                    <w:szCs w:val="21"/>
                    <w:u w:val="none"/>
                    <w:lang w:val="en-US" w:eastAsia="zh-CN" w:bidi="ar-SA"/>
                  </w:rPr>
                  <w:t>R</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Indicator name was originally: service life, but now it is: service life (factors such as service frequency are not considered temporarily)</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928"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A-</w:t>
            </w:r>
            <w:r>
              <w:rPr>
                <w:rFonts w:hint="eastAsia" w:eastAsia="黑体" w:cs="Times New Roman"/>
                <w:b w:val="0"/>
                <w:bCs w:val="0"/>
                <w:i w:val="0"/>
                <w:iCs w:val="0"/>
                <w:color w:val="auto"/>
                <w:kern w:val="0"/>
                <w:sz w:val="21"/>
                <w:szCs w:val="21"/>
                <w:u w:val="none"/>
                <w:lang w:val="en-US" w:eastAsia="zh-CN"/>
              </w:rPr>
              <w:t>3</w:t>
            </w:r>
            <w:r>
              <w:rPr>
                <w:rFonts w:hint="default" w:ascii="Times New Roman" w:hAnsi="Times New Roman" w:eastAsia="黑体" w:cs="Times New Roman"/>
                <w:b w:val="0"/>
                <w:bCs w:val="0"/>
                <w:i w:val="0"/>
                <w:iCs w:val="0"/>
                <w:color w:val="auto"/>
                <w:kern w:val="0"/>
                <w:sz w:val="21"/>
                <w:szCs w:val="21"/>
                <w:u w:val="none"/>
              </w:rPr>
              <w:t xml:space="preserve"> Operation convenience</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kern w:val="0"/>
                <w:sz w:val="21"/>
                <w:szCs w:val="21"/>
                <w:u w:val="none"/>
              </w:rPr>
              <w:t>Whether the steps are complicated when the staff use the equipment to check or treat patients</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4.2</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485"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A-</w:t>
            </w:r>
            <w:r>
              <w:rPr>
                <w:rFonts w:hint="eastAsia" w:eastAsia="黑体" w:cs="Times New Roman"/>
                <w:b w:val="0"/>
                <w:bCs w:val="0"/>
                <w:i w:val="0"/>
                <w:iCs w:val="0"/>
                <w:color w:val="auto"/>
                <w:kern w:val="0"/>
                <w:sz w:val="21"/>
                <w:szCs w:val="21"/>
                <w:u w:val="none"/>
                <w:lang w:val="en-US" w:eastAsia="zh-CN"/>
              </w:rPr>
              <w:t>4</w:t>
            </w:r>
            <w:r>
              <w:rPr>
                <w:rFonts w:hint="default" w:ascii="Times New Roman" w:hAnsi="Times New Roman" w:eastAsia="黑体" w:cs="Times New Roman"/>
                <w:b w:val="0"/>
                <w:bCs w:val="0"/>
                <w:i w:val="0"/>
                <w:iCs w:val="0"/>
                <w:color w:val="auto"/>
                <w:kern w:val="0"/>
                <w:sz w:val="21"/>
                <w:szCs w:val="21"/>
                <w:u w:val="none"/>
              </w:rPr>
              <w:t xml:space="preserve"> Qualification requirements for operators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sz w:val="21"/>
                <w:szCs w:val="21"/>
                <w:u w:val="none"/>
              </w:rPr>
              <w:t xml:space="preserve">Whether there are qualification requirements for equipment operators, such as general technicians or nurses, technicians with medium and senior professional titles, or those who have received professional training </w:t>
            </w:r>
            <w:r>
              <w:rPr>
                <w:rFonts w:hint="default" w:ascii="Times New Roman" w:hAnsi="Times New Roman" w:eastAsia="黑体" w:cs="Times New Roman"/>
                <w:b w:val="0"/>
                <w:bCs w:val="0"/>
                <w:i w:val="0"/>
                <w:iCs w:val="0"/>
                <w:color w:val="auto"/>
                <w:sz w:val="21"/>
                <w:szCs w:val="21"/>
                <w:u w:val="none"/>
                <w:lang w:val="en-US" w:eastAsia="zh-CN"/>
              </w:rPr>
              <w:t>in</w:t>
            </w:r>
            <w:r>
              <w:rPr>
                <w:rFonts w:hint="default" w:ascii="Times New Roman" w:hAnsi="Times New Roman" w:eastAsia="黑体" w:cs="Times New Roman"/>
                <w:b w:val="0"/>
                <w:bCs w:val="0"/>
                <w:i w:val="0"/>
                <w:iCs w:val="0"/>
                <w:color w:val="auto"/>
                <w:sz w:val="21"/>
                <w:szCs w:val="21"/>
                <w:u w:val="none"/>
              </w:rPr>
              <w:t>to operate the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four</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2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eastAsia="黑体" w:cs="Times New Roman"/>
                <w:b w:val="0"/>
                <w:bCs w:val="0"/>
                <w:i w:val="0"/>
                <w:iCs w:val="0"/>
                <w:color w:val="auto"/>
                <w:kern w:val="0"/>
                <w:sz w:val="21"/>
                <w:szCs w:val="21"/>
                <w:u w:val="none"/>
              </w:rPr>
              <w:t>A-</w:t>
            </w:r>
            <w:r>
              <w:rPr>
                <w:rFonts w:hint="eastAsia" w:eastAsia="黑体" w:cs="Times New Roman"/>
                <w:b w:val="0"/>
                <w:bCs w:val="0"/>
                <w:i w:val="0"/>
                <w:iCs w:val="0"/>
                <w:color w:val="auto"/>
                <w:kern w:val="0"/>
                <w:sz w:val="21"/>
                <w:szCs w:val="21"/>
                <w:u w:val="none"/>
                <w:lang w:val="en-US" w:eastAsia="zh-CN"/>
              </w:rPr>
              <w:t>5</w:t>
            </w:r>
            <w:r>
              <w:rPr>
                <w:rFonts w:hint="default" w:ascii="Times New Roman" w:hAnsi="Times New Roman" w:eastAsia="黑体" w:cs="Times New Roman"/>
                <w:b w:val="0"/>
                <w:bCs w:val="0"/>
                <w:i w:val="0"/>
                <w:iCs w:val="0"/>
                <w:color w:val="auto"/>
                <w:kern w:val="0"/>
                <w:sz w:val="21"/>
                <w:szCs w:val="21"/>
                <w:u w:val="none"/>
              </w:rPr>
              <w:t xml:space="preserve"> Injection agent demand</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sz w:val="21"/>
                <w:szCs w:val="21"/>
                <w:u w:val="none"/>
              </w:rPr>
              <w:t>Whether it is necessary to inject drugs to patients during examination or treatment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3.8</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1192"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A-6 use of auxiliary consumables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sz w:val="21"/>
                <w:szCs w:val="21"/>
                <w:u w:val="none"/>
              </w:rPr>
              <w:t>Whether auxiliary consumables, such as medical disinfection tablets, puncture needles, and retention needles, are used for examination or treatment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3.93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279"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A-7 Average time of examination or treatment</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sz w:val="21"/>
                <w:szCs w:val="21"/>
                <w:u w:val="none"/>
              </w:rPr>
              <w:t>The average time</w:t>
            </w:r>
            <w:r>
              <w:rPr>
                <w:rFonts w:hint="default" w:ascii="Times New Roman" w:hAnsi="Times New Roman" w:eastAsia="黑体" w:cs="Times New Roman"/>
                <w:b w:val="0"/>
                <w:bCs w:val="0"/>
                <w:i w:val="0"/>
                <w:iCs w:val="0"/>
                <w:color w:val="auto"/>
                <w:sz w:val="21"/>
                <w:szCs w:val="21"/>
                <w:u w:val="none"/>
                <w:lang w:val="en-US" w:eastAsia="zh-CN"/>
              </w:rPr>
              <w:t xml:space="preserve"> is</w:t>
            </w:r>
            <w:r>
              <w:rPr>
                <w:rFonts w:hint="default" w:ascii="Times New Roman" w:hAnsi="Times New Roman" w:eastAsia="黑体" w:cs="Times New Roman"/>
                <w:b w:val="0"/>
                <w:bCs w:val="0"/>
                <w:i w:val="0"/>
                <w:iCs w:val="0"/>
                <w:color w:val="auto"/>
                <w:sz w:val="21"/>
                <w:szCs w:val="21"/>
                <w:u w:val="none"/>
              </w:rPr>
              <w:t xml:space="preserve"> taken by each patient to complete the entire examination or treatment process with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4.27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212"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A-8 information management</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sz w:val="21"/>
                <w:szCs w:val="21"/>
                <w:u w:val="none"/>
              </w:rPr>
              <w:t>Whether the equipment can realize the networking record of the instant data</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sz w:val="21"/>
                <w:szCs w:val="21"/>
                <w:u w:val="none"/>
                <w:lang w:val="en-US" w:eastAsia="zh-CN"/>
              </w:rPr>
              <w:t>4.27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A suggestion was made to delete the indicator</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1083"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A-9 image quality</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sz w:val="21"/>
                <w:szCs w:val="21"/>
                <w:u w:val="none"/>
              </w:rPr>
              <w:t>Whether the inspection or treatment images of the equipment have high resolution and high accuracy</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4.33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83"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rPr>
              <w:t xml:space="preserve">A-10 </w:t>
            </w:r>
            <w:r>
              <w:rPr>
                <w:rFonts w:hint="default" w:ascii="Times New Roman" w:hAnsi="Times New Roman" w:eastAsia="黑体" w:cs="Times New Roman"/>
                <w:b w:val="0"/>
                <w:bCs w:val="0"/>
                <w:i w:val="0"/>
                <w:iCs w:val="0"/>
                <w:color w:val="auto"/>
                <w:kern w:val="0"/>
                <w:sz w:val="21"/>
                <w:szCs w:val="21"/>
                <w:u w:val="none"/>
              </w:rPr>
              <w:t>Annual maintenance times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sz w:val="21"/>
                <w:szCs w:val="21"/>
                <w:u w:val="none"/>
              </w:rPr>
              <w:t>Estimated total number of annual maintenance of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4.13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1105"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A-11 accessibility of equipment accessories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Whether the maintenance accessories required in case of equipment failure are easily available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4.6</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203"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What indicators do you think "A engineering value" needs to be added:</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Recommendation a for technical value</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13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Indicators that you think "</w:t>
            </w:r>
            <w:r>
              <w:rPr>
                <w:rFonts w:hint="eastAsia" w:cs="Times New Roman"/>
                <w:b w:val="0"/>
                <w:bCs w:val="0"/>
                <w:i w:val="0"/>
                <w:iCs w:val="0"/>
                <w:color w:val="auto"/>
                <w:kern w:val="0"/>
                <w:sz w:val="21"/>
                <w:szCs w:val="21"/>
                <w:u w:val="none"/>
                <w:lang w:val="en-US" w:eastAsia="zh-CN"/>
              </w:rPr>
              <w:t xml:space="preserve">A </w:t>
            </w:r>
            <w:r>
              <w:rPr>
                <w:rFonts w:hint="default" w:ascii="Times New Roman" w:hAnsi="Times New Roman" w:cs="Times New Roman"/>
                <w:b w:val="0"/>
                <w:bCs w:val="0"/>
                <w:i w:val="0"/>
                <w:iCs w:val="0"/>
                <w:color w:val="auto"/>
                <w:kern w:val="0"/>
                <w:sz w:val="21"/>
                <w:szCs w:val="21"/>
                <w:u w:val="none"/>
              </w:rPr>
              <w:t>engineering value" needs to be deleted:</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848"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B clinical value</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24"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B-1 incidence of adverse events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sz w:val="21"/>
                <w:szCs w:val="21"/>
                <w:u w:val="none"/>
              </w:rPr>
              <w:t>Probability of adverse reaction event after the patient uses the device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4.4</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Experts suggest distinguishing between specific aspects of adverse reactions and side effects</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92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B-2 side effects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sz w:val="21"/>
                <w:szCs w:val="21"/>
                <w:u w:val="none"/>
              </w:rPr>
              <w:t>Possible side effects indicated by the patient when using the device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4.53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It is recommended that the difference between adverse reactions and side effects be illustrated by examples</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02"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B-3 </w:t>
            </w:r>
            <w:r>
              <w:rPr>
                <w:rFonts w:hint="default" w:ascii="Times New Roman" w:hAnsi="Times New Roman" w:eastAsia="黑体" w:cs="Times New Roman"/>
                <w:b w:val="0"/>
                <w:bCs w:val="0"/>
                <w:i w:val="0"/>
                <w:iCs w:val="0"/>
                <w:color w:val="auto"/>
                <w:kern w:val="0"/>
                <w:sz w:val="21"/>
                <w:szCs w:val="21"/>
                <w:u w:val="none"/>
              </w:rPr>
              <w:t>Clinical utilization rate</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The proportion of patients examined by the clinician using the applicable device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4.33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987"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B-4 </w:t>
            </w:r>
            <w:r>
              <w:rPr>
                <w:rFonts w:hint="default" w:ascii="Times New Roman" w:hAnsi="Times New Roman" w:eastAsia="黑体" w:cs="Times New Roman"/>
                <w:b w:val="0"/>
                <w:bCs w:val="0"/>
                <w:i w:val="0"/>
                <w:iCs w:val="0"/>
                <w:color w:val="auto"/>
                <w:kern w:val="0"/>
                <w:sz w:val="21"/>
                <w:szCs w:val="21"/>
                <w:u w:val="none"/>
              </w:rPr>
              <w:t>Annual average utilization rate</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kern w:val="0"/>
                <w:sz w:val="21"/>
                <w:szCs w:val="21"/>
                <w:u w:val="none"/>
                <w:lang w:val="en-US" w:eastAsia="zh-CN"/>
              </w:rPr>
              <w:t>The r</w:t>
            </w:r>
            <w:r>
              <w:rPr>
                <w:rFonts w:hint="default" w:ascii="Times New Roman" w:hAnsi="Times New Roman" w:eastAsia="黑体" w:cs="Times New Roman"/>
                <w:b w:val="0"/>
                <w:bCs w:val="0"/>
                <w:i w:val="0"/>
                <w:iCs w:val="0"/>
                <w:color w:val="auto"/>
                <w:kern w:val="0"/>
                <w:sz w:val="21"/>
                <w:szCs w:val="21"/>
                <w:u w:val="none"/>
              </w:rPr>
              <w:t xml:space="preserve">atio of annual actual working time of equipment to </w:t>
            </w:r>
            <w:r>
              <w:rPr>
                <w:rFonts w:hint="default" w:ascii="Times New Roman" w:hAnsi="Times New Roman" w:eastAsia="黑体" w:cs="Times New Roman"/>
                <w:b w:val="0"/>
                <w:bCs w:val="0"/>
                <w:i w:val="0"/>
                <w:iCs w:val="0"/>
                <w:color w:val="auto"/>
                <w:kern w:val="0"/>
                <w:sz w:val="21"/>
                <w:szCs w:val="21"/>
                <w:u w:val="none"/>
                <w:lang w:val="en-US" w:eastAsia="zh-CN"/>
              </w:rPr>
              <w:t xml:space="preserve">the </w:t>
            </w:r>
            <w:r>
              <w:rPr>
                <w:rFonts w:hint="default" w:ascii="Times New Roman" w:hAnsi="Times New Roman" w:eastAsia="黑体" w:cs="Times New Roman"/>
                <w:b w:val="0"/>
                <w:bCs w:val="0"/>
                <w:i w:val="0"/>
                <w:iCs w:val="0"/>
                <w:color w:val="auto"/>
                <w:kern w:val="0"/>
                <w:sz w:val="21"/>
                <w:szCs w:val="21"/>
                <w:u w:val="none"/>
              </w:rPr>
              <w:t>annual system working time of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4.2</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39"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B-5 </w:t>
            </w:r>
            <w:r>
              <w:rPr>
                <w:rFonts w:hint="default" w:ascii="Times New Roman" w:hAnsi="Times New Roman" w:eastAsia="黑体" w:cs="Times New Roman"/>
                <w:b w:val="0"/>
                <w:bCs w:val="0"/>
                <w:i w:val="0"/>
                <w:iCs w:val="0"/>
                <w:color w:val="auto"/>
                <w:kern w:val="0"/>
                <w:sz w:val="21"/>
                <w:szCs w:val="21"/>
                <w:u w:val="none"/>
              </w:rPr>
              <w:t>Average annual positive rate of inspection equipment</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kern w:val="0"/>
                <w:sz w:val="21"/>
                <w:szCs w:val="21"/>
                <w:u w:val="none"/>
                <w:lang w:val="en-US" w:eastAsia="zh-CN"/>
              </w:rPr>
              <w:t>The p</w:t>
            </w:r>
            <w:r>
              <w:rPr>
                <w:rFonts w:hint="default" w:ascii="Times New Roman" w:hAnsi="Times New Roman" w:eastAsia="黑体" w:cs="Times New Roman"/>
                <w:b w:val="0"/>
                <w:bCs w:val="0"/>
                <w:i w:val="0"/>
                <w:iCs w:val="0"/>
                <w:color w:val="auto"/>
                <w:kern w:val="0"/>
                <w:sz w:val="21"/>
                <w:szCs w:val="21"/>
                <w:u w:val="none"/>
              </w:rPr>
              <w:t>roportion of positive cases of annual equipment inspection results in the total number of annual inspections</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4.47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38"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B-6 </w:t>
            </w:r>
            <w:r>
              <w:rPr>
                <w:rFonts w:hint="default" w:ascii="Times New Roman" w:hAnsi="Times New Roman" w:eastAsia="黑体" w:cs="Times New Roman"/>
                <w:b w:val="0"/>
                <w:bCs w:val="0"/>
                <w:i w:val="0"/>
                <w:iCs w:val="0"/>
                <w:color w:val="auto"/>
                <w:kern w:val="0"/>
                <w:sz w:val="21"/>
                <w:szCs w:val="21"/>
                <w:u w:val="none"/>
              </w:rPr>
              <w:t xml:space="preserve"> Annual average inspection sensitivity</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The ratio of the number of cases improved by the equipment per year to the total number of cases treated per year reflects the treatment efficiency of the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4.67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Some experts suggested to delete it, making it difficult to obtain and calculate clinical indicators.</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1042"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B-7 </w:t>
            </w:r>
            <w:r>
              <w:rPr>
                <w:rFonts w:hint="default" w:ascii="Times New Roman" w:hAnsi="Times New Roman" w:eastAsia="黑体" w:cs="Times New Roman"/>
                <w:b w:val="0"/>
                <w:bCs w:val="0"/>
                <w:i w:val="0"/>
                <w:iCs w:val="0"/>
                <w:color w:val="auto"/>
                <w:kern w:val="0"/>
                <w:sz w:val="21"/>
                <w:szCs w:val="21"/>
                <w:u w:val="none"/>
              </w:rPr>
              <w:t>Improvement rate of treatment equipment diseases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rPr>
              <w:t>The ratio of the number of cases that the disease improves after annual treatment by the medical equipment to the total number of cases that are treated in a year reflects the treatment efficiency of the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4.4</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Some experts believe that data acquisition is difficult, and there is some duplication with B9, and they propose to delete it.</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95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B-8 importance of auxiliary diagnosis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sz w:val="21"/>
                <w:szCs w:val="21"/>
                <w:u w:val="none"/>
                <w:lang w:val="en-US" w:eastAsia="zh-CN"/>
              </w:rPr>
              <w:t>The n</w:t>
            </w:r>
            <w:r>
              <w:rPr>
                <w:rFonts w:hint="default" w:ascii="Times New Roman" w:hAnsi="Times New Roman" w:eastAsia="黑体" w:cs="Times New Roman"/>
                <w:b w:val="0"/>
                <w:bCs w:val="0"/>
                <w:i w:val="0"/>
                <w:iCs w:val="0"/>
                <w:color w:val="auto"/>
                <w:sz w:val="21"/>
                <w:szCs w:val="21"/>
                <w:u w:val="none"/>
              </w:rPr>
              <w:t>ecessity of equipment inspection results to assist doctors in the diagnosis</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4.33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988"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B-9 Quality of life improvement</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sz w:val="21"/>
                <w:szCs w:val="21"/>
                <w:u w:val="none"/>
              </w:rPr>
            </w:pPr>
            <w:r>
              <w:rPr>
                <w:rFonts w:hint="default" w:ascii="Times New Roman" w:hAnsi="Times New Roman" w:eastAsia="黑体" w:cs="Times New Roman"/>
                <w:b w:val="0"/>
                <w:bCs w:val="0"/>
                <w:i w:val="0"/>
                <w:iCs w:val="0"/>
                <w:color w:val="auto"/>
                <w:sz w:val="21"/>
                <w:szCs w:val="21"/>
                <w:u w:val="none"/>
              </w:rPr>
              <w:t>The extent to which the equipment can improve the patient's work quality and life quality (such as the extent to which the patient can improve the pain, insomnia, anxiety, and other conditions caused by the disease after using the equipment for examination or treatment)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4.07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161"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What indicators do you think are needed for "B clinical value":</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281"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Indicators that you think "B clinical value" needs to be deleted:</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958"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C economic value</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715"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C-1 equipment procurement costs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sz w:val="21"/>
                <w:szCs w:val="21"/>
                <w:u w:val="none"/>
                <w:lang w:val="en-US" w:eastAsia="zh-CN"/>
              </w:rPr>
              <w:t>The t</w:t>
            </w:r>
            <w:r>
              <w:rPr>
                <w:rFonts w:hint="default" w:ascii="Times New Roman" w:hAnsi="Times New Roman" w:eastAsia="黑体" w:cs="Times New Roman"/>
                <w:b w:val="0"/>
                <w:bCs w:val="0"/>
                <w:i w:val="0"/>
                <w:iCs w:val="0"/>
                <w:color w:val="auto"/>
                <w:sz w:val="21"/>
                <w:szCs w:val="21"/>
                <w:u w:val="none"/>
              </w:rPr>
              <w:t>otal cost of medical equipment purchase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4.67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755"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eastAsia="黑体" w:cs="Times New Roman"/>
                <w:b w:val="0"/>
                <w:bCs w:val="0"/>
                <w:i w:val="0"/>
                <w:iCs w:val="0"/>
                <w:color w:val="auto"/>
                <w:kern w:val="0"/>
                <w:sz w:val="21"/>
                <w:szCs w:val="21"/>
                <w:u w:val="none"/>
              </w:rPr>
              <w:t>C-2 Price of similar equipment</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lang w:val="en-US" w:eastAsia="zh-CN"/>
              </w:rPr>
              <w:t>The p</w:t>
            </w:r>
            <w:r>
              <w:rPr>
                <w:rFonts w:hint="default" w:ascii="Times New Roman" w:hAnsi="Times New Roman" w:eastAsia="黑体" w:cs="Times New Roman"/>
                <w:b w:val="0"/>
                <w:bCs w:val="0"/>
                <w:i w:val="0"/>
                <w:iCs w:val="0"/>
                <w:color w:val="auto"/>
                <w:kern w:val="0"/>
                <w:sz w:val="21"/>
                <w:szCs w:val="21"/>
                <w:u w:val="none"/>
              </w:rPr>
              <w:t>rice level of the equipment compared with similar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4.27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Index name was the price of similar equipment, index definition was the price level of the equipment compared with similar equipment</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1023"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C-3 Maintenance Dimension Premium</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The cost of periodic inspection, inspection, calibration, maintenance and maintenance of large medical equipment in good condition</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4.4</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0"/>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658"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rPr>
              <w:t>C-4 cases are medical consumables cost</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lang w:val="en-US" w:eastAsia="zh-CN"/>
              </w:rPr>
              <w:t>The total expenditure of each patient on a variety of sanitary materials used in the examination or treatment of the device, including disposable medical materials, medical low-value consumables, etc ..</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4.4</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Original indicator name:  Per capita cost of consumables; Original definition of indicator: Average cost per person of various materials used for equipment inspection or treatment, including disposable materials, medical low-value consumables, office supplies, and sanitation</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1086"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C-5 incremental investment in upgraded equipment</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Total cost increase caused by updating equipment functions and hardware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4.27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176"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C-6</w:t>
            </w:r>
            <w:r>
              <w:rPr>
                <w:rFonts w:hint="default" w:ascii="Times New Roman" w:hAnsi="Times New Roman" w:eastAsia="黑体" w:cs="Times New Roman"/>
                <w:b w:val="0"/>
                <w:bCs w:val="0"/>
                <w:i w:val="0"/>
                <w:iCs w:val="0"/>
                <w:color w:val="auto"/>
                <w:kern w:val="0"/>
                <w:sz w:val="21"/>
                <w:szCs w:val="21"/>
                <w:u w:val="none"/>
              </w:rPr>
              <w:t xml:space="preserve"> Net Present Value</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The difference between the net cash flow of each year over the life cycle of the medical equipment and the initial investment after being converted into the present value by a certain discount rate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4.33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Original definition of indicator:Difference between the present value of future cash inflow and the present value of future cash flow of medical equipment</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895"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C-7 </w:t>
            </w:r>
            <w:r>
              <w:rPr>
                <w:rFonts w:hint="default" w:ascii="Times New Roman" w:hAnsi="Times New Roman" w:eastAsia="黑体" w:cs="Times New Roman"/>
                <w:b w:val="0"/>
                <w:bCs w:val="0"/>
                <w:i w:val="0"/>
                <w:iCs w:val="0"/>
                <w:color w:val="auto"/>
                <w:kern w:val="0"/>
                <w:sz w:val="21"/>
                <w:szCs w:val="21"/>
                <w:u w:val="none"/>
              </w:rPr>
              <w:t>Present value index</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The present value gross income obtained from the original investment of 1 yuan in medical equipment is used to reflect the investment efficiency</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4.13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951"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C-8 total equipment income</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Value generated by medical equipment in use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4.2</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952"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C-9 payback period of investment</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Time (fixed number of year) required for the total revenue obtained from the production of medical equipment to reach the purchase cost of the medical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4.47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1367"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C-10 </w:t>
            </w:r>
            <w:r>
              <w:rPr>
                <w:rFonts w:hint="default" w:ascii="Times New Roman" w:hAnsi="Times New Roman" w:eastAsia="黑体" w:cs="Times New Roman"/>
                <w:b w:val="0"/>
                <w:bCs w:val="0"/>
                <w:i w:val="0"/>
                <w:iCs w:val="0"/>
                <w:color w:val="auto"/>
                <w:kern w:val="0"/>
                <w:sz w:val="21"/>
                <w:szCs w:val="21"/>
                <w:u w:val="none"/>
              </w:rPr>
              <w:t>Average charge of equipmen</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lang w:val="en-US" w:eastAsia="zh-CN"/>
              </w:rPr>
              <w:t>The r</w:t>
            </w:r>
            <w:r>
              <w:rPr>
                <w:rFonts w:hint="default" w:ascii="Times New Roman" w:hAnsi="Times New Roman" w:eastAsia="黑体" w:cs="Times New Roman"/>
                <w:b w:val="0"/>
                <w:bCs w:val="0"/>
                <w:i w:val="0"/>
                <w:iCs w:val="0"/>
                <w:color w:val="auto"/>
                <w:kern w:val="0"/>
                <w:sz w:val="21"/>
                <w:szCs w:val="21"/>
                <w:u w:val="none"/>
              </w:rPr>
              <w:t>atio of annual inspection fee income of medical equipment to annual inspection person time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4.07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901"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C-11 </w:t>
            </w:r>
            <w:r>
              <w:rPr>
                <w:rFonts w:hint="default" w:ascii="Times New Roman" w:hAnsi="Times New Roman" w:eastAsia="黑体" w:cs="Times New Roman"/>
                <w:b w:val="0"/>
                <w:bCs w:val="0"/>
                <w:i w:val="0"/>
                <w:iCs w:val="0"/>
                <w:color w:val="auto"/>
                <w:kern w:val="0"/>
                <w:sz w:val="21"/>
                <w:szCs w:val="21"/>
                <w:u w:val="none"/>
              </w:rPr>
              <w:t>Annual profit margin</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 xml:space="preserve">Ratio of annual profit of medical equipment to </w:t>
            </w:r>
            <w:r>
              <w:rPr>
                <w:rFonts w:hint="default" w:ascii="Times New Roman" w:hAnsi="Times New Roman" w:eastAsia="黑体" w:cs="Times New Roman"/>
                <w:b w:val="0"/>
                <w:bCs w:val="0"/>
                <w:i w:val="0"/>
                <w:iCs w:val="0"/>
                <w:color w:val="auto"/>
                <w:kern w:val="0"/>
                <w:sz w:val="21"/>
                <w:szCs w:val="21"/>
                <w:u w:val="none"/>
                <w:lang w:val="en-US" w:eastAsia="zh-CN"/>
              </w:rPr>
              <w:t xml:space="preserve">the </w:t>
            </w:r>
            <w:r>
              <w:rPr>
                <w:rFonts w:hint="default" w:ascii="Times New Roman" w:hAnsi="Times New Roman" w:eastAsia="黑体" w:cs="Times New Roman"/>
                <w:b w:val="0"/>
                <w:bCs w:val="0"/>
                <w:i w:val="0"/>
                <w:iCs w:val="0"/>
                <w:color w:val="auto"/>
                <w:kern w:val="0"/>
                <w:sz w:val="21"/>
                <w:szCs w:val="21"/>
                <w:u w:val="none"/>
              </w:rPr>
              <w:t>annual operating income of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4.27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79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C-12 margin of safety</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The safety margin refers to the difference between the existing workload and the sales volume at the critical point of profit and loss. The safety margin is the ratio of the safety margin to the existing workload. The higher the safety margin, the less likely the equipment will suffer losses</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four</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138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C-13 </w:t>
            </w:r>
            <w:r>
              <w:rPr>
                <w:rFonts w:hint="default" w:ascii="Times New Roman" w:hAnsi="Times New Roman" w:eastAsia="黑体" w:cs="Times New Roman"/>
                <w:b w:val="0"/>
                <w:bCs w:val="0"/>
                <w:i w:val="0"/>
                <w:iCs w:val="0"/>
                <w:color w:val="auto"/>
                <w:kern w:val="0"/>
                <w:sz w:val="21"/>
                <w:szCs w:val="21"/>
                <w:u w:val="none"/>
              </w:rPr>
              <w:t>Net income from</w:t>
            </w:r>
            <w:r>
              <w:rPr>
                <w:rFonts w:hint="default" w:ascii="Times New Roman" w:hAnsi="Times New Roman" w:eastAsia="黑体" w:cs="Times New Roman"/>
                <w:b w:val="0"/>
                <w:bCs w:val="0"/>
                <w:i w:val="0"/>
                <w:iCs w:val="0"/>
                <w:color w:val="auto"/>
                <w:kern w:val="0"/>
                <w:sz w:val="21"/>
                <w:szCs w:val="21"/>
                <w:u w:val="none"/>
                <w:lang w:val="en-US" w:eastAsia="zh-CN"/>
              </w:rPr>
              <w:t xml:space="preserve"> the</w:t>
            </w:r>
            <w:r>
              <w:rPr>
                <w:rFonts w:hint="default" w:ascii="Times New Roman" w:hAnsi="Times New Roman" w:eastAsia="黑体" w:cs="Times New Roman"/>
                <w:b w:val="0"/>
                <w:bCs w:val="0"/>
                <w:i w:val="0"/>
                <w:iCs w:val="0"/>
                <w:color w:val="auto"/>
                <w:kern w:val="0"/>
                <w:sz w:val="21"/>
                <w:szCs w:val="21"/>
                <w:u w:val="none"/>
              </w:rPr>
              <w:t xml:space="preserve"> realization of residual value</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Sum of all values that can be recovered when the equipment is scrapped</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3.47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The index should be deleted from the calculation results of the boundary value method, but the research group chose to retain this index for two rounds of evaluation after discussion with the experts</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46"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What indicators do you think "C economic value" needs to be added:</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96"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Indicators that you think "C economic value" needs to be deleted:</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711"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D social value</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865"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D-1 Annual average number of subjects involved</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 xml:space="preserve">Annual average number of medical equipment participating in scientific research projects or topics above </w:t>
            </w:r>
            <w:r>
              <w:rPr>
                <w:rFonts w:hint="default" w:ascii="Times New Roman" w:hAnsi="Times New Roman" w:eastAsia="黑体" w:cs="Times New Roman"/>
                <w:b w:val="0"/>
                <w:bCs w:val="0"/>
                <w:i w:val="0"/>
                <w:iCs w:val="0"/>
                <w:color w:val="auto"/>
                <w:kern w:val="0"/>
                <w:sz w:val="21"/>
                <w:szCs w:val="21"/>
                <w:u w:val="none"/>
                <w:lang w:val="en-US" w:eastAsia="zh-CN"/>
              </w:rPr>
              <w:t xml:space="preserve">the </w:t>
            </w:r>
            <w:r>
              <w:rPr>
                <w:rFonts w:hint="default" w:ascii="Times New Roman" w:hAnsi="Times New Roman" w:eastAsia="黑体" w:cs="Times New Roman"/>
                <w:b w:val="0"/>
                <w:bCs w:val="0"/>
                <w:i w:val="0"/>
                <w:iCs w:val="0"/>
                <w:color w:val="auto"/>
                <w:kern w:val="0"/>
                <w:sz w:val="21"/>
                <w:szCs w:val="21"/>
                <w:u w:val="none"/>
              </w:rPr>
              <w:t>provincial level</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3.13</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868"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D-2 Annual average number of published papers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lang w:val="en-US" w:eastAsia="zh-CN"/>
              </w:rPr>
              <w:t>The a</w:t>
            </w:r>
            <w:r>
              <w:rPr>
                <w:rFonts w:hint="default" w:ascii="Times New Roman" w:hAnsi="Times New Roman" w:eastAsia="黑体" w:cs="Times New Roman"/>
                <w:b w:val="0"/>
                <w:bCs w:val="0"/>
                <w:i w:val="0"/>
                <w:iCs w:val="0"/>
                <w:color w:val="auto"/>
                <w:kern w:val="0"/>
                <w:sz w:val="21"/>
                <w:szCs w:val="21"/>
                <w:u w:val="none"/>
              </w:rPr>
              <w:t>nnual average number of papers related to the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3.07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865"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D-3 course participation</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Annual total number of courses taught by medical equipment for undergraduates or above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3.2</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821"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D-4 number of students taught</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Refers to how many students use this device for internship learning</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3.4</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83"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 xml:space="preserve">D-5 </w:t>
            </w:r>
            <w:r>
              <w:rPr>
                <w:rFonts w:hint="default" w:ascii="Times New Roman" w:hAnsi="Times New Roman" w:eastAsia="黑体" w:cs="Times New Roman"/>
                <w:b w:val="0"/>
                <w:bCs w:val="0"/>
                <w:i w:val="0"/>
                <w:iCs w:val="0"/>
                <w:color w:val="auto"/>
                <w:kern w:val="0"/>
                <w:sz w:val="21"/>
                <w:szCs w:val="21"/>
                <w:u w:val="none"/>
              </w:rPr>
              <w:t>Number of teaching students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It refers to how many students use this equipment to practice and learn</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3.07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Indicator Name Originally: Award</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1083"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rPr>
              <w:t>D-6</w:t>
            </w:r>
            <w:r>
              <w:rPr>
                <w:rFonts w:hint="default" w:ascii="Times New Roman" w:hAnsi="Times New Roman" w:eastAsia="黑体" w:cs="Times New Roman"/>
                <w:b w:val="0"/>
                <w:bCs w:val="0"/>
                <w:i w:val="0"/>
                <w:iCs w:val="0"/>
                <w:color w:val="auto"/>
                <w:kern w:val="0"/>
                <w:sz w:val="21"/>
                <w:szCs w:val="21"/>
                <w:u w:val="none"/>
              </w:rPr>
              <w:t xml:space="preserve"> Scientific research funds per capita</w:t>
            </w:r>
          </w:p>
        </w:tc>
        <w:tc>
          <w:tcPr>
            <w:tcW w:w="1110" w:type="pct"/>
            <w:tcBorders>
              <w:top w:val="single" w:color="000000" w:sz="4" w:space="0"/>
              <w:left w:val="single" w:color="000000" w:sz="4" w:space="0"/>
              <w:bottom w:val="single" w:color="000000" w:sz="4" w:space="0"/>
              <w:right w:val="single" w:color="000000" w:sz="4" w:space="0"/>
            </w:tcBorders>
            <w:vAlign w:val="center"/>
          </w:tcPr>
          <w:p>
            <w:pPr>
              <w:pStyle w:val="2"/>
              <w:rPr>
                <w:rFonts w:hint="default" w:ascii="Times New Roman" w:hAnsi="Times New Roman" w:eastAsia="黑体"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Scientific research project funds per capita for medical personnel related to large medical equipment</w:t>
            </w:r>
          </w:p>
          <w:p>
            <w:pPr>
              <w:widowControl/>
              <w:jc w:val="left"/>
              <w:textAlignment w:val="center"/>
              <w:rPr>
                <w:rFonts w:hint="default" w:ascii="Times New Roman" w:hAnsi="Times New Roman" w:cs="Times New Roman"/>
                <w:b w:val="0"/>
                <w:bCs w:val="0"/>
                <w:i w:val="0"/>
                <w:iCs w:val="0"/>
                <w:color w:val="auto"/>
                <w:kern w:val="0"/>
                <w:sz w:val="21"/>
                <w:szCs w:val="21"/>
                <w:u w:val="none"/>
              </w:rPr>
            </w:pP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3.8</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148"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D-7 promotion of informatization</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eastAsia="黑体" w:cs="Times New Roman"/>
                <w:b w:val="0"/>
                <w:bCs w:val="0"/>
                <w:i w:val="0"/>
                <w:iCs w:val="0"/>
                <w:color w:val="auto"/>
                <w:kern w:val="0"/>
                <w:sz w:val="21"/>
                <w:szCs w:val="21"/>
                <w:u w:val="none"/>
              </w:rPr>
              <w:t>Whether the full cycle data can be entered into the hospital's equipment management information system</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4.27</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Some experts think it has little to do with medical equipment and question whether it can reflect social value</w:t>
            </w: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lang w:val="en-US" w:eastAsia="zh-CN"/>
              </w:rPr>
            </w:pPr>
          </w:p>
        </w:tc>
      </w:tr>
      <w:tr>
        <w:tblPrEx>
          <w:tblCellMar>
            <w:top w:w="15" w:type="dxa"/>
            <w:left w:w="15" w:type="dxa"/>
            <w:bottom w:w="15" w:type="dxa"/>
            <w:right w:w="15" w:type="dxa"/>
          </w:tblCellMar>
        </w:tblPrEx>
        <w:trPr>
          <w:trHeight w:val="79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D-8</w:t>
            </w:r>
            <w:r>
              <w:rPr>
                <w:rFonts w:hint="default" w:ascii="Times New Roman" w:hAnsi="Times New Roman" w:eastAsia="黑体" w:cs="Times New Roman"/>
                <w:b w:val="0"/>
                <w:bCs w:val="0"/>
                <w:i w:val="0"/>
                <w:iCs w:val="0"/>
                <w:color w:val="auto"/>
                <w:kern w:val="0"/>
                <w:sz w:val="21"/>
                <w:szCs w:val="21"/>
                <w:u w:val="none"/>
              </w:rPr>
              <w:t>Improvement of hospital social image</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eastAsia="黑体" w:cs="Times New Roman"/>
                <w:b w:val="0"/>
                <w:bCs w:val="0"/>
                <w:i w:val="0"/>
                <w:iCs w:val="0"/>
                <w:color w:val="auto"/>
                <w:kern w:val="0"/>
                <w:sz w:val="21"/>
                <w:szCs w:val="21"/>
                <w:u w:val="none"/>
              </w:rPr>
              <w:t>Whether the medical equipment has improved the social reputation, image, and popularity of the hospital</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lang w:val="en-US" w:eastAsia="zh-CN"/>
              </w:rPr>
            </w:pPr>
            <w:r>
              <w:rPr>
                <w:rFonts w:hint="default" w:ascii="Times New Roman" w:hAnsi="Times New Roman" w:cs="Times New Roman"/>
                <w:b w:val="0"/>
                <w:bCs w:val="0"/>
                <w:i w:val="0"/>
                <w:iCs w:val="0"/>
                <w:color w:val="auto"/>
                <w:sz w:val="21"/>
                <w:szCs w:val="21"/>
                <w:u w:val="none"/>
                <w:lang w:val="en-US" w:eastAsia="zh-CN"/>
              </w:rPr>
              <w:t>four</w:t>
            </w: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948"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What indicators do you think "D Social Value" needs to add:</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83"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Indicators that you think "D social value" needs to be deleted:</w:t>
            </w:r>
          </w:p>
        </w:tc>
        <w:tc>
          <w:tcPr>
            <w:tcW w:w="2883" w:type="pct"/>
            <w:gridSpan w:val="1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083" w:hRule="atLeast"/>
          <w:jc w:val="center"/>
        </w:trPr>
        <w:tc>
          <w:tcPr>
            <w:tcW w:w="5000" w:type="pct"/>
            <w:gridSpan w:val="15"/>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r>
              <w:rPr>
                <w:rFonts w:hint="default" w:ascii="Times New Roman" w:hAnsi="Times New Roman" w:cs="Times New Roman"/>
                <w:b w:val="0"/>
                <w:bCs w:val="0"/>
                <w:i w:val="0"/>
                <w:iCs w:val="0"/>
                <w:color w:val="auto"/>
                <w:kern w:val="0"/>
                <w:sz w:val="21"/>
                <w:szCs w:val="21"/>
                <w:u w:val="none"/>
                <w:lang w:val="en-US" w:eastAsia="zh-CN"/>
              </w:rPr>
              <w:t>Note: the following items are intended to be added with reference to some expert opinions in the previous round. please rate the "importance evaluation of indicators" and "familiarity with indicators"</w:t>
            </w:r>
          </w:p>
        </w:tc>
      </w:tr>
      <w:tr>
        <w:tblPrEx>
          <w:tblCellMar>
            <w:top w:w="15" w:type="dxa"/>
            <w:left w:w="15" w:type="dxa"/>
            <w:bottom w:w="15" w:type="dxa"/>
            <w:right w:w="15" w:type="dxa"/>
          </w:tblCellMar>
        </w:tblPrEx>
        <w:trPr>
          <w:trHeight w:val="90"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Operational safety</w:t>
            </w:r>
          </w:p>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lang w:val="en-US" w:eastAsia="zh-CN"/>
              </w:rPr>
              <w:t>(a engineering value)</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lang w:val="en-US" w:eastAsia="zh-CN"/>
              </w:rPr>
              <w:t>In case of possible equipment operation error or failure, no great damage will be caused; Under overload conditions, the equipment will not be seriously damaged; In the event of an accident, also will not cause great personal danger</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198"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Irreplaceability of medical equipment</w:t>
            </w:r>
          </w:p>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(b clinical value)</w:t>
            </w:r>
          </w:p>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rPr>
              <w:t>Refers to whether the equipment has irreplaceable advantages compared with other equipment in the process of diagnosing or treating a disease</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156"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rate of return</w:t>
            </w:r>
          </w:p>
          <w:p>
            <w:pPr>
              <w:widowControl/>
              <w:jc w:val="left"/>
              <w:textAlignment w:val="center"/>
              <w:rPr>
                <w:rFonts w:hint="default" w:ascii="Times New Roman" w:hAnsi="Times New Roman" w:cs="Times New Roman"/>
                <w:b w:val="0"/>
                <w:bCs w:val="0"/>
                <w:i w:val="0"/>
                <w:iCs w:val="0"/>
                <w:color w:val="auto"/>
                <w:kern w:val="0"/>
                <w:sz w:val="21"/>
                <w:szCs w:val="21"/>
                <w:u w:val="none"/>
              </w:rPr>
            </w:pPr>
            <w:r>
              <w:rPr>
                <w:rFonts w:hint="default" w:ascii="Times New Roman" w:hAnsi="Times New Roman" w:cs="Times New Roman"/>
                <w:b w:val="0"/>
                <w:bCs w:val="0"/>
                <w:i w:val="0"/>
                <w:iCs w:val="0"/>
                <w:color w:val="auto"/>
                <w:kern w:val="0"/>
                <w:sz w:val="21"/>
                <w:szCs w:val="21"/>
                <w:u w:val="none"/>
                <w:lang w:val="en-US" w:eastAsia="zh-CN"/>
              </w:rPr>
              <w:t>(c economic value)</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Refers to the ratio of the total income of equipment investment to the cost of investment, reflecting the income ability of equipment investment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333"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Depreciation charge for fixed assets</w:t>
            </w:r>
          </w:p>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(c economic value)</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With the use of equipment, wear and tear, the purchase price by the method of depreciation gradually transferred to the production costs and related expenses to the part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r>
        <w:tblPrEx>
          <w:tblCellMar>
            <w:top w:w="15" w:type="dxa"/>
            <w:left w:w="15" w:type="dxa"/>
            <w:bottom w:w="15" w:type="dxa"/>
            <w:right w:w="15" w:type="dxa"/>
          </w:tblCellMar>
        </w:tblPrEx>
        <w:trPr>
          <w:trHeight w:val="1163" w:hRule="atLeast"/>
          <w:jc w:val="center"/>
        </w:trPr>
        <w:tc>
          <w:tcPr>
            <w:tcW w:w="705"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Improvement of patient satisfaction</w:t>
            </w:r>
          </w:p>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(d) social values</w:t>
            </w:r>
          </w:p>
        </w:tc>
        <w:tc>
          <w:tcPr>
            <w:tcW w:w="111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b w:val="0"/>
                <w:bCs w:val="0"/>
                <w:i w:val="0"/>
                <w:iCs w:val="0"/>
                <w:color w:val="auto"/>
                <w:kern w:val="0"/>
                <w:sz w:val="21"/>
                <w:szCs w:val="21"/>
                <w:u w:val="none"/>
                <w:lang w:val="en-US" w:eastAsia="zh-CN"/>
              </w:rPr>
            </w:pPr>
            <w:r>
              <w:rPr>
                <w:rFonts w:hint="default" w:ascii="Times New Roman" w:hAnsi="Times New Roman" w:cs="Times New Roman"/>
                <w:b w:val="0"/>
                <w:bCs w:val="0"/>
                <w:i w:val="0"/>
                <w:iCs w:val="0"/>
                <w:color w:val="auto"/>
                <w:kern w:val="0"/>
                <w:sz w:val="21"/>
                <w:szCs w:val="21"/>
                <w:u w:val="none"/>
                <w:lang w:val="en-US" w:eastAsia="zh-CN"/>
              </w:rPr>
              <w:t>The degree to which patients' satisfaction is improved due to the use of equipment</w:t>
            </w:r>
          </w:p>
        </w:tc>
        <w:tc>
          <w:tcPr>
            <w:tcW w:w="2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1"/>
                <w:szCs w:val="21"/>
                <w:u w:val="none"/>
              </w:rPr>
            </w:pPr>
          </w:p>
        </w:tc>
        <w:tc>
          <w:tcPr>
            <w:tcW w:w="17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2"/>
                <w:sz w:val="21"/>
                <w:szCs w:val="21"/>
                <w:u w:val="none"/>
                <w:lang w:val="en-US" w:eastAsia="zh-CN" w:bidi="ar-SA"/>
              </w:rPr>
            </w:pPr>
            <w:sdt>
              <w:sdtPr>
                <w:rPr>
                  <w:rFonts w:hint="default" w:ascii="Times New Roman" w:hAnsi="Times New Roman" w:eastAsia="黑体" w:cs="Times New Roman"/>
                  <w:b w:val="0"/>
                  <w:bCs w:val="0"/>
                  <w:i w:val="0"/>
                  <w:iCs w:val="0"/>
                  <w:color w:val="auto"/>
                  <w:sz w:val="21"/>
                  <w:szCs w:val="21"/>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5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2"/>
                <w:sz w:val="21"/>
                <w:szCs w:val="21"/>
                <w:u w:val="none"/>
                <w:lang w:val="en-US" w:eastAsia="zh-CN" w:bidi="ar-SA"/>
              </w:rPr>
            </w:pPr>
            <w:sdt>
              <w:sdtPr>
                <w:rPr>
                  <w:rFonts w:hint="default" w:ascii="Times New Roman" w:hAnsi="Times New Roman" w:eastAsia="黑体" w:cs="Times New Roman"/>
                  <w:b w:val="0"/>
                  <w:bCs w:val="0"/>
                  <w:i w:val="0"/>
                  <w:iCs w:val="0"/>
                  <w:color w:val="auto"/>
                  <w:sz w:val="21"/>
                  <w:szCs w:val="21"/>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8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2"/>
                <w:sz w:val="21"/>
                <w:szCs w:val="21"/>
                <w:u w:val="none"/>
                <w:lang w:val="en-US" w:eastAsia="zh-CN" w:bidi="ar-SA"/>
              </w:rPr>
            </w:pPr>
            <w:sdt>
              <w:sdtPr>
                <w:rPr>
                  <w:rFonts w:hint="default" w:ascii="Times New Roman" w:hAnsi="Times New Roman" w:eastAsia="黑体" w:cs="Times New Roman"/>
                  <w:b w:val="0"/>
                  <w:bCs w:val="0"/>
                  <w:i w:val="0"/>
                  <w:iCs w:val="0"/>
                  <w:color w:val="auto"/>
                  <w:sz w:val="21"/>
                  <w:szCs w:val="21"/>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3</w:t>
            </w:r>
          </w:p>
        </w:tc>
        <w:tc>
          <w:tcPr>
            <w:tcW w:w="1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2"/>
                <w:sz w:val="21"/>
                <w:szCs w:val="21"/>
                <w:u w:val="none"/>
                <w:lang w:val="en-US" w:eastAsia="zh-CN" w:bidi="ar-SA"/>
              </w:rPr>
            </w:pPr>
            <w:sdt>
              <w:sdtPr>
                <w:rPr>
                  <w:rFonts w:hint="default" w:ascii="Times New Roman" w:hAnsi="Times New Roman" w:eastAsia="黑体" w:cs="Times New Roman"/>
                  <w:b w:val="0"/>
                  <w:bCs w:val="0"/>
                  <w:i w:val="0"/>
                  <w:iCs w:val="0"/>
                  <w:color w:val="auto"/>
                  <w:sz w:val="21"/>
                  <w:szCs w:val="21"/>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2</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2"/>
                <w:sz w:val="21"/>
                <w:szCs w:val="21"/>
                <w:u w:val="none"/>
                <w:lang w:val="en-US" w:eastAsia="zh-CN" w:bidi="ar-SA"/>
              </w:rPr>
            </w:pPr>
            <w:sdt>
              <w:sdtPr>
                <w:rPr>
                  <w:rFonts w:hint="default" w:ascii="Times New Roman" w:hAnsi="Times New Roman" w:eastAsia="黑体" w:cs="Times New Roman"/>
                  <w:b w:val="0"/>
                  <w:bCs w:val="0"/>
                  <w:i w:val="0"/>
                  <w:iCs w:val="0"/>
                  <w:color w:val="auto"/>
                  <w:sz w:val="21"/>
                  <w:szCs w:val="21"/>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1</w:t>
            </w:r>
          </w:p>
        </w:tc>
        <w:tc>
          <w:tcPr>
            <w:tcW w:w="113"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2"/>
                <w:sz w:val="21"/>
                <w:szCs w:val="21"/>
                <w:u w:val="none"/>
                <w:lang w:val="en-US" w:eastAsia="zh-CN" w:bidi="ar-SA"/>
              </w:rPr>
            </w:pPr>
            <w:sdt>
              <w:sdtPr>
                <w:rPr>
                  <w:rFonts w:hint="default" w:ascii="Times New Roman" w:hAnsi="Times New Roman" w:eastAsia="黑体" w:cs="Times New Roman"/>
                  <w:b w:val="0"/>
                  <w:bCs w:val="0"/>
                  <w:i w:val="0"/>
                  <w:iCs w:val="0"/>
                  <w:color w:val="auto"/>
                  <w:sz w:val="21"/>
                  <w:szCs w:val="21"/>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5</w:t>
            </w:r>
          </w:p>
        </w:tc>
        <w:tc>
          <w:tcPr>
            <w:tcW w:w="16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2"/>
                <w:sz w:val="21"/>
                <w:szCs w:val="21"/>
                <w:u w:val="none"/>
                <w:lang w:val="en-US" w:eastAsia="zh-CN" w:bidi="ar-SA"/>
              </w:rPr>
            </w:pPr>
            <w:sdt>
              <w:sdtPr>
                <w:rPr>
                  <w:rFonts w:hint="default" w:ascii="Times New Roman" w:hAnsi="Times New Roman" w:eastAsia="黑体" w:cs="Times New Roman"/>
                  <w:b w:val="0"/>
                  <w:bCs w:val="0"/>
                  <w:i w:val="0"/>
                  <w:iCs w:val="0"/>
                  <w:color w:val="auto"/>
                  <w:sz w:val="21"/>
                  <w:szCs w:val="21"/>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eastAsia="宋体" w:cs="Times New Roman"/>
                    <w:b w:val="0"/>
                    <w:bCs w:val="0"/>
                    <w:i w:val="0"/>
                    <w:iCs w:val="0"/>
                    <w:color w:val="auto"/>
                    <w:kern w:val="2"/>
                    <w:sz w:val="21"/>
                    <w:szCs w:val="21"/>
                    <w:u w:val="none"/>
                    <w:lang w:val="en-US" w:eastAsia="zh-CN" w:bidi="ar-SA"/>
                  </w:rPr>
                  <w:t>☐</w:t>
                </w:r>
              </w:sdtContent>
            </w:sdt>
            <w:r>
              <w:rPr>
                <w:rFonts w:hint="default" w:ascii="Times New Roman" w:hAnsi="Times New Roman" w:eastAsia="黑体" w:cs="Times New Roman"/>
                <w:b w:val="0"/>
                <w:bCs w:val="0"/>
                <w:i w:val="0"/>
                <w:iCs w:val="0"/>
                <w:color w:val="auto"/>
                <w:sz w:val="21"/>
                <w:szCs w:val="21"/>
                <w:u w:val="none"/>
              </w:rPr>
              <w:t>4</w:t>
            </w:r>
          </w:p>
        </w:tc>
        <w:tc>
          <w:tcPr>
            <w:tcW w:w="14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2"/>
                <w:sz w:val="21"/>
                <w:szCs w:val="21"/>
                <w:u w:val="none"/>
                <w:lang w:val="en-US" w:eastAsia="zh-CN" w:bidi="ar-SA"/>
              </w:rPr>
            </w:pPr>
            <w:sdt>
              <w:sdtPr>
                <w:rPr>
                  <w:rFonts w:hint="default" w:ascii="Times New Roman" w:hAnsi="Times New Roman" w:eastAsia="黑体" w:cs="Times New Roman"/>
                  <w:b w:val="0"/>
                  <w:bCs w:val="0"/>
                  <w:i w:val="0"/>
                  <w:iCs w:val="0"/>
                  <w:color w:val="auto"/>
                  <w:sz w:val="21"/>
                  <w:szCs w:val="21"/>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3</w:t>
            </w:r>
          </w:p>
        </w:tc>
        <w:tc>
          <w:tcPr>
            <w:tcW w:w="12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2"/>
                <w:sz w:val="21"/>
                <w:szCs w:val="21"/>
                <w:u w:val="none"/>
                <w:lang w:val="en-US" w:eastAsia="zh-CN" w:bidi="ar-SA"/>
              </w:rPr>
            </w:pPr>
            <w:sdt>
              <w:sdtPr>
                <w:rPr>
                  <w:rFonts w:hint="default" w:ascii="Times New Roman" w:hAnsi="Times New Roman" w:eastAsia="黑体" w:cs="Times New Roman"/>
                  <w:b w:val="0"/>
                  <w:bCs w:val="0"/>
                  <w:i w:val="0"/>
                  <w:iCs w:val="0"/>
                  <w:color w:val="auto"/>
                  <w:sz w:val="21"/>
                  <w:szCs w:val="21"/>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2</w:t>
            </w:r>
          </w:p>
        </w:tc>
        <w:tc>
          <w:tcPr>
            <w:tcW w:w="1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kern w:val="2"/>
                <w:sz w:val="21"/>
                <w:szCs w:val="21"/>
                <w:u w:val="none"/>
                <w:lang w:val="en-US" w:eastAsia="zh-CN" w:bidi="ar-SA"/>
              </w:rPr>
            </w:pPr>
            <w:sdt>
              <w:sdtPr>
                <w:rPr>
                  <w:rFonts w:hint="default" w:ascii="Times New Roman" w:hAnsi="Times New Roman" w:eastAsia="黑体" w:cs="Times New Roman"/>
                  <w:b w:val="0"/>
                  <w:bCs w:val="0"/>
                  <w:i w:val="0"/>
                  <w:iCs w:val="0"/>
                  <w:color w:val="auto"/>
                  <w:sz w:val="21"/>
                  <w:szCs w:val="21"/>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1"/>
                  <w:szCs w:val="21"/>
                  <w:u w:val="none"/>
                </w:rPr>
              </w:sdtEndPr>
              <w:sdtContent>
                <w:r>
                  <w:rPr>
                    <w:rFonts w:hint="default" w:ascii="Times New Roman" w:hAnsi="Times New Roman" w:cs="Times New Roman"/>
                    <w:b w:val="0"/>
                    <w:bCs w:val="0"/>
                    <w:i w:val="0"/>
                    <w:iCs w:val="0"/>
                    <w:color w:val="auto"/>
                    <w:sz w:val="21"/>
                    <w:szCs w:val="21"/>
                    <w:u w:val="none"/>
                  </w:rPr>
                  <w:t>☐</w:t>
                </w:r>
              </w:sdtContent>
            </w:sdt>
            <w:r>
              <w:rPr>
                <w:rFonts w:hint="default" w:ascii="Times New Roman" w:hAnsi="Times New Roman" w:eastAsia="黑体" w:cs="Times New Roman"/>
                <w:b w:val="0"/>
                <w:bCs w:val="0"/>
                <w:i w:val="0"/>
                <w:iCs w:val="0"/>
                <w:color w:val="auto"/>
                <w:sz w:val="21"/>
                <w:szCs w:val="21"/>
                <w:u w:val="none"/>
              </w:rPr>
              <w:t>1</w:t>
            </w:r>
          </w:p>
        </w:tc>
        <w:tc>
          <w:tcPr>
            <w:tcW w:w="88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cs="Times New Roman"/>
                <w:b w:val="0"/>
                <w:bCs w:val="0"/>
                <w:i w:val="0"/>
                <w:iCs w:val="0"/>
                <w:color w:val="auto"/>
                <w:sz w:val="21"/>
                <w:szCs w:val="21"/>
                <w:u w:val="none"/>
              </w:rPr>
            </w:pPr>
          </w:p>
        </w:tc>
      </w:tr>
    </w:tbl>
    <w:p>
      <w:pPr>
        <w:widowControl w:val="0"/>
        <w:numPr>
          <w:ilvl w:val="0"/>
          <w:numId w:val="0"/>
        </w:numPr>
        <w:jc w:val="left"/>
        <w:rPr>
          <w:rFonts w:hint="default" w:ascii="Times New Roman" w:hAnsi="Times New Roman" w:cs="Times New Roman"/>
          <w:b w:val="0"/>
          <w:bCs w:val="0"/>
          <w:i w:val="0"/>
          <w:iCs w:val="0"/>
          <w:color w:val="auto"/>
          <w:sz w:val="24"/>
          <w:szCs w:val="24"/>
          <w:u w:val="none"/>
          <w:lang w:val="en-US" w:eastAsia="zh-CN"/>
        </w:rPr>
      </w:pPr>
    </w:p>
    <w:p>
      <w:pPr>
        <w:numPr>
          <w:ilvl w:val="0"/>
          <w:numId w:val="0"/>
        </w:numPr>
        <w:jc w:val="left"/>
        <w:rPr>
          <w:rFonts w:hint="default" w:ascii="Times New Roman" w:hAnsi="Times New Roman" w:cs="Times New Roman"/>
          <w:b w:val="0"/>
          <w:bCs w:val="0"/>
          <w:i w:val="0"/>
          <w:iCs w:val="0"/>
          <w:color w:val="auto"/>
          <w:sz w:val="24"/>
          <w:szCs w:val="24"/>
          <w:u w:val="none"/>
        </w:rPr>
      </w:pPr>
    </w:p>
    <w:p>
      <w:pPr>
        <w:numPr>
          <w:ilvl w:val="0"/>
          <w:numId w:val="1"/>
        </w:numPr>
        <w:jc w:val="left"/>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Dimension importance evaluation table</w:t>
      </w:r>
    </w:p>
    <w:p>
      <w:pP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(The scoring criteria for dimension importance evaluation is 1–5 points, 5= very important, 4= relatively important, 3= generally important, 2= not too important, 1= not important; Please tick the corresponding score</w:t>
      </w:r>
    </w:p>
    <w:p>
      <w:pPr>
        <w:rPr>
          <w:rFonts w:hint="default" w:ascii="Times New Roman" w:hAnsi="Times New Roman" w:cs="Times New Roman"/>
          <w:b w:val="0"/>
          <w:bCs w:val="0"/>
          <w:i w:val="0"/>
          <w:iCs w:val="0"/>
          <w:color w:val="auto"/>
          <w:kern w:val="0"/>
          <w:sz w:val="24"/>
          <w:szCs w:val="24"/>
          <w:u w:val="none"/>
          <w:lang w:eastAsia="zh-CN"/>
        </w:rPr>
      </w:pPr>
      <w:r>
        <w:rPr>
          <w:rFonts w:hint="default" w:ascii="Times New Roman" w:hAnsi="Times New Roman" w:cs="Times New Roman"/>
          <w:b w:val="0"/>
          <w:bCs w:val="0"/>
          <w:i w:val="0"/>
          <w:iCs w:val="0"/>
          <w:color w:val="auto"/>
          <w:sz w:val="24"/>
          <w:szCs w:val="24"/>
          <w:u w:val="none"/>
        </w:rPr>
        <w:t>(or red corresponding score))</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6"/>
        <w:gridCol w:w="2356"/>
        <w:gridCol w:w="2356"/>
        <w:gridCol w:w="2356"/>
        <w:gridCol w:w="2357"/>
        <w:gridCol w:w="2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356" w:type="dxa"/>
          </w:tcPr>
          <w:p>
            <w:pPr>
              <w:snapToGrid w:val="0"/>
              <w:jc w:val="center"/>
              <w:rPr>
                <w:rFonts w:hint="default" w:ascii="Times New Roman" w:hAnsi="Times New Roman" w:cs="Times New Roman"/>
                <w:b w:val="0"/>
                <w:bCs w:val="0"/>
                <w:i w:val="0"/>
                <w:iCs w:val="0"/>
                <w:color w:val="auto"/>
                <w:sz w:val="24"/>
                <w:szCs w:val="24"/>
                <w:u w:val="none"/>
              </w:rPr>
            </w:pPr>
          </w:p>
          <w:p>
            <w:pPr>
              <w:snapToGrid w:val="0"/>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dimension</w:t>
            </w: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score</w:t>
            </w:r>
          </w:p>
        </w:tc>
        <w:tc>
          <w:tcPr>
            <w:tcW w:w="2356"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very important</w:t>
            </w:r>
          </w:p>
        </w:tc>
        <w:tc>
          <w:tcPr>
            <w:tcW w:w="2356"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More important</w:t>
            </w:r>
          </w:p>
        </w:tc>
        <w:tc>
          <w:tcPr>
            <w:tcW w:w="2356"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Generally important</w:t>
            </w:r>
          </w:p>
        </w:tc>
        <w:tc>
          <w:tcPr>
            <w:tcW w:w="2357"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Not too important</w:t>
            </w:r>
          </w:p>
        </w:tc>
        <w:tc>
          <w:tcPr>
            <w:tcW w:w="2357"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unimportance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356" w:type="dxa"/>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Engineering value</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5</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4</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3</w:t>
            </w:r>
          </w:p>
        </w:tc>
        <w:tc>
          <w:tcPr>
            <w:tcW w:w="2357"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2</w:t>
            </w:r>
          </w:p>
        </w:tc>
        <w:tc>
          <w:tcPr>
            <w:tcW w:w="2357"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356" w:type="dxa"/>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Clinical value</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5</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4</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3</w:t>
            </w:r>
          </w:p>
        </w:tc>
        <w:tc>
          <w:tcPr>
            <w:tcW w:w="2357"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2</w:t>
            </w:r>
          </w:p>
        </w:tc>
        <w:tc>
          <w:tcPr>
            <w:tcW w:w="2357"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356" w:type="dxa"/>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economic value</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5</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4</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3</w:t>
            </w:r>
          </w:p>
        </w:tc>
        <w:tc>
          <w:tcPr>
            <w:tcW w:w="2357"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2</w:t>
            </w:r>
          </w:p>
        </w:tc>
        <w:tc>
          <w:tcPr>
            <w:tcW w:w="2357"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356" w:type="dxa"/>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Social value</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5</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4</w:t>
            </w:r>
          </w:p>
        </w:tc>
        <w:tc>
          <w:tcPr>
            <w:tcW w:w="2356"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3</w:t>
            </w:r>
          </w:p>
        </w:tc>
        <w:tc>
          <w:tcPr>
            <w:tcW w:w="2357"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2</w:t>
            </w:r>
          </w:p>
        </w:tc>
        <w:tc>
          <w:tcPr>
            <w:tcW w:w="2357" w:type="dxa"/>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1</w:t>
            </w:r>
          </w:p>
        </w:tc>
      </w:tr>
    </w:tbl>
    <w:p>
      <w:pPr>
        <w:jc w:val="left"/>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IV. Dimension Weight Evaluation Table</w:t>
      </w:r>
    </w:p>
    <w:tbl>
      <w:tblPr>
        <w:tblStyle w:val="4"/>
        <w:tblW w:w="14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0"/>
        <w:gridCol w:w="3556"/>
        <w:gridCol w:w="3511"/>
        <w:gridCol w:w="3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9" w:hRule="atLeast"/>
        </w:trPr>
        <w:tc>
          <w:tcPr>
            <w:tcW w:w="14220" w:type="dxa"/>
            <w:gridSpan w:val="4"/>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Dimension weights total 100% (please score the weights for each dimension)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540" w:type="dxa"/>
          </w:tcPr>
          <w:p>
            <w:pPr>
              <w:jc w:val="center"/>
              <w:rPr>
                <w:rFonts w:hint="default" w:ascii="Times New Roman" w:hAnsi="Times New Roman" w:cs="Times New Roman"/>
                <w:b w:val="0"/>
                <w:bCs w:val="0"/>
                <w:i w:val="0"/>
                <w:iCs w:val="0"/>
                <w:color w:val="auto"/>
                <w:kern w:val="0"/>
                <w:sz w:val="24"/>
                <w:szCs w:val="24"/>
                <w:u w:val="none"/>
              </w:rPr>
            </w:pPr>
          </w:p>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cs="Times New Roman"/>
                <w:b w:val="0"/>
                <w:bCs w:val="0"/>
                <w:i w:val="0"/>
                <w:iCs w:val="0"/>
                <w:color w:val="auto"/>
                <w:kern w:val="0"/>
                <w:sz w:val="24"/>
                <w:szCs w:val="24"/>
                <w:u w:val="none"/>
              </w:rPr>
              <w:t>A% of engineering value</w:t>
            </w:r>
          </w:p>
        </w:tc>
        <w:tc>
          <w:tcPr>
            <w:tcW w:w="3556" w:type="dxa"/>
          </w:tcPr>
          <w:p>
            <w:pPr>
              <w:jc w:val="center"/>
              <w:rPr>
                <w:rFonts w:hint="default" w:ascii="Times New Roman" w:hAnsi="Times New Roman" w:cs="Times New Roman"/>
                <w:b w:val="0"/>
                <w:bCs w:val="0"/>
                <w:i w:val="0"/>
                <w:iCs w:val="0"/>
                <w:color w:val="auto"/>
                <w:kern w:val="0"/>
                <w:sz w:val="24"/>
                <w:szCs w:val="24"/>
                <w:u w:val="none"/>
              </w:rPr>
            </w:pPr>
          </w:p>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cs="Times New Roman"/>
                <w:b w:val="0"/>
                <w:bCs w:val="0"/>
                <w:i w:val="0"/>
                <w:iCs w:val="0"/>
                <w:color w:val="auto"/>
                <w:kern w:val="0"/>
                <w:sz w:val="24"/>
                <w:szCs w:val="24"/>
                <w:u w:val="none"/>
              </w:rPr>
              <w:t>B% clinical value</w:t>
            </w:r>
          </w:p>
        </w:tc>
        <w:tc>
          <w:tcPr>
            <w:tcW w:w="3511"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cs="Times New Roman"/>
                <w:b w:val="0"/>
                <w:bCs w:val="0"/>
                <w:i w:val="0"/>
                <w:iCs w:val="0"/>
                <w:color w:val="auto"/>
                <w:sz w:val="24"/>
                <w:szCs w:val="24"/>
                <w:u w:val="none"/>
                <w:lang w:val="en-US" w:eastAsia="zh-CN"/>
              </w:rPr>
              <w:t>C% economic value</w:t>
            </w:r>
          </w:p>
        </w:tc>
        <w:tc>
          <w:tcPr>
            <w:tcW w:w="3613"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cs="Times New Roman"/>
                <w:b w:val="0"/>
                <w:bCs w:val="0"/>
                <w:i w:val="0"/>
                <w:iCs w:val="0"/>
                <w:color w:val="auto"/>
                <w:sz w:val="24"/>
                <w:szCs w:val="24"/>
                <w:u w:val="none"/>
                <w:lang w:val="en-US" w:eastAsia="zh-CN"/>
              </w:rPr>
              <w:t>D social value%</w:t>
            </w:r>
          </w:p>
        </w:tc>
      </w:tr>
    </w:tbl>
    <w:p>
      <w:pP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V. Table of Experts' Judgement Basis</w:t>
      </w:r>
    </w:p>
    <w:tbl>
      <w:tblPr>
        <w:tblStyle w:val="4"/>
        <w:tblW w:w="14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21"/>
        <w:gridCol w:w="825"/>
        <w:gridCol w:w="54"/>
        <w:gridCol w:w="815"/>
        <w:gridCol w:w="65"/>
        <w:gridCol w:w="885"/>
        <w:gridCol w:w="859"/>
        <w:gridCol w:w="21"/>
        <w:gridCol w:w="826"/>
        <w:gridCol w:w="54"/>
        <w:gridCol w:w="815"/>
        <w:gridCol w:w="65"/>
        <w:gridCol w:w="885"/>
        <w:gridCol w:w="859"/>
        <w:gridCol w:w="21"/>
        <w:gridCol w:w="826"/>
        <w:gridCol w:w="54"/>
        <w:gridCol w:w="815"/>
        <w:gridCol w:w="65"/>
        <w:gridCol w:w="885"/>
        <w:gridCol w:w="859"/>
        <w:gridCol w:w="21"/>
        <w:gridCol w:w="826"/>
        <w:gridCol w:w="54"/>
        <w:gridCol w:w="815"/>
        <w:gridCol w:w="65"/>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523" w:type="dxa"/>
            <w:gridSpan w:val="7"/>
            <w:vAlign w:val="top"/>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Theoretical basis</w:t>
            </w:r>
          </w:p>
        </w:tc>
        <w:tc>
          <w:tcPr>
            <w:tcW w:w="3525" w:type="dxa"/>
            <w:gridSpan w:val="7"/>
            <w:vAlign w:val="top"/>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practical experience</w:t>
            </w:r>
          </w:p>
        </w:tc>
        <w:tc>
          <w:tcPr>
            <w:tcW w:w="3525" w:type="dxa"/>
            <w:gridSpan w:val="7"/>
            <w:vAlign w:val="top"/>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Peer understanding</w:t>
            </w:r>
          </w:p>
        </w:tc>
        <w:tc>
          <w:tcPr>
            <w:tcW w:w="3525" w:type="dxa"/>
            <w:gridSpan w:val="7"/>
            <w:vAlign w:val="top"/>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Intuitive feeling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58" w:type="dxa"/>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large</w:t>
            </w:r>
          </w:p>
        </w:tc>
        <w:tc>
          <w:tcPr>
            <w:tcW w:w="846" w:type="dxa"/>
            <w:gridSpan w:val="2"/>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in</w:t>
            </w:r>
          </w:p>
        </w:tc>
        <w:tc>
          <w:tcPr>
            <w:tcW w:w="869" w:type="dxa"/>
            <w:gridSpan w:val="2"/>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Small</w:t>
            </w:r>
          </w:p>
        </w:tc>
        <w:tc>
          <w:tcPr>
            <w:tcW w:w="950" w:type="dxa"/>
            <w:gridSpan w:val="2"/>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nothing</w:t>
            </w:r>
          </w:p>
        </w:tc>
        <w:tc>
          <w:tcPr>
            <w:tcW w:w="859" w:type="dxa"/>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large</w:t>
            </w:r>
          </w:p>
        </w:tc>
        <w:tc>
          <w:tcPr>
            <w:tcW w:w="847" w:type="dxa"/>
            <w:gridSpan w:val="2"/>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in</w:t>
            </w:r>
          </w:p>
        </w:tc>
        <w:tc>
          <w:tcPr>
            <w:tcW w:w="869" w:type="dxa"/>
            <w:gridSpan w:val="2"/>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Small</w:t>
            </w:r>
          </w:p>
        </w:tc>
        <w:tc>
          <w:tcPr>
            <w:tcW w:w="950" w:type="dxa"/>
            <w:gridSpan w:val="2"/>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nothing</w:t>
            </w:r>
          </w:p>
        </w:tc>
        <w:tc>
          <w:tcPr>
            <w:tcW w:w="859" w:type="dxa"/>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large</w:t>
            </w:r>
          </w:p>
        </w:tc>
        <w:tc>
          <w:tcPr>
            <w:tcW w:w="847" w:type="dxa"/>
            <w:gridSpan w:val="2"/>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in</w:t>
            </w:r>
          </w:p>
        </w:tc>
        <w:tc>
          <w:tcPr>
            <w:tcW w:w="869" w:type="dxa"/>
            <w:gridSpan w:val="2"/>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Small</w:t>
            </w:r>
          </w:p>
        </w:tc>
        <w:tc>
          <w:tcPr>
            <w:tcW w:w="950" w:type="dxa"/>
            <w:gridSpan w:val="2"/>
            <w:vAlign w:val="center"/>
          </w:tcPr>
          <w:p>
            <w:pPr>
              <w:jc w:val="center"/>
              <w:rPr>
                <w:rFonts w:hint="default" w:ascii="Times New Roman" w:hAnsi="Times New Roman"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nothing</w:t>
            </w:r>
          </w:p>
        </w:tc>
        <w:tc>
          <w:tcPr>
            <w:tcW w:w="859" w:type="dxa"/>
            <w:vAlign w:val="center"/>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large</w:t>
            </w:r>
          </w:p>
        </w:tc>
        <w:tc>
          <w:tcPr>
            <w:tcW w:w="847" w:type="dxa"/>
            <w:gridSpan w:val="2"/>
            <w:vAlign w:val="center"/>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in</w:t>
            </w:r>
          </w:p>
        </w:tc>
        <w:tc>
          <w:tcPr>
            <w:tcW w:w="869" w:type="dxa"/>
            <w:gridSpan w:val="2"/>
            <w:vAlign w:val="center"/>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Small</w:t>
            </w:r>
          </w:p>
        </w:tc>
        <w:tc>
          <w:tcPr>
            <w:tcW w:w="950" w:type="dxa"/>
            <w:gridSpan w:val="2"/>
            <w:vAlign w:val="center"/>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nothing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79" w:type="dxa"/>
            <w:gridSpan w:val="2"/>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54488446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879" w:type="dxa"/>
            <w:gridSpan w:val="2"/>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3108268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880" w:type="dxa"/>
            <w:gridSpan w:val="2"/>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48177801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885" w:type="dxa"/>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4773667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0</w:t>
            </w:r>
          </w:p>
        </w:tc>
        <w:tc>
          <w:tcPr>
            <w:tcW w:w="880" w:type="dxa"/>
            <w:gridSpan w:val="2"/>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24599245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880" w:type="dxa"/>
            <w:gridSpan w:val="2"/>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55616192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880" w:type="dxa"/>
            <w:gridSpan w:val="2"/>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89655584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885" w:type="dxa"/>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9237203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0</w:t>
            </w:r>
          </w:p>
        </w:tc>
        <w:tc>
          <w:tcPr>
            <w:tcW w:w="880" w:type="dxa"/>
            <w:gridSpan w:val="2"/>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7818819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880" w:type="dxa"/>
            <w:gridSpan w:val="2"/>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18192822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880" w:type="dxa"/>
            <w:gridSpan w:val="2"/>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70721913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885" w:type="dxa"/>
            <w:vAlign w:val="center"/>
          </w:tcPr>
          <w:p>
            <w:pPr>
              <w:jc w:val="center"/>
              <w:rPr>
                <w:rFonts w:hint="default" w:ascii="Times New Roman" w:hAnsi="Times New Roman"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6063886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0</w:t>
            </w:r>
          </w:p>
        </w:tc>
        <w:tc>
          <w:tcPr>
            <w:tcW w:w="880" w:type="dxa"/>
            <w:gridSpan w:val="2"/>
            <w:vAlign w:val="center"/>
          </w:tcPr>
          <w:p>
            <w:pPr>
              <w:jc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109641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880" w:type="dxa"/>
            <w:gridSpan w:val="2"/>
            <w:vAlign w:val="center"/>
          </w:tcPr>
          <w:p>
            <w:pPr>
              <w:jc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8672667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880" w:type="dxa"/>
            <w:gridSpan w:val="2"/>
            <w:vAlign w:val="center"/>
          </w:tcPr>
          <w:p>
            <w:pPr>
              <w:jc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3095704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885" w:type="dxa"/>
            <w:vAlign w:val="center"/>
          </w:tcPr>
          <w:p>
            <w:pPr>
              <w:jc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2756974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0</w:t>
            </w:r>
          </w:p>
        </w:tc>
      </w:tr>
    </w:tbl>
    <w:p>
      <w:pP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(Please make a choice on the basis of your evaluation of the above indicators, and select the appropriate number in each column to tick (or mark with red the corresponding score))</w:t>
      </w:r>
    </w:p>
    <w:p>
      <w:pP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-This concludes the round of consultation. Thank you for your participation and guidance!</w:t>
      </w:r>
    </w:p>
    <w:p>
      <w:pPr>
        <w:rPr>
          <w:rFonts w:hint="default" w:ascii="Times New Roman" w:hAnsi="Times New Roman" w:cs="Times New Roman"/>
          <w:b w:val="0"/>
          <w:bCs w:val="0"/>
          <w:i w:val="0"/>
          <w:iCs w:val="0"/>
          <w:color w:val="auto"/>
          <w:sz w:val="24"/>
          <w:szCs w:val="24"/>
          <w:u w:val="non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6E59B4"/>
    <w:multiLevelType w:val="singleLevel"/>
    <w:tmpl w:val="666E59B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913DF6"/>
    <w:rsid w:val="03AD764F"/>
    <w:rsid w:val="0DD1795C"/>
    <w:rsid w:val="126705F8"/>
    <w:rsid w:val="1AE91E9E"/>
    <w:rsid w:val="1B7F5A4D"/>
    <w:rsid w:val="1D293D92"/>
    <w:rsid w:val="20050960"/>
    <w:rsid w:val="21D66F6D"/>
    <w:rsid w:val="21D76884"/>
    <w:rsid w:val="226C28C3"/>
    <w:rsid w:val="23931F66"/>
    <w:rsid w:val="27EB3D33"/>
    <w:rsid w:val="27EE00B2"/>
    <w:rsid w:val="2B4D3342"/>
    <w:rsid w:val="315419A0"/>
    <w:rsid w:val="31CD2AE7"/>
    <w:rsid w:val="346F257B"/>
    <w:rsid w:val="34B13029"/>
    <w:rsid w:val="3DB61409"/>
    <w:rsid w:val="3FAF7CCF"/>
    <w:rsid w:val="492928A1"/>
    <w:rsid w:val="4A4536BD"/>
    <w:rsid w:val="4CFD66DE"/>
    <w:rsid w:val="5805526F"/>
    <w:rsid w:val="59DA0063"/>
    <w:rsid w:val="5AA601F5"/>
    <w:rsid w:val="5B830D19"/>
    <w:rsid w:val="5D6D6DA8"/>
    <w:rsid w:val="5F2142EE"/>
    <w:rsid w:val="62147B8F"/>
    <w:rsid w:val="643B5D7A"/>
    <w:rsid w:val="65327C0A"/>
    <w:rsid w:val="6BF94E9C"/>
    <w:rsid w:val="6C91264F"/>
    <w:rsid w:val="6E751F61"/>
    <w:rsid w:val="6FDB64F2"/>
    <w:rsid w:val="703F03E2"/>
    <w:rsid w:val="750758DC"/>
    <w:rsid w:val="75723BA2"/>
    <w:rsid w:val="780B3776"/>
    <w:rsid w:val="7B913DF6"/>
    <w:rsid w:val="7C9E7688"/>
    <w:rsid w:val="7E881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2022-03-10T08:20:00Z</dcterms:created>
  <dc:creator>陈晓宇</dc:creator>
  <cp:lastModifiedBy>陈晓宇</cp:lastModifiedBy>
  <dcterms:modified xsi:type="dcterms:W3CDTF">2022-11-02T02:33:36Z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27D6CE5371B24C9F9D67F5BA4D01B54B</vt:lpwstr>
  </property>
</Properties>
</file>