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eastAsiaTheme="minorEastAsia"/>
          <w:b w:val="0"/>
          <w:bCs w:val="0"/>
          <w:i w:val="0"/>
          <w:iCs w:val="0"/>
          <w:color w:val="auto"/>
          <w:sz w:val="24"/>
          <w:szCs w:val="24"/>
          <w:u w:val="none"/>
        </w:rPr>
      </w:pPr>
      <w:r>
        <w:rPr>
          <w:rFonts w:hint="default" w:ascii="Times New Roman" w:hAnsi="Times New Roman" w:cs="Times New Roman" w:eastAsiaTheme="minorEastAsia"/>
          <w:b w:val="0"/>
          <w:bCs w:val="0"/>
          <w:i w:val="0"/>
          <w:iCs w:val="0"/>
          <w:color w:val="auto"/>
          <w:sz w:val="24"/>
          <w:szCs w:val="24"/>
          <w:u w:val="none"/>
        </w:rPr>
        <w:t>Expert Consultation Form of Large</w:t>
      </w:r>
      <w:r>
        <w:rPr>
          <w:rFonts w:hint="eastAsia" w:cs="Times New Roman" w:eastAsiaTheme="minorEastAsia"/>
          <w:b w:val="0"/>
          <w:bCs w:val="0"/>
          <w:i w:val="0"/>
          <w:iCs w:val="0"/>
          <w:color w:val="auto"/>
          <w:sz w:val="24"/>
          <w:szCs w:val="24"/>
          <w:u w:val="none"/>
          <w:lang w:val="en-US" w:eastAsia="zh-CN"/>
        </w:rPr>
        <w:t>-Scale</w:t>
      </w:r>
      <w:r>
        <w:rPr>
          <w:rFonts w:hint="default" w:ascii="Times New Roman" w:hAnsi="Times New Roman" w:cs="Times New Roman" w:eastAsiaTheme="minorEastAsia"/>
          <w:b w:val="0"/>
          <w:bCs w:val="0"/>
          <w:i w:val="0"/>
          <w:iCs w:val="0"/>
          <w:color w:val="auto"/>
          <w:sz w:val="24"/>
          <w:szCs w:val="24"/>
          <w:u w:val="none"/>
        </w:rPr>
        <w:t xml:space="preserve"> Medical Equipment Value Evaluation Index System</w:t>
      </w:r>
    </w:p>
    <w:p>
      <w:pPr>
        <w:spacing w:line="192" w:lineRule="auto"/>
        <w:jc w:val="left"/>
        <w:rPr>
          <w:rFonts w:hint="default" w:ascii="Times New Roman" w:hAnsi="Times New Roman" w:eastAsia="黑体" w:cs="Times New Roman"/>
          <w:b w:val="0"/>
          <w:bCs w:val="0"/>
          <w:i w:val="0"/>
          <w:iCs w:val="0"/>
          <w:color w:val="auto"/>
          <w:sz w:val="24"/>
          <w:szCs w:val="24"/>
          <w:u w:val="none"/>
          <w:lang w:val="en-US" w:eastAsia="zh-CN"/>
        </w:rPr>
      </w:pPr>
      <w:r>
        <w:rPr>
          <w:rFonts w:hint="default" w:ascii="Times New Roman" w:hAnsi="Times New Roman" w:eastAsia="黑体" w:cs="Times New Roman"/>
          <w:b w:val="0"/>
          <w:bCs w:val="0"/>
          <w:i w:val="0"/>
          <w:iCs w:val="0"/>
          <w:color w:val="auto"/>
          <w:sz w:val="24"/>
          <w:szCs w:val="24"/>
          <w:u w:val="none"/>
        </w:rPr>
        <w:t>Dear experts</w:t>
      </w:r>
      <w:r>
        <w:rPr>
          <w:rFonts w:hint="default" w:ascii="Times New Roman" w:hAnsi="Times New Roman" w:eastAsia="黑体" w:cs="Times New Roman"/>
          <w:b w:val="0"/>
          <w:bCs w:val="0"/>
          <w:i w:val="0"/>
          <w:iCs w:val="0"/>
          <w:color w:val="auto"/>
          <w:sz w:val="24"/>
          <w:szCs w:val="24"/>
          <w:u w:val="none"/>
          <w:lang w:val="en-US" w:eastAsia="zh-CN"/>
        </w:rPr>
        <w:t>:</w:t>
      </w:r>
    </w:p>
    <w:p>
      <w:pPr>
        <w:spacing w:line="192" w:lineRule="auto"/>
        <w:ind w:firstLine="480" w:firstLineChars="200"/>
        <w:jc w:val="left"/>
        <w:rPr>
          <w:rFonts w:hint="eastAsia" w:ascii="Times New Roman" w:hAnsi="Times New Roman" w:cs="Times New Roman" w:eastAsiaTheme="minorEastAsia"/>
          <w:b w:val="0"/>
          <w:bCs w:val="0"/>
          <w:i w:val="0"/>
          <w:iCs w:val="0"/>
          <w:color w:val="auto"/>
          <w:sz w:val="24"/>
          <w:szCs w:val="24"/>
          <w:u w:val="none"/>
          <w:lang w:val="en-US" w:eastAsia="zh-CN"/>
        </w:rPr>
      </w:pPr>
      <w:bookmarkStart w:id="0" w:name="_GoBack"/>
      <w:bookmarkEnd w:id="0"/>
      <w:r>
        <w:rPr>
          <w:rFonts w:hint="default" w:ascii="Times New Roman" w:hAnsi="Times New Roman" w:eastAsia="黑体" w:cs="Times New Roman"/>
          <w:b w:val="0"/>
          <w:bCs w:val="0"/>
          <w:i w:val="0"/>
          <w:iCs w:val="0"/>
          <w:color w:val="auto"/>
          <w:sz w:val="24"/>
          <w:szCs w:val="24"/>
          <w:u w:val="none"/>
        </w:rPr>
        <w:t xml:space="preserve">I would like to express my great gratitude to you for participating in the consultation </w:t>
      </w:r>
      <w:r>
        <w:rPr>
          <w:rFonts w:hint="default" w:ascii="Times New Roman" w:hAnsi="Times New Roman" w:eastAsia="黑体" w:cs="Times New Roman"/>
          <w:b w:val="0"/>
          <w:bCs w:val="0"/>
          <w:i w:val="0"/>
          <w:iCs w:val="0"/>
          <w:color w:val="auto"/>
          <w:sz w:val="24"/>
          <w:szCs w:val="24"/>
          <w:u w:val="none"/>
          <w:lang w:val="en-US" w:eastAsia="zh-CN"/>
        </w:rPr>
        <w:t>on</w:t>
      </w:r>
      <w:r>
        <w:rPr>
          <w:rFonts w:hint="default" w:ascii="Times New Roman" w:hAnsi="Times New Roman" w:eastAsia="黑体" w:cs="Times New Roman"/>
          <w:b w:val="0"/>
          <w:bCs w:val="0"/>
          <w:i w:val="0"/>
          <w:iCs w:val="0"/>
          <w:color w:val="auto"/>
          <w:sz w:val="24"/>
          <w:szCs w:val="24"/>
          <w:u w:val="none"/>
        </w:rPr>
        <w:t xml:space="preserve"> this topic (research on the construction of </w:t>
      </w:r>
      <w:r>
        <w:rPr>
          <w:rFonts w:hint="eastAsia" w:eastAsia="黑体" w:cs="Times New Roman"/>
          <w:b w:val="0"/>
          <w:bCs w:val="0"/>
          <w:i w:val="0"/>
          <w:iCs w:val="0"/>
          <w:color w:val="auto"/>
          <w:sz w:val="24"/>
          <w:szCs w:val="24"/>
          <w:u w:val="none"/>
          <w:lang w:val="en-US" w:eastAsia="zh-CN"/>
        </w:rPr>
        <w:t xml:space="preserve"> </w:t>
      </w:r>
      <w:r>
        <w:rPr>
          <w:rFonts w:hint="default" w:ascii="Times New Roman" w:hAnsi="Times New Roman" w:cs="Times New Roman" w:eastAsiaTheme="minorEastAsia"/>
          <w:b w:val="0"/>
          <w:bCs w:val="0"/>
          <w:i w:val="0"/>
          <w:iCs w:val="0"/>
          <w:color w:val="auto"/>
          <w:sz w:val="24"/>
          <w:szCs w:val="24"/>
          <w:u w:val="none"/>
        </w:rPr>
        <w:t>Large</w:t>
      </w:r>
      <w:r>
        <w:rPr>
          <w:rFonts w:hint="eastAsia" w:cs="Times New Roman" w:eastAsiaTheme="minorEastAsia"/>
          <w:b w:val="0"/>
          <w:bCs w:val="0"/>
          <w:i w:val="0"/>
          <w:iCs w:val="0"/>
          <w:color w:val="auto"/>
          <w:sz w:val="24"/>
          <w:szCs w:val="24"/>
          <w:u w:val="none"/>
          <w:lang w:val="en-US" w:eastAsia="zh-CN"/>
        </w:rPr>
        <w:t>-Scale</w:t>
      </w:r>
      <w:r>
        <w:rPr>
          <w:rFonts w:hint="default" w:ascii="Times New Roman" w:hAnsi="Times New Roman" w:cs="Times New Roman" w:eastAsiaTheme="minorEastAsia"/>
          <w:b w:val="0"/>
          <w:bCs w:val="0"/>
          <w:i w:val="0"/>
          <w:iCs w:val="0"/>
          <w:color w:val="auto"/>
          <w:sz w:val="24"/>
          <w:szCs w:val="24"/>
          <w:u w:val="none"/>
        </w:rPr>
        <w:t xml:space="preserve"> Medical Equipment Value Evaluation Index System</w:t>
      </w:r>
      <w:r>
        <w:rPr>
          <w:rFonts w:hint="eastAsia" w:cs="Times New Roman" w:eastAsiaTheme="minorEastAsia"/>
          <w:b w:val="0"/>
          <w:bCs w:val="0"/>
          <w:i w:val="0"/>
          <w:iCs w:val="0"/>
          <w:color w:val="auto"/>
          <w:sz w:val="24"/>
          <w:szCs w:val="24"/>
          <w:u w:val="none"/>
          <w:lang w:val="en-US" w:eastAsia="zh-CN"/>
        </w:rPr>
        <w:t>)</w:t>
      </w:r>
    </w:p>
    <w:p>
      <w:pPr>
        <w:spacing w:line="192" w:lineRule="auto"/>
        <w:ind w:firstLine="480" w:firstLineChars="200"/>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 xml:space="preserve">At present, the number of large-scale medical equipment purchased by public hospitals is growing rapidly, but the management level is relatively lagging . The Regulations on the Supervision and Administration of Medical Devices officially implemented in June 2021 reflect the country's ardent expectation for the safe and effective development of the medical device industry. Therefore, our research team will carry out expert consultation around the construction of the value evaluation index system of large-scale medical equipment in public hospitals. We hope that with your knowledge and experience, we can gradually establish a </w:t>
      </w:r>
      <w:r>
        <w:rPr>
          <w:rFonts w:hint="eastAsia" w:eastAsia="黑体" w:cs="Times New Roman"/>
          <w:b w:val="0"/>
          <w:bCs w:val="0"/>
          <w:i w:val="0"/>
          <w:iCs w:val="0"/>
          <w:color w:val="auto"/>
          <w:sz w:val="24"/>
          <w:szCs w:val="24"/>
          <w:u w:val="none"/>
          <w:lang w:val="en-US" w:eastAsia="zh-CN"/>
        </w:rPr>
        <w:t>good</w:t>
      </w:r>
      <w:r>
        <w:rPr>
          <w:rFonts w:hint="default" w:ascii="Times New Roman" w:hAnsi="Times New Roman" w:eastAsia="黑体" w:cs="Times New Roman"/>
          <w:b w:val="0"/>
          <w:bCs w:val="0"/>
          <w:i w:val="0"/>
          <w:iCs w:val="0"/>
          <w:color w:val="auto"/>
          <w:sz w:val="24"/>
          <w:szCs w:val="24"/>
          <w:u w:val="none"/>
        </w:rPr>
        <w:t xml:space="preserve"> value evaluation index system, innovate the whole life cycle management model, and lay a theoretical foundation for the subsequent scientific management of large-scale medical equipment.</w:t>
      </w:r>
    </w:p>
    <w:p>
      <w:pPr>
        <w:spacing w:line="192" w:lineRule="auto"/>
        <w:ind w:firstLine="480" w:firstLineChars="200"/>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 xml:space="preserve">According to the previous literature research, we have preliminarily constructed the framework of the whole life cycle value evaluation index system of large-scale medical equipment in public hospitals, which is composed of four first-level indicators and 54 second-level indicators. </w:t>
      </w:r>
      <w:r>
        <w:rPr>
          <w:rFonts w:hint="default" w:ascii="Times New Roman" w:hAnsi="Times New Roman" w:eastAsia="黑体" w:cs="Times New Roman"/>
          <w:b w:val="0"/>
          <w:bCs w:val="0"/>
          <w:i w:val="0"/>
          <w:iCs w:val="0"/>
          <w:color w:val="auto"/>
          <w:sz w:val="24"/>
          <w:szCs w:val="24"/>
          <w:u w:val="none"/>
          <w:lang w:val="en-US" w:eastAsia="zh-CN"/>
        </w:rPr>
        <w:t>To</w:t>
      </w:r>
      <w:r>
        <w:rPr>
          <w:rFonts w:hint="default" w:ascii="Times New Roman" w:hAnsi="Times New Roman" w:eastAsia="黑体" w:cs="Times New Roman"/>
          <w:b w:val="0"/>
          <w:bCs w:val="0"/>
          <w:i w:val="0"/>
          <w:iCs w:val="0"/>
          <w:color w:val="auto"/>
          <w:sz w:val="24"/>
          <w:szCs w:val="24"/>
          <w:u w:val="none"/>
        </w:rPr>
        <w:t xml:space="preserve"> further improve the indicator system, </w:t>
      </w:r>
      <w:r>
        <w:rPr>
          <w:rFonts w:hint="default" w:ascii="Times New Roman" w:hAnsi="Times New Roman" w:eastAsia="黑体" w:cs="Times New Roman"/>
          <w:b w:val="0"/>
          <w:bCs w:val="0"/>
          <w:i w:val="0"/>
          <w:iCs w:val="0"/>
          <w:color w:val="auto"/>
          <w:sz w:val="24"/>
          <w:szCs w:val="24"/>
          <w:u w:val="none"/>
          <w:lang w:val="en-US" w:eastAsia="zh-CN"/>
        </w:rPr>
        <w:t>Given</w:t>
      </w:r>
      <w:r>
        <w:rPr>
          <w:rFonts w:hint="default" w:ascii="Times New Roman" w:hAnsi="Times New Roman" w:eastAsia="黑体" w:cs="Times New Roman"/>
          <w:b w:val="0"/>
          <w:bCs w:val="0"/>
          <w:i w:val="0"/>
          <w:iCs w:val="0"/>
          <w:color w:val="auto"/>
          <w:sz w:val="24"/>
          <w:szCs w:val="24"/>
          <w:u w:val="none"/>
        </w:rPr>
        <w:t xml:space="preserve"> your long-term experience in health economics, medical equipment management, hospital management, clinical medicine, imaging medicine, and</w:t>
      </w:r>
      <w:r>
        <w:rPr>
          <w:rFonts w:hint="default" w:ascii="Times New Roman" w:hAnsi="Times New Roman" w:eastAsia="黑体" w:cs="Times New Roman"/>
          <w:b w:val="0"/>
          <w:bCs w:val="0"/>
          <w:i w:val="0"/>
          <w:iCs w:val="0"/>
          <w:color w:val="auto"/>
          <w:sz w:val="24"/>
          <w:szCs w:val="24"/>
          <w:u w:val="none"/>
          <w:lang w:val="en-US" w:eastAsia="zh-CN"/>
        </w:rPr>
        <w:t xml:space="preserve"> </w:t>
      </w:r>
      <w:r>
        <w:rPr>
          <w:rFonts w:hint="default" w:ascii="Times New Roman" w:hAnsi="Times New Roman" w:eastAsia="黑体" w:cs="Times New Roman"/>
          <w:b w:val="0"/>
          <w:bCs w:val="0"/>
          <w:i w:val="0"/>
          <w:iCs w:val="0"/>
          <w:color w:val="auto"/>
          <w:sz w:val="24"/>
          <w:szCs w:val="24"/>
          <w:u w:val="none"/>
        </w:rPr>
        <w:t>other related research, and your professional knowledge and rich experience in this field, we hereby invite you to serve as a consultant expert for this study.</w:t>
      </w:r>
    </w:p>
    <w:p>
      <w:pPr>
        <w:spacing w:line="192" w:lineRule="auto"/>
        <w:ind w:firstLine="480" w:firstLineChars="200"/>
        <w:jc w:val="left"/>
        <w:rPr>
          <w:rFonts w:hint="eastAsia" w:ascii="Times New Roman" w:hAnsi="Times New Roman" w:eastAsia="黑体" w:cs="Times New Roman"/>
          <w:b w:val="0"/>
          <w:bCs w:val="0"/>
          <w:i w:val="0"/>
          <w:iCs w:val="0"/>
          <w:color w:val="auto"/>
          <w:sz w:val="24"/>
          <w:szCs w:val="24"/>
          <w:u w:val="none"/>
          <w:lang w:val="en-US" w:eastAsia="zh-CN"/>
        </w:rPr>
      </w:pPr>
      <w:r>
        <w:rPr>
          <w:rFonts w:hint="default" w:ascii="Times New Roman" w:hAnsi="Times New Roman" w:eastAsia="黑体" w:cs="Times New Roman"/>
          <w:b w:val="0"/>
          <w:bCs w:val="0"/>
          <w:i w:val="0"/>
          <w:iCs w:val="0"/>
          <w:color w:val="auto"/>
          <w:sz w:val="24"/>
          <w:szCs w:val="24"/>
          <w:u w:val="none"/>
        </w:rPr>
        <w:t>Our research team plans to conduct 2-3 rounds of consultation around the research. After each round, we will summarize and analyze the experts' opinions, and use them as reference materials in the next round of questionnaires for your analysis and judgment, to obtain new argumentation opinions.</w:t>
      </w:r>
      <w:r>
        <w:rPr>
          <w:rFonts w:hint="default" w:ascii="Times New Roman" w:hAnsi="Times New Roman" w:eastAsia="黑体" w:cs="Times New Roman"/>
          <w:b w:val="0"/>
          <w:bCs w:val="0"/>
          <w:i w:val="0"/>
          <w:iCs w:val="0"/>
          <w:color w:val="auto"/>
          <w:sz w:val="24"/>
          <w:szCs w:val="24"/>
          <w:u w:val="none"/>
          <w:lang w:val="en-US" w:eastAsia="zh-CN"/>
        </w:rPr>
        <w:t>To</w:t>
      </w:r>
      <w:r>
        <w:rPr>
          <w:rFonts w:hint="default" w:ascii="Times New Roman" w:hAnsi="Times New Roman" w:eastAsia="黑体" w:cs="Times New Roman"/>
          <w:b w:val="0"/>
          <w:bCs w:val="0"/>
          <w:i w:val="0"/>
          <w:iCs w:val="0"/>
          <w:color w:val="auto"/>
          <w:sz w:val="24"/>
          <w:szCs w:val="24"/>
          <w:u w:val="none"/>
        </w:rPr>
        <w:t xml:space="preserve"> ensure the smooth progress of the study, we look forward to your reply to this questionnaire within one week. If you have any questions </w:t>
      </w:r>
      <w:r>
        <w:rPr>
          <w:rFonts w:hint="default" w:ascii="Times New Roman" w:hAnsi="Times New Roman" w:eastAsia="黑体" w:cs="Times New Roman"/>
          <w:b w:val="0"/>
          <w:bCs w:val="0"/>
          <w:i w:val="0"/>
          <w:iCs w:val="0"/>
          <w:color w:val="auto"/>
          <w:sz w:val="24"/>
          <w:szCs w:val="24"/>
          <w:u w:val="none"/>
          <w:lang w:val="en-US" w:eastAsia="zh-CN"/>
        </w:rPr>
        <w:t>about</w:t>
      </w:r>
      <w:r>
        <w:rPr>
          <w:rFonts w:hint="default" w:ascii="Times New Roman" w:hAnsi="Times New Roman" w:eastAsia="黑体" w:cs="Times New Roman"/>
          <w:b w:val="0"/>
          <w:bCs w:val="0"/>
          <w:i w:val="0"/>
          <w:iCs w:val="0"/>
          <w:color w:val="auto"/>
          <w:sz w:val="24"/>
          <w:szCs w:val="24"/>
          <w:u w:val="none"/>
        </w:rPr>
        <w:t xml:space="preserve"> the questionnaire, you can contact us at any time. At the same time, thank you for your support and contribution to this study</w:t>
      </w:r>
      <w:r>
        <w:rPr>
          <w:rFonts w:hint="eastAsia" w:eastAsia="黑体" w:cs="Times New Roman"/>
          <w:b w:val="0"/>
          <w:bCs w:val="0"/>
          <w:i w:val="0"/>
          <w:iCs w:val="0"/>
          <w:color w:val="auto"/>
          <w:sz w:val="24"/>
          <w:szCs w:val="24"/>
          <w:u w:val="none"/>
          <w:lang w:val="en-US" w:eastAsia="zh-CN"/>
        </w:rPr>
        <w:t>.</w:t>
      </w:r>
    </w:p>
    <w:p>
      <w:pPr>
        <w:spacing w:line="192" w:lineRule="auto"/>
        <w:ind w:firstLine="480" w:firstLineChars="200"/>
        <w:jc w:val="left"/>
        <w:rPr>
          <w:rFonts w:hint="eastAsia" w:eastAsia="黑体" w:cs="Times New Roman"/>
          <w:b w:val="0"/>
          <w:bCs w:val="0"/>
          <w:i w:val="0"/>
          <w:iCs w:val="0"/>
          <w:color w:val="auto"/>
          <w:sz w:val="24"/>
          <w:szCs w:val="24"/>
          <w:u w:val="none"/>
          <w:lang w:val="en-US" w:eastAsia="zh-CN"/>
        </w:rPr>
      </w:pPr>
      <w:r>
        <w:rPr>
          <w:rFonts w:hint="default" w:ascii="Times New Roman" w:hAnsi="Times New Roman" w:eastAsia="黑体" w:cs="Times New Roman"/>
          <w:b w:val="0"/>
          <w:bCs w:val="0"/>
          <w:i w:val="0"/>
          <w:iCs w:val="0"/>
          <w:color w:val="auto"/>
          <w:sz w:val="24"/>
          <w:szCs w:val="24"/>
          <w:u w:val="none"/>
        </w:rPr>
        <w:t>Finally, thank you again for your support</w:t>
      </w:r>
      <w:r>
        <w:rPr>
          <w:rFonts w:hint="eastAsia" w:eastAsia="黑体" w:cs="Times New Roman"/>
          <w:b w:val="0"/>
          <w:bCs w:val="0"/>
          <w:i w:val="0"/>
          <w:iCs w:val="0"/>
          <w:color w:val="auto"/>
          <w:sz w:val="24"/>
          <w:szCs w:val="24"/>
          <w:u w:val="none"/>
          <w:lang w:val="en-US" w:eastAsia="zh-CN"/>
        </w:rPr>
        <w:t>.</w:t>
      </w:r>
    </w:p>
    <w:p>
      <w:pPr>
        <w:spacing w:line="192" w:lineRule="auto"/>
        <w:ind w:firstLine="480" w:firstLineChars="200"/>
        <w:jc w:val="left"/>
        <w:rPr>
          <w:rFonts w:hint="default" w:eastAsia="黑体" w:cs="Times New Roman"/>
          <w:b w:val="0"/>
          <w:bCs w:val="0"/>
          <w:i w:val="0"/>
          <w:iCs w:val="0"/>
          <w:color w:val="auto"/>
          <w:sz w:val="24"/>
          <w:szCs w:val="24"/>
          <w:u w:val="none"/>
          <w:lang w:val="en-US" w:eastAsia="zh-CN"/>
        </w:rPr>
      </w:pPr>
      <w:r>
        <w:rPr>
          <w:rFonts w:hint="eastAsia" w:eastAsia="黑体" w:cs="Times New Roman"/>
          <w:b w:val="0"/>
          <w:bCs w:val="0"/>
          <w:i w:val="0"/>
          <w:iCs w:val="0"/>
          <w:color w:val="auto"/>
          <w:sz w:val="24"/>
          <w:szCs w:val="24"/>
          <w:u w:val="none"/>
          <w:lang w:val="en-US" w:eastAsia="zh-CN"/>
        </w:rPr>
        <w:t>Best wishes!</w:t>
      </w:r>
    </w:p>
    <w:p>
      <w:pPr>
        <w:spacing w:line="192" w:lineRule="auto"/>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Health Economics Evaluation of Large-scale Medical Equipment in Public Hospitals</w:t>
      </w:r>
    </w:p>
    <w:p>
      <w:pPr>
        <w:spacing w:line="192" w:lineRule="auto"/>
        <w:jc w:val="left"/>
        <w:rPr>
          <w:rFonts w:hint="default" w:ascii="Times New Roman" w:hAnsi="Times New Roman" w:cs="Times New Roman" w:eastAsiaTheme="minorEastAsia"/>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System Construction Research Group</w:t>
      </w:r>
    </w:p>
    <w:p>
      <w:pPr>
        <w:spacing w:line="192" w:lineRule="auto"/>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 xml:space="preserve">Contact: Peng Jizhuan (master's student) </w:t>
      </w:r>
      <w:r>
        <w:rPr>
          <w:rFonts w:hint="eastAsia" w:eastAsia="黑体" w:cs="Times New Roman"/>
          <w:b w:val="0"/>
          <w:bCs w:val="0"/>
          <w:i w:val="0"/>
          <w:iCs w:val="0"/>
          <w:color w:val="auto"/>
          <w:sz w:val="24"/>
          <w:szCs w:val="24"/>
          <w:u w:val="none"/>
          <w:lang w:val="en-US" w:eastAsia="zh-CN"/>
        </w:rPr>
        <w:t xml:space="preserve">          </w:t>
      </w:r>
      <w:r>
        <w:rPr>
          <w:rFonts w:hint="default" w:ascii="Times New Roman" w:hAnsi="Times New Roman" w:eastAsia="黑体" w:cs="Times New Roman"/>
          <w:b w:val="0"/>
          <w:bCs w:val="0"/>
          <w:i w:val="0"/>
          <w:iCs w:val="0"/>
          <w:color w:val="auto"/>
          <w:sz w:val="24"/>
          <w:szCs w:val="24"/>
          <w:u w:val="none"/>
        </w:rPr>
        <w:t>Supervisor: Xu Jun, researcher</w:t>
      </w:r>
    </w:p>
    <w:p>
      <w:pPr>
        <w:spacing w:line="192" w:lineRule="auto"/>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Email: 15588522261@163.com (After completing the answer, please send the electronic version to this email)</w:t>
      </w:r>
    </w:p>
    <w:p>
      <w:pPr>
        <w:spacing w:line="192" w:lineRule="auto"/>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 xml:space="preserve">Contact address: Graduate School of Southern Medical University, No. 1838, North Guangzhou Avenue, Guangzhou, Guangdong Province </w:t>
      </w:r>
      <w:r>
        <w:rPr>
          <w:rFonts w:hint="eastAsia" w:eastAsia="黑体" w:cs="Times New Roman"/>
          <w:b w:val="0"/>
          <w:bCs w:val="0"/>
          <w:i w:val="0"/>
          <w:iCs w:val="0"/>
          <w:color w:val="auto"/>
          <w:sz w:val="24"/>
          <w:szCs w:val="24"/>
          <w:u w:val="none"/>
          <w:lang w:val="en-US" w:eastAsia="zh-CN"/>
        </w:rPr>
        <w:t>;</w:t>
      </w:r>
      <w:r>
        <w:rPr>
          <w:rFonts w:hint="default" w:ascii="Times New Roman" w:hAnsi="Times New Roman" w:eastAsia="黑体" w:cs="Times New Roman"/>
          <w:b w:val="0"/>
          <w:bCs w:val="0"/>
          <w:i w:val="0"/>
          <w:iCs w:val="0"/>
          <w:color w:val="auto"/>
          <w:sz w:val="24"/>
          <w:szCs w:val="24"/>
          <w:u w:val="none"/>
        </w:rPr>
        <w:t>510515</w:t>
      </w:r>
    </w:p>
    <w:p>
      <w:pPr>
        <w:spacing w:line="192" w:lineRule="auto"/>
        <w:jc w:val="left"/>
        <w:rPr>
          <w:rFonts w:hint="default" w:ascii="Times New Roman" w:hAnsi="Times New Roman" w:eastAsia="黑体" w:cs="Times New Roman"/>
          <w:b w:val="0"/>
          <w:bCs w:val="0"/>
          <w:i w:val="0"/>
          <w:iCs w:val="0"/>
          <w:color w:val="auto"/>
          <w:sz w:val="24"/>
          <w:szCs w:val="24"/>
          <w:u w:val="none"/>
        </w:rPr>
      </w:pPr>
    </w:p>
    <w:p>
      <w:pPr>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 xml:space="preserve">Part I </w:t>
      </w:r>
      <w:r>
        <w:rPr>
          <w:rFonts w:hint="eastAsia" w:eastAsia="黑体" w:cs="Times New Roman"/>
          <w:b w:val="0"/>
          <w:bCs w:val="0"/>
          <w:i w:val="0"/>
          <w:iCs w:val="0"/>
          <w:color w:val="auto"/>
          <w:sz w:val="24"/>
          <w:szCs w:val="24"/>
          <w:u w:val="none"/>
          <w:lang w:val="en-US" w:eastAsia="zh-CN"/>
        </w:rPr>
        <w:t xml:space="preserve"> </w:t>
      </w:r>
      <w:r>
        <w:rPr>
          <w:rFonts w:hint="default" w:ascii="Times New Roman" w:hAnsi="Times New Roman" w:eastAsia="黑体" w:cs="Times New Roman"/>
          <w:b w:val="0"/>
          <w:bCs w:val="0"/>
          <w:i w:val="0"/>
          <w:iCs w:val="0"/>
          <w:color w:val="auto"/>
          <w:sz w:val="24"/>
          <w:szCs w:val="24"/>
          <w:u w:val="none"/>
        </w:rPr>
        <w:t>Basic Information of Experts</w:t>
      </w:r>
    </w:p>
    <w:tbl>
      <w:tblPr>
        <w:tblStyle w:val="3"/>
        <w:tblW w:w="13485" w:type="dxa"/>
        <w:tblInd w:w="0" w:type="dxa"/>
        <w:tblLayout w:type="fixed"/>
        <w:tblCellMar>
          <w:top w:w="15" w:type="dxa"/>
          <w:left w:w="15" w:type="dxa"/>
          <w:bottom w:w="15" w:type="dxa"/>
          <w:right w:w="15" w:type="dxa"/>
        </w:tblCellMar>
      </w:tblPr>
      <w:tblGrid>
        <w:gridCol w:w="1292"/>
        <w:gridCol w:w="3010"/>
        <w:gridCol w:w="1872"/>
        <w:gridCol w:w="2847"/>
        <w:gridCol w:w="1517"/>
        <w:gridCol w:w="2947"/>
      </w:tblGrid>
      <w:tr>
        <w:tblPrEx>
          <w:tblCellMar>
            <w:top w:w="15" w:type="dxa"/>
            <w:left w:w="15" w:type="dxa"/>
            <w:bottom w:w="15" w:type="dxa"/>
            <w:right w:w="15" w:type="dxa"/>
          </w:tblCellMar>
        </w:tblPrEx>
        <w:trPr>
          <w:trHeight w:val="90" w:hRule="atLeast"/>
        </w:trPr>
        <w:tc>
          <w:tcPr>
            <w:tcW w:w="13485" w:type="dxa"/>
            <w:gridSpan w:val="6"/>
            <w:vAlign w:val="center"/>
          </w:tcPr>
          <w:p>
            <w:pPr>
              <w:widowControl/>
              <w:jc w:val="center"/>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Expert Personal Information Form</w:t>
            </w:r>
          </w:p>
        </w:tc>
      </w:tr>
      <w:tr>
        <w:tblPrEx>
          <w:tblCellMar>
            <w:top w:w="15" w:type="dxa"/>
            <w:left w:w="15" w:type="dxa"/>
            <w:bottom w:w="15" w:type="dxa"/>
            <w:right w:w="15" w:type="dxa"/>
          </w:tblCellMar>
        </w:tblPrEx>
        <w:trPr>
          <w:trHeight w:val="510" w:hRule="atLeast"/>
        </w:trPr>
        <w:tc>
          <w:tcPr>
            <w:tcW w:w="13485" w:type="dxa"/>
            <w:gridSpan w:val="6"/>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cs="Times New Roman"/>
                <w:b w:val="0"/>
                <w:bCs w:val="0"/>
                <w:i w:val="0"/>
                <w:iCs w:val="0"/>
                <w:color w:val="auto"/>
                <w:kern w:val="0"/>
                <w:sz w:val="24"/>
                <w:szCs w:val="24"/>
                <w:u w:val="none"/>
              </w:rPr>
              <w:t>(Please fill in your relevant information in the form. Your personal information is only used for the authority of the research experts of the research group, and the research group will strictly keep your personal information confidential)</w:t>
            </w:r>
          </w:p>
        </w:tc>
      </w:tr>
      <w:tr>
        <w:tblPrEx>
          <w:tblCellMar>
            <w:top w:w="15" w:type="dxa"/>
            <w:left w:w="15" w:type="dxa"/>
            <w:bottom w:w="15" w:type="dxa"/>
            <w:right w:w="15" w:type="dxa"/>
          </w:tblCellMar>
        </w:tblPrEx>
        <w:trPr>
          <w:trHeight w:val="540" w:hRule="atLeast"/>
        </w:trPr>
        <w:tc>
          <w:tcPr>
            <w:tcW w:w="12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eastAsia" w:eastAsia="黑体" w:cs="Times New Roman"/>
                <w:b w:val="0"/>
                <w:bCs w:val="0"/>
                <w:i w:val="0"/>
                <w:iCs w:val="0"/>
                <w:color w:val="auto"/>
                <w:kern w:val="0"/>
                <w:sz w:val="24"/>
                <w:szCs w:val="24"/>
                <w:u w:val="none"/>
                <w:lang w:val="en-US" w:eastAsia="zh-CN"/>
              </w:rPr>
              <w:t>F</w:t>
            </w:r>
            <w:r>
              <w:rPr>
                <w:rFonts w:hint="default" w:ascii="Times New Roman" w:hAnsi="Times New Roman" w:eastAsia="黑体" w:cs="Times New Roman"/>
                <w:b w:val="0"/>
                <w:bCs w:val="0"/>
                <w:i w:val="0"/>
                <w:iCs w:val="0"/>
                <w:color w:val="auto"/>
                <w:kern w:val="0"/>
                <w:sz w:val="24"/>
                <w:szCs w:val="24"/>
                <w:u w:val="none"/>
              </w:rPr>
              <w:t>ull name</w:t>
            </w:r>
          </w:p>
        </w:tc>
        <w:tc>
          <w:tcPr>
            <w:tcW w:w="301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c>
          <w:tcPr>
            <w:tcW w:w="1872" w:type="dxa"/>
            <w:tcBorders>
              <w:top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Gender</w:t>
            </w:r>
          </w:p>
        </w:tc>
        <w:tc>
          <w:tcPr>
            <w:tcW w:w="284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Age</w:t>
            </w:r>
          </w:p>
        </w:tc>
        <w:tc>
          <w:tcPr>
            <w:tcW w:w="294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540" w:hRule="atLeast"/>
        </w:trPr>
        <w:tc>
          <w:tcPr>
            <w:tcW w:w="12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Years of service</w:t>
            </w:r>
          </w:p>
        </w:tc>
        <w:tc>
          <w:tcPr>
            <w:tcW w:w="301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c>
          <w:tcPr>
            <w:tcW w:w="1872" w:type="dxa"/>
            <w:tcBorders>
              <w:top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Currently engaged in</w:t>
            </w:r>
          </w:p>
        </w:tc>
        <w:tc>
          <w:tcPr>
            <w:tcW w:w="284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Professional years</w:t>
            </w:r>
          </w:p>
        </w:tc>
        <w:tc>
          <w:tcPr>
            <w:tcW w:w="294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540" w:hRule="atLeast"/>
        </w:trPr>
        <w:tc>
          <w:tcPr>
            <w:tcW w:w="12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eastAsia" w:ascii="Times New Roman" w:hAnsi="Times New Roman" w:cs="Times New Roman"/>
                <w:b w:val="0"/>
                <w:bCs w:val="0"/>
                <w:i w:val="0"/>
                <w:iCs w:val="0"/>
                <w:color w:val="auto"/>
                <w:kern w:val="0"/>
                <w:sz w:val="24"/>
                <w:szCs w:val="24"/>
                <w:u w:val="none"/>
              </w:rPr>
              <w:t>academic degree</w:t>
            </w:r>
          </w:p>
        </w:tc>
        <w:tc>
          <w:tcPr>
            <w:tcW w:w="301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c>
          <w:tcPr>
            <w:tcW w:w="18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Company</w:t>
            </w:r>
          </w:p>
        </w:tc>
        <w:tc>
          <w:tcPr>
            <w:tcW w:w="284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c>
          <w:tcPr>
            <w:tcW w:w="1517" w:type="dxa"/>
            <w:tcBorders>
              <w:top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eastAsia" w:eastAsia="黑体" w:cs="Times New Roman"/>
                <w:b w:val="0"/>
                <w:bCs w:val="0"/>
                <w:i w:val="0"/>
                <w:iCs w:val="0"/>
                <w:color w:val="auto"/>
                <w:kern w:val="0"/>
                <w:sz w:val="24"/>
                <w:szCs w:val="24"/>
                <w:u w:val="none"/>
                <w:lang w:val="en-US" w:eastAsia="zh-CN"/>
              </w:rPr>
              <w:t>D</w:t>
            </w:r>
            <w:r>
              <w:rPr>
                <w:rFonts w:hint="default" w:ascii="Times New Roman" w:hAnsi="Times New Roman" w:eastAsia="黑体" w:cs="Times New Roman"/>
                <w:b w:val="0"/>
                <w:bCs w:val="0"/>
                <w:i w:val="0"/>
                <w:iCs w:val="0"/>
                <w:color w:val="auto"/>
                <w:kern w:val="0"/>
                <w:sz w:val="24"/>
                <w:szCs w:val="24"/>
                <w:u w:val="none"/>
              </w:rPr>
              <w:t>epartment</w:t>
            </w:r>
          </w:p>
        </w:tc>
        <w:tc>
          <w:tcPr>
            <w:tcW w:w="294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570" w:hRule="atLeast"/>
        </w:trPr>
        <w:tc>
          <w:tcPr>
            <w:tcW w:w="12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eastAsia" w:ascii="Times New Roman" w:hAnsi="Times New Roman" w:cs="Times New Roman"/>
                <w:b w:val="0"/>
                <w:bCs w:val="0"/>
                <w:i w:val="0"/>
                <w:iCs w:val="0"/>
                <w:color w:val="auto"/>
                <w:kern w:val="0"/>
                <w:sz w:val="24"/>
                <w:szCs w:val="24"/>
                <w:u w:val="none"/>
              </w:rPr>
              <w:t>professional title</w:t>
            </w:r>
          </w:p>
        </w:tc>
        <w:tc>
          <w:tcPr>
            <w:tcW w:w="301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c>
          <w:tcPr>
            <w:tcW w:w="18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post</w:t>
            </w:r>
          </w:p>
        </w:tc>
        <w:tc>
          <w:tcPr>
            <w:tcW w:w="284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c>
          <w:tcPr>
            <w:tcW w:w="151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eastAsia" w:eastAsia="黑体" w:cs="Times New Roman"/>
                <w:b w:val="0"/>
                <w:bCs w:val="0"/>
                <w:i w:val="0"/>
                <w:iCs w:val="0"/>
                <w:color w:val="auto"/>
                <w:kern w:val="0"/>
                <w:sz w:val="24"/>
                <w:szCs w:val="24"/>
                <w:u w:val="none"/>
                <w:lang w:val="en-US" w:eastAsia="zh-CN"/>
              </w:rPr>
              <w:t>E-</w:t>
            </w:r>
            <w:r>
              <w:rPr>
                <w:rFonts w:hint="default" w:ascii="Times New Roman" w:hAnsi="Times New Roman" w:eastAsia="黑体" w:cs="Times New Roman"/>
                <w:b w:val="0"/>
                <w:bCs w:val="0"/>
                <w:i w:val="0"/>
                <w:iCs w:val="0"/>
                <w:color w:val="auto"/>
                <w:kern w:val="0"/>
                <w:sz w:val="24"/>
                <w:szCs w:val="24"/>
                <w:u w:val="none"/>
              </w:rPr>
              <w:t>mail</w:t>
            </w:r>
          </w:p>
        </w:tc>
        <w:tc>
          <w:tcPr>
            <w:tcW w:w="2947"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570" w:hRule="atLeast"/>
        </w:trPr>
        <w:tc>
          <w:tcPr>
            <w:tcW w:w="129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contact number</w:t>
            </w:r>
          </w:p>
        </w:tc>
        <w:tc>
          <w:tcPr>
            <w:tcW w:w="3010"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c>
          <w:tcPr>
            <w:tcW w:w="18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postal address</w:t>
            </w:r>
          </w:p>
        </w:tc>
        <w:tc>
          <w:tcPr>
            <w:tcW w:w="7311"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r>
    </w:tbl>
    <w:p>
      <w:pPr>
        <w:jc w:val="left"/>
        <w:rPr>
          <w:rFonts w:hint="default" w:ascii="Times New Roman" w:hAnsi="Times New Roman" w:cs="Times New Roman"/>
          <w:b w:val="0"/>
          <w:bCs w:val="0"/>
          <w:i w:val="0"/>
          <w:iCs w:val="0"/>
          <w:color w:val="auto"/>
          <w:sz w:val="24"/>
          <w:szCs w:val="24"/>
          <w:u w:val="none"/>
        </w:rPr>
      </w:pPr>
    </w:p>
    <w:p>
      <w:pPr>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 xml:space="preserve">Part II </w:t>
      </w:r>
      <w:r>
        <w:rPr>
          <w:rFonts w:hint="eastAsia" w:eastAsia="黑体" w:cs="Times New Roman"/>
          <w:b w:val="0"/>
          <w:bCs w:val="0"/>
          <w:i w:val="0"/>
          <w:iCs w:val="0"/>
          <w:color w:val="auto"/>
          <w:sz w:val="24"/>
          <w:szCs w:val="24"/>
          <w:u w:val="none"/>
          <w:lang w:val="en-US" w:eastAsia="zh-CN"/>
        </w:rPr>
        <w:t xml:space="preserve"> </w:t>
      </w:r>
      <w:r>
        <w:rPr>
          <w:rFonts w:hint="default" w:ascii="Times New Roman" w:hAnsi="Times New Roman" w:eastAsia="黑体" w:cs="Times New Roman"/>
          <w:b w:val="0"/>
          <w:bCs w:val="0"/>
          <w:i w:val="0"/>
          <w:iCs w:val="0"/>
          <w:color w:val="auto"/>
          <w:sz w:val="24"/>
          <w:szCs w:val="24"/>
          <w:u w:val="none"/>
        </w:rPr>
        <w:t>Expert Consultation Form of Large</w:t>
      </w:r>
      <w:r>
        <w:rPr>
          <w:rFonts w:hint="eastAsia" w:eastAsia="黑体" w:cs="Times New Roman"/>
          <w:b w:val="0"/>
          <w:bCs w:val="0"/>
          <w:i w:val="0"/>
          <w:iCs w:val="0"/>
          <w:color w:val="auto"/>
          <w:sz w:val="24"/>
          <w:szCs w:val="24"/>
          <w:u w:val="none"/>
          <w:lang w:val="en-US" w:eastAsia="zh-CN"/>
        </w:rPr>
        <w:t xml:space="preserve">-scale </w:t>
      </w:r>
      <w:r>
        <w:rPr>
          <w:rFonts w:hint="default" w:ascii="Times New Roman" w:hAnsi="Times New Roman" w:eastAsia="黑体" w:cs="Times New Roman"/>
          <w:b w:val="0"/>
          <w:bCs w:val="0"/>
          <w:i w:val="0"/>
          <w:iCs w:val="0"/>
          <w:color w:val="auto"/>
          <w:sz w:val="24"/>
          <w:szCs w:val="24"/>
          <w:u w:val="none"/>
        </w:rPr>
        <w:t>Medical Equipment Value Evaluation Index System</w:t>
      </w:r>
    </w:p>
    <w:p>
      <w:pPr>
        <w:numPr>
          <w:ilvl w:val="0"/>
          <w:numId w:val="1"/>
        </w:numPr>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Instructions for filling in the form: basic concepts</w:t>
      </w:r>
    </w:p>
    <w:p>
      <w:pPr>
        <w:ind w:firstLine="480" w:firstLineChars="200"/>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Large</w:t>
      </w:r>
      <w:r>
        <w:rPr>
          <w:rFonts w:hint="eastAsia" w:eastAsia="黑体" w:cs="Times New Roman"/>
          <w:b w:val="0"/>
          <w:bCs w:val="0"/>
          <w:i w:val="0"/>
          <w:iCs w:val="0"/>
          <w:color w:val="auto"/>
          <w:sz w:val="24"/>
          <w:szCs w:val="24"/>
          <w:u w:val="none"/>
          <w:lang w:val="en-US" w:eastAsia="zh-CN"/>
        </w:rPr>
        <w:t>-scale</w:t>
      </w:r>
      <w:r>
        <w:rPr>
          <w:rFonts w:hint="default" w:ascii="Times New Roman" w:hAnsi="Times New Roman" w:eastAsia="黑体" w:cs="Times New Roman"/>
          <w:b w:val="0"/>
          <w:bCs w:val="0"/>
          <w:i w:val="0"/>
          <w:iCs w:val="0"/>
          <w:color w:val="auto"/>
          <w:sz w:val="24"/>
          <w:szCs w:val="24"/>
          <w:u w:val="none"/>
        </w:rPr>
        <w:t xml:space="preserve"> medical equipment refers to the large-scale medical equipment with complex technology, large capital investment, high operating cost, great impact on medical expenses and included in the catalog management. This study mainly focuses on the large-scale medical equipment configured by public hospitals with a total unit price of 5 million yuan or more.</w:t>
      </w:r>
    </w:p>
    <w:p>
      <w:pPr>
        <w:ind w:firstLine="480" w:firstLineChars="200"/>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Life cycle management of large-scale medical equipment in public hospitals: take the needs of department development as the starting point, purchase demonstration, preparation of purchase plans, and signing of purchase contracts as the purchase stage; Equipment installation, use, and maintenance are in the operation stage; As the disposal stage, the scrapping and updating of instruments are used to collect and analyze the data in the operation and management of the three stages of large-scale medical equipment, establish a full life cycle database of large-scale medical equipment, and comprehensively manage the information, processes, and applications in the full life cycle.</w:t>
      </w:r>
    </w:p>
    <w:p>
      <w:pPr>
        <w:ind w:firstLine="480" w:firstLineChars="200"/>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Based on the previous research, our research team will explore the value evaluation system of large-scale medical equipment by using its engineering value, clinical value, economic value, social value, and other relevant indicators.</w:t>
      </w:r>
    </w:p>
    <w:p>
      <w:pPr>
        <w:rPr>
          <w:rFonts w:hint="default" w:ascii="Times New Roman" w:hAnsi="Times New Roman" w:cs="Times New Roman"/>
          <w:b w:val="0"/>
          <w:bCs w:val="0"/>
          <w:i w:val="0"/>
          <w:iCs w:val="0"/>
          <w:color w:val="auto"/>
          <w:sz w:val="24"/>
          <w:szCs w:val="24"/>
          <w:u w:val="none"/>
        </w:rPr>
      </w:pPr>
    </w:p>
    <w:p>
      <w:pPr>
        <w:numPr>
          <w:ilvl w:val="0"/>
          <w:numId w:val="2"/>
        </w:numPr>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Expert Consultation Form of Large</w:t>
      </w:r>
      <w:r>
        <w:rPr>
          <w:rFonts w:hint="eastAsia" w:eastAsia="黑体" w:cs="Times New Roman"/>
          <w:b w:val="0"/>
          <w:bCs w:val="0"/>
          <w:i w:val="0"/>
          <w:iCs w:val="0"/>
          <w:color w:val="auto"/>
          <w:sz w:val="24"/>
          <w:szCs w:val="24"/>
          <w:u w:val="none"/>
          <w:lang w:val="en-US" w:eastAsia="zh-CN"/>
        </w:rPr>
        <w:t>-scale</w:t>
      </w:r>
      <w:r>
        <w:rPr>
          <w:rFonts w:hint="default" w:ascii="Times New Roman" w:hAnsi="Times New Roman" w:eastAsia="黑体" w:cs="Times New Roman"/>
          <w:b w:val="0"/>
          <w:bCs w:val="0"/>
          <w:i w:val="0"/>
          <w:iCs w:val="0"/>
          <w:color w:val="auto"/>
          <w:sz w:val="24"/>
          <w:szCs w:val="24"/>
          <w:u w:val="none"/>
        </w:rPr>
        <w:t xml:space="preserve"> Medical Equipment Value Evaluation Index System</w:t>
      </w:r>
    </w:p>
    <w:p>
      <w:pPr>
        <w:widowControl/>
        <w:ind w:firstLine="480" w:firstLineChars="200"/>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Based on the previous literature research and group discussion, we have preliminarily constructed a framework for the value evaluation index system of large medical equipment, which is composed of 4 primary indicators and 54 secondary indicators. The scoring standard of indicator importance evaluation is 1-5 points, 5=very important, 4=relatively important, 3=generally important, 2=not very important, 1=not important; The scoring standard for familiarity with indicators is 1-5 points, 5=very familiar, 4=relatively familiar, 3=generally familiar, 2=not very familiar, 1=not familiar. Please click "√" on the corresponding score according to the requirements of the inquiry item. If it is inconvenient for you to check when filling in, please mark the corresponding score in red). If you have other suggestions on the selected indicators, please put forward suggestions on modification, supplement, or deletion of the indicators in the "Remarks".</w:t>
      </w:r>
    </w:p>
    <w:p>
      <w:pPr>
        <w:ind w:firstLine="480" w:firstLineChars="200"/>
        <w:rPr>
          <w:rFonts w:hint="default" w:ascii="Times New Roman" w:hAnsi="Times New Roman" w:eastAsia="黑体" w:cs="Times New Roman"/>
          <w:b w:val="0"/>
          <w:bCs w:val="0"/>
          <w:i w:val="0"/>
          <w:iCs w:val="0"/>
          <w:color w:val="auto"/>
          <w:sz w:val="24"/>
          <w:szCs w:val="24"/>
          <w:u w:val="none"/>
        </w:rPr>
      </w:pPr>
    </w:p>
    <w:tbl>
      <w:tblPr>
        <w:tblStyle w:val="3"/>
        <w:tblW w:w="4740" w:type="pct"/>
        <w:jc w:val="center"/>
        <w:tblLayout w:type="fixed"/>
        <w:tblCellMar>
          <w:top w:w="15" w:type="dxa"/>
          <w:left w:w="15" w:type="dxa"/>
          <w:bottom w:w="15" w:type="dxa"/>
          <w:right w:w="15" w:type="dxa"/>
        </w:tblCellMar>
      </w:tblPr>
      <w:tblGrid>
        <w:gridCol w:w="2065"/>
        <w:gridCol w:w="2707"/>
        <w:gridCol w:w="556"/>
        <w:gridCol w:w="653"/>
        <w:gridCol w:w="653"/>
        <w:gridCol w:w="653"/>
        <w:gridCol w:w="658"/>
        <w:gridCol w:w="653"/>
        <w:gridCol w:w="653"/>
        <w:gridCol w:w="653"/>
        <w:gridCol w:w="653"/>
        <w:gridCol w:w="674"/>
        <w:gridCol w:w="2032"/>
      </w:tblGrid>
      <w:tr>
        <w:trPr>
          <w:trHeight w:val="575" w:hRule="atLeast"/>
          <w:tblHeader/>
          <w:jc w:val="center"/>
        </w:trPr>
        <w:tc>
          <w:tcPr>
            <w:tcW w:w="1798" w:type="pct"/>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Consulting items</w:t>
            </w:r>
          </w:p>
        </w:tc>
        <w:tc>
          <w:tcPr>
            <w:tcW w:w="1196" w:type="pct"/>
            <w:gridSpan w:val="5"/>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Evaluation of the importance of indicators</w:t>
            </w:r>
          </w:p>
        </w:tc>
        <w:tc>
          <w:tcPr>
            <w:tcW w:w="1238" w:type="pct"/>
            <w:gridSpan w:val="5"/>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Familiarity with indicators</w:t>
            </w:r>
          </w:p>
        </w:tc>
        <w:tc>
          <w:tcPr>
            <w:tcW w:w="766" w:type="pct"/>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remarks</w:t>
            </w:r>
          </w:p>
        </w:tc>
      </w:tr>
      <w:tr>
        <w:tblPrEx>
          <w:tblCellMar>
            <w:top w:w="15" w:type="dxa"/>
            <w:left w:w="15" w:type="dxa"/>
            <w:bottom w:w="15" w:type="dxa"/>
            <w:right w:w="15" w:type="dxa"/>
          </w:tblCellMar>
        </w:tblPrEx>
        <w:trPr>
          <w:trHeight w:val="1495" w:hRule="atLeast"/>
          <w:tblHeader/>
          <w:jc w:val="center"/>
        </w:trPr>
        <w:tc>
          <w:tcPr>
            <w:tcW w:w="1798" w:type="pct"/>
            <w:gridSpan w:val="2"/>
            <w:tcBorders>
              <w:top w:val="single" w:color="000000" w:sz="4" w:space="0"/>
              <w:left w:val="single" w:color="000000" w:sz="4" w:space="0"/>
              <w:right w:val="single" w:color="auto" w:sz="4" w:space="0"/>
              <w:tl2br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 xml:space="preserve">Indicators and indicator description </w:t>
            </w:r>
            <w:r>
              <w:rPr>
                <w:rFonts w:hint="eastAsia" w:eastAsia="黑体" w:cs="Times New Roman"/>
                <w:b w:val="0"/>
                <w:bCs w:val="0"/>
                <w:i w:val="0"/>
                <w:iCs w:val="0"/>
                <w:color w:val="auto"/>
                <w:kern w:val="0"/>
                <w:sz w:val="24"/>
                <w:szCs w:val="24"/>
                <w:u w:val="none"/>
                <w:lang w:val="en-US" w:eastAsia="zh-CN"/>
              </w:rPr>
              <w:t xml:space="preserve">    </w:t>
            </w:r>
            <w:r>
              <w:rPr>
                <w:rFonts w:hint="default" w:ascii="Times New Roman" w:hAnsi="Times New Roman" w:eastAsia="黑体" w:cs="Times New Roman"/>
                <w:b w:val="0"/>
                <w:bCs w:val="0"/>
                <w:i w:val="0"/>
                <w:iCs w:val="0"/>
                <w:color w:val="auto"/>
                <w:kern w:val="0"/>
                <w:sz w:val="24"/>
                <w:szCs w:val="24"/>
                <w:u w:val="none"/>
              </w:rPr>
              <w:t>comments and scores</w:t>
            </w:r>
          </w:p>
        </w:tc>
        <w:tc>
          <w:tcPr>
            <w:tcW w:w="209" w:type="pct"/>
            <w:tcBorders>
              <w:top w:val="single" w:color="auto" w:sz="4" w:space="0"/>
              <w:left w:val="single" w:color="auto" w:sz="4" w:space="0"/>
              <w:right w:val="single" w:color="auto" w:sz="4" w:space="0"/>
            </w:tcBorders>
            <w:textDirection w:val="tbRlV"/>
            <w:vAlign w:val="center"/>
          </w:tcPr>
          <w:p>
            <w:pPr>
              <w:widowControl/>
              <w:ind w:left="113" w:right="113"/>
              <w:jc w:val="center"/>
              <w:textAlignment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very important</w:t>
            </w:r>
          </w:p>
        </w:tc>
        <w:tc>
          <w:tcPr>
            <w:tcW w:w="246" w:type="pct"/>
            <w:tcBorders>
              <w:top w:val="single" w:color="auto" w:sz="4" w:space="0"/>
              <w:left w:val="single" w:color="auto" w:sz="4" w:space="0"/>
              <w:right w:val="single" w:color="auto" w:sz="4" w:space="0"/>
            </w:tcBorders>
            <w:textDirection w:val="tbRlV"/>
            <w:vAlign w:val="center"/>
          </w:tcPr>
          <w:p>
            <w:pPr>
              <w:widowControl/>
              <w:ind w:left="113" w:right="113"/>
              <w:jc w:val="center"/>
              <w:textAlignment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More important</w:t>
            </w:r>
          </w:p>
        </w:tc>
        <w:tc>
          <w:tcPr>
            <w:tcW w:w="246" w:type="pct"/>
            <w:tcBorders>
              <w:top w:val="single" w:color="auto" w:sz="4" w:space="0"/>
              <w:left w:val="single" w:color="auto" w:sz="4" w:space="0"/>
              <w:right w:val="single" w:color="auto" w:sz="4" w:space="0"/>
            </w:tcBorders>
            <w:textDirection w:val="tbRlV"/>
            <w:vAlign w:val="center"/>
          </w:tcPr>
          <w:p>
            <w:pPr>
              <w:widowControl/>
              <w:ind w:left="113" w:right="113"/>
              <w:jc w:val="center"/>
              <w:textAlignment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Generally important</w:t>
            </w:r>
          </w:p>
        </w:tc>
        <w:tc>
          <w:tcPr>
            <w:tcW w:w="246" w:type="pct"/>
            <w:tcBorders>
              <w:top w:val="single" w:color="auto" w:sz="4" w:space="0"/>
              <w:left w:val="single" w:color="auto" w:sz="4" w:space="0"/>
              <w:right w:val="single" w:color="auto" w:sz="4" w:space="0"/>
            </w:tcBorders>
            <w:textDirection w:val="tbRlV"/>
            <w:vAlign w:val="center"/>
          </w:tcPr>
          <w:p>
            <w:pPr>
              <w:widowControl/>
              <w:ind w:left="113" w:right="113"/>
              <w:jc w:val="center"/>
              <w:textAlignment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Not very important</w:t>
            </w:r>
          </w:p>
        </w:tc>
        <w:tc>
          <w:tcPr>
            <w:tcW w:w="248" w:type="pct"/>
            <w:tcBorders>
              <w:top w:val="single" w:color="auto" w:sz="4" w:space="0"/>
              <w:left w:val="single" w:color="auto" w:sz="4" w:space="0"/>
              <w:right w:val="single" w:color="auto" w:sz="4" w:space="0"/>
            </w:tcBorders>
            <w:textDirection w:val="tbRlV"/>
            <w:vAlign w:val="center"/>
          </w:tcPr>
          <w:p>
            <w:pPr>
              <w:widowControl/>
              <w:ind w:left="113" w:right="113"/>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unimportance</w:t>
            </w:r>
          </w:p>
        </w:tc>
        <w:tc>
          <w:tcPr>
            <w:tcW w:w="246" w:type="pct"/>
            <w:tcBorders>
              <w:top w:val="single" w:color="000000" w:sz="4" w:space="0"/>
              <w:left w:val="single" w:color="000000" w:sz="4" w:space="0"/>
              <w:right w:val="single" w:color="000000" w:sz="4" w:space="0"/>
            </w:tcBorders>
            <w:textDirection w:val="tbRlV"/>
            <w:vAlign w:val="center"/>
          </w:tcPr>
          <w:p>
            <w:pPr>
              <w:widowControl/>
              <w:ind w:left="113" w:right="113"/>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Very familiar</w:t>
            </w:r>
          </w:p>
        </w:tc>
        <w:tc>
          <w:tcPr>
            <w:tcW w:w="246" w:type="pct"/>
            <w:tcBorders>
              <w:top w:val="single" w:color="000000" w:sz="4" w:space="0"/>
              <w:left w:val="single" w:color="000000" w:sz="4" w:space="0"/>
              <w:right w:val="single" w:color="000000" w:sz="4" w:space="0"/>
            </w:tcBorders>
            <w:textDirection w:val="tbRlV"/>
            <w:vAlign w:val="center"/>
          </w:tcPr>
          <w:p>
            <w:pPr>
              <w:widowControl/>
              <w:ind w:left="113" w:right="113"/>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Quite familiar</w:t>
            </w:r>
          </w:p>
        </w:tc>
        <w:tc>
          <w:tcPr>
            <w:tcW w:w="246" w:type="pct"/>
            <w:tcBorders>
              <w:top w:val="single" w:color="000000" w:sz="4" w:space="0"/>
              <w:left w:val="single" w:color="000000" w:sz="4" w:space="0"/>
              <w:right w:val="single" w:color="000000" w:sz="4" w:space="0"/>
            </w:tcBorders>
            <w:textDirection w:val="tbRlV"/>
            <w:vAlign w:val="center"/>
          </w:tcPr>
          <w:p>
            <w:pPr>
              <w:widowControl/>
              <w:ind w:left="113" w:right="113"/>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General familiarity</w:t>
            </w:r>
          </w:p>
        </w:tc>
        <w:tc>
          <w:tcPr>
            <w:tcW w:w="246" w:type="pct"/>
            <w:tcBorders>
              <w:top w:val="single" w:color="000000" w:sz="4" w:space="0"/>
              <w:left w:val="single" w:color="000000" w:sz="4" w:space="0"/>
              <w:right w:val="single" w:color="000000" w:sz="4" w:space="0"/>
            </w:tcBorders>
            <w:textDirection w:val="tbRlV"/>
            <w:vAlign w:val="center"/>
          </w:tcPr>
          <w:p>
            <w:pPr>
              <w:widowControl/>
              <w:ind w:left="113" w:right="113"/>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Not familiar</w:t>
            </w:r>
          </w:p>
        </w:tc>
        <w:tc>
          <w:tcPr>
            <w:tcW w:w="254" w:type="pct"/>
            <w:tcBorders>
              <w:top w:val="single" w:color="000000" w:sz="4" w:space="0"/>
              <w:left w:val="single" w:color="000000" w:sz="4" w:space="0"/>
              <w:right w:val="single" w:color="000000" w:sz="4" w:space="0"/>
            </w:tcBorders>
            <w:textDirection w:val="tbRlV"/>
            <w:vAlign w:val="center"/>
          </w:tcPr>
          <w:p>
            <w:pPr>
              <w:widowControl/>
              <w:ind w:left="113" w:right="113"/>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be unfamiliar with</w:t>
            </w:r>
          </w:p>
        </w:tc>
        <w:tc>
          <w:tcPr>
            <w:tcW w:w="766" w:type="pct"/>
            <w:tcBorders>
              <w:top w:val="single" w:color="000000" w:sz="4" w:space="0"/>
              <w:left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Comments on modification, supplement, and deletion</w:t>
            </w:r>
          </w:p>
        </w:tc>
      </w:tr>
      <w:tr>
        <w:tblPrEx>
          <w:tblCellMar>
            <w:top w:w="15" w:type="dxa"/>
            <w:left w:w="15" w:type="dxa"/>
            <w:bottom w:w="15" w:type="dxa"/>
            <w:right w:w="15" w:type="dxa"/>
          </w:tblCellMar>
        </w:tblPrEx>
        <w:trPr>
          <w:trHeight w:val="806"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Example:</w:t>
            </w:r>
          </w:p>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A-1 Stability</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 xml:space="preserve">Whether the equipment </w:t>
            </w:r>
            <w:r>
              <w:rPr>
                <w:rFonts w:hint="default" w:ascii="Times New Roman" w:hAnsi="Times New Roman" w:eastAsia="黑体" w:cs="Times New Roman"/>
                <w:b w:val="0"/>
                <w:bCs w:val="0"/>
                <w:i w:val="0"/>
                <w:iCs w:val="0"/>
                <w:color w:val="auto"/>
                <w:sz w:val="24"/>
                <w:szCs w:val="24"/>
                <w:u w:val="none"/>
                <w:lang w:val="en-US" w:eastAsia="zh-CN"/>
              </w:rPr>
              <w:t>can</w:t>
            </w:r>
            <w:r>
              <w:rPr>
                <w:rFonts w:hint="default" w:ascii="Times New Roman" w:hAnsi="Times New Roman" w:eastAsia="黑体" w:cs="Times New Roman"/>
                <w:b w:val="0"/>
                <w:bCs w:val="0"/>
                <w:i w:val="0"/>
                <w:iCs w:val="0"/>
                <w:color w:val="auto"/>
                <w:sz w:val="24"/>
                <w:szCs w:val="24"/>
                <w:u w:val="none"/>
              </w:rPr>
              <w:t xml:space="preserve"> withstand the short circuit current electrodynamic force without causing equipment deformation and damage</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7463870"/>
                <w14:checkbox>
                  <w14:checked w14:val="1"/>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黑体" w:cs="Times New Roman"/>
                    <w:b w:val="0"/>
                    <w:bCs w:val="0"/>
                    <w:i w:val="0"/>
                    <w:iCs w:val="0"/>
                    <w:color w:val="auto"/>
                    <w:sz w:val="24"/>
                    <w:szCs w:val="24"/>
                    <w:u w:val="none"/>
                  </w:rPr>
                  <w:sym w:font="Wingdings 2" w:char="F052"/>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753744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7901002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759080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9191666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0757218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5545861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2233000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11842624"/>
                <w14:checkbox>
                  <w14:checked w14:val="1"/>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黑体" w:cs="Times New Roman"/>
                    <w:b w:val="0"/>
                    <w:bCs w:val="0"/>
                    <w:i w:val="0"/>
                    <w:iCs w:val="0"/>
                    <w:color w:val="auto"/>
                    <w:sz w:val="24"/>
                    <w:szCs w:val="24"/>
                    <w:u w:val="none"/>
                  </w:rPr>
                  <w:sym w:font="Wingdings 2" w:char="F052"/>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4390358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584"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 xml:space="preserve">A </w:t>
            </w:r>
            <w:r>
              <w:rPr>
                <w:rFonts w:hint="default" w:ascii="Times New Roman" w:hAnsi="Times New Roman" w:cs="Times New Roman"/>
                <w:b w:val="0"/>
                <w:bCs w:val="0"/>
                <w:i w:val="0"/>
                <w:iCs w:val="0"/>
                <w:color w:val="auto"/>
                <w:kern w:val="0"/>
                <w:sz w:val="24"/>
                <w:szCs w:val="24"/>
                <w:u w:val="none"/>
              </w:rPr>
              <w:t>engineering value</w:t>
            </w:r>
          </w:p>
        </w:tc>
        <w:tc>
          <w:tcPr>
            <w:tcW w:w="3455" w:type="pct"/>
            <w:gridSpan w:val="11"/>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c>
          <w:tcPr>
            <w:tcW w:w="766" w:type="pct"/>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黑体" w:cs="Times New Roman"/>
                <w:b w:val="0"/>
                <w:bCs w:val="0"/>
                <w:i w:val="0"/>
                <w:iCs w:val="0"/>
                <w:color w:val="auto"/>
                <w:sz w:val="24"/>
                <w:szCs w:val="24"/>
                <w:u w:val="none"/>
              </w:rPr>
            </w:pPr>
          </w:p>
        </w:tc>
      </w:tr>
      <w:tr>
        <w:trPr>
          <w:trHeight w:val="1010"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cs="Times New Roman"/>
                <w:b w:val="0"/>
                <w:bCs w:val="0"/>
                <w:i w:val="0"/>
                <w:iCs w:val="0"/>
                <w:color w:val="auto"/>
                <w:kern w:val="0"/>
                <w:sz w:val="24"/>
                <w:szCs w:val="24"/>
                <w:u w:val="none"/>
              </w:rPr>
              <w:t>A-1 stability</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Whether the equipment has the ability to withstand the short circuit current electric force without causing deformation and damage of the equipment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15022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61891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73398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785755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854335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75865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867149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586749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060679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058364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rPr>
          <w:trHeight w:val="1070"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A-2 Service life</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The service life of corresponding large medical equipment specified by the hospital or manufacturer</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1924049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8872190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0485704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5764992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7841498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1129968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8418099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1897339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4947353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8656262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77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A-3 Installation requirements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Whether the equipment needs professional personnel to install parts</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6855465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3928336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128994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928366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7513407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145066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6770199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5419107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180085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2347756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917"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A-4 Requirements for supporting facilities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Whether the normal operation of the equipment requires auxiliary supporting facilities</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8520855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9286830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7948781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821643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3595581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1754253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2760819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0296634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5904329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5435278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928"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A-5 Patent type</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Whether the equipment has</w:t>
            </w:r>
            <w:r>
              <w:rPr>
                <w:rFonts w:hint="default" w:ascii="Times New Roman" w:hAnsi="Times New Roman" w:eastAsia="黑体" w:cs="Times New Roman"/>
                <w:b w:val="0"/>
                <w:bCs w:val="0"/>
                <w:i w:val="0"/>
                <w:iCs w:val="0"/>
                <w:color w:val="auto"/>
                <w:sz w:val="24"/>
                <w:szCs w:val="24"/>
                <w:u w:val="none"/>
                <w:lang w:val="en-US" w:eastAsia="zh-CN"/>
              </w:rPr>
              <w:t xml:space="preserve"> a</w:t>
            </w:r>
            <w:r>
              <w:rPr>
                <w:rFonts w:hint="default" w:ascii="Times New Roman" w:hAnsi="Times New Roman" w:eastAsia="黑体" w:cs="Times New Roman"/>
                <w:b w:val="0"/>
                <w:bCs w:val="0"/>
                <w:i w:val="0"/>
                <w:iCs w:val="0"/>
                <w:color w:val="auto"/>
                <w:sz w:val="24"/>
                <w:szCs w:val="24"/>
                <w:u w:val="none"/>
              </w:rPr>
              <w:t xml:space="preserve"> special process and whether innovation-related patents are used</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7893281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8382340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1877678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0239524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733882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5545793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156632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6683933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3840224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2701341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928"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A-6 Operation convenience</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Whether the steps are complicated when the staff use the equipment to check or treat patients</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9137627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7955993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1683282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5178332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42935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3664337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2068308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6602371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0477974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878569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305"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A-7 Qualification requirements for operators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 xml:space="preserve">Whether there are qualification requirements for equipment operators, such as general technicians or nurses, technicians with medium and senior professional titles, or those who have received professional training </w:t>
            </w:r>
            <w:r>
              <w:rPr>
                <w:rFonts w:hint="default" w:ascii="Times New Roman" w:hAnsi="Times New Roman" w:eastAsia="黑体" w:cs="Times New Roman"/>
                <w:b w:val="0"/>
                <w:bCs w:val="0"/>
                <w:i w:val="0"/>
                <w:iCs w:val="0"/>
                <w:color w:val="auto"/>
                <w:sz w:val="24"/>
                <w:szCs w:val="24"/>
                <w:u w:val="none"/>
                <w:lang w:val="en-US" w:eastAsia="zh-CN"/>
              </w:rPr>
              <w:t>in</w:t>
            </w:r>
            <w:r>
              <w:rPr>
                <w:rFonts w:hint="default" w:ascii="Times New Roman" w:hAnsi="Times New Roman" w:eastAsia="黑体" w:cs="Times New Roman"/>
                <w:b w:val="0"/>
                <w:bCs w:val="0"/>
                <w:i w:val="0"/>
                <w:iCs w:val="0"/>
                <w:color w:val="auto"/>
                <w:sz w:val="24"/>
                <w:szCs w:val="24"/>
                <w:u w:val="none"/>
              </w:rPr>
              <w:t>to operate the equipment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4215131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8762300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MS Gothic" w:hAnsi="MS Gothic"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0814878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2751115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5378785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639041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358817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1474753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6334889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2380864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20"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A-8 Injection agent demand</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Whether it is necessary to inject drugs to patients during examination or treatment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4093684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736469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327390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1855419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8477932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6480189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11196345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8478850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4233576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5078024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192"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A-9 Use of auxiliary consumables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Whether auxiliary consumables, such as medical disinfection tablets, puncture needles, and retention needles, are used for examination or treatment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5760812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4158986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0802309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3301141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6774226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7564629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2873512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2075782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8999915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5584845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279"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A-10 Average time of examination or treatment</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The average time</w:t>
            </w:r>
            <w:r>
              <w:rPr>
                <w:rFonts w:hint="default" w:ascii="Times New Roman" w:hAnsi="Times New Roman" w:eastAsia="黑体" w:cs="Times New Roman"/>
                <w:b w:val="0"/>
                <w:bCs w:val="0"/>
                <w:i w:val="0"/>
                <w:iCs w:val="0"/>
                <w:color w:val="auto"/>
                <w:sz w:val="24"/>
                <w:szCs w:val="24"/>
                <w:u w:val="none"/>
                <w:lang w:val="en-US" w:eastAsia="zh-CN"/>
              </w:rPr>
              <w:t xml:space="preserve"> is</w:t>
            </w:r>
            <w:r>
              <w:rPr>
                <w:rFonts w:hint="default" w:ascii="Times New Roman" w:hAnsi="Times New Roman" w:eastAsia="黑体" w:cs="Times New Roman"/>
                <w:b w:val="0"/>
                <w:bCs w:val="0"/>
                <w:i w:val="0"/>
                <w:iCs w:val="0"/>
                <w:color w:val="auto"/>
                <w:sz w:val="24"/>
                <w:szCs w:val="24"/>
                <w:u w:val="none"/>
              </w:rPr>
              <w:t xml:space="preserve"> taken by each patient to complete the entire examination or treatment process with equipment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1493561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6253711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7011979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3658443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0018603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2369893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1139013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3494268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9195312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5509124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212"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A-11 Information management</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Whether the equipment can realize online recording of real-time data</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0876288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1787563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343755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598912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102540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814407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6189738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827410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12834990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1313401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A-12 Image quality</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Whether the inspection or treatment images of the equipment have high resolution and high accuracy</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0215977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4364377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6453398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3895957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808911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0114791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0089750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黑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3758643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5443352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0220045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A-13 Warranty period</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Years of equipment warranty service provided by the manufacturer</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6192996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9427420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676847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416088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521493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7332612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6032825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6586575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488702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6769670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A-14 Annual maintenance times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Estimated total number of annual maintenance of equipment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113360505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2060287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8664906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2242498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074071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59655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7727831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0619656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5396853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8012529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105"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A-15 Accessibility of equipment accessories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Whether the maintenance accessories required in case of equipment failure are easily available</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12760613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8093816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2504917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9973679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1836630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6764527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7918260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9444821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1966752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8472039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54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 xml:space="preserve">The indicators you think "A </w:t>
            </w:r>
            <w:r>
              <w:rPr>
                <w:rFonts w:hint="default" w:ascii="Times New Roman" w:hAnsi="Times New Roman" w:cs="Times New Roman"/>
                <w:b w:val="0"/>
                <w:bCs w:val="0"/>
                <w:i w:val="0"/>
                <w:iCs w:val="0"/>
                <w:color w:val="auto"/>
                <w:kern w:val="0"/>
                <w:sz w:val="24"/>
                <w:szCs w:val="24"/>
                <w:u w:val="none"/>
              </w:rPr>
              <w:t>engineering value</w:t>
            </w:r>
            <w:r>
              <w:rPr>
                <w:rFonts w:hint="default" w:ascii="Times New Roman" w:hAnsi="Times New Roman" w:eastAsia="黑体" w:cs="Times New Roman"/>
                <w:b w:val="0"/>
                <w:bCs w:val="0"/>
                <w:i w:val="0"/>
                <w:iCs w:val="0"/>
                <w:color w:val="auto"/>
                <w:kern w:val="0"/>
                <w:sz w:val="24"/>
                <w:szCs w:val="24"/>
                <w:u w:val="none"/>
              </w:rPr>
              <w:t>" needs to be added:</w:t>
            </w:r>
          </w:p>
        </w:tc>
        <w:tc>
          <w:tcPr>
            <w:tcW w:w="3455" w:type="pct"/>
            <w:gridSpan w:val="11"/>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560"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 xml:space="preserve">The indicators you think "A </w:t>
            </w:r>
            <w:r>
              <w:rPr>
                <w:rFonts w:hint="default" w:ascii="Times New Roman" w:hAnsi="Times New Roman" w:cs="Times New Roman"/>
                <w:b w:val="0"/>
                <w:bCs w:val="0"/>
                <w:i w:val="0"/>
                <w:iCs w:val="0"/>
                <w:color w:val="auto"/>
                <w:kern w:val="0"/>
                <w:sz w:val="24"/>
                <w:szCs w:val="24"/>
                <w:u w:val="none"/>
              </w:rPr>
              <w:t>engineering value</w:t>
            </w:r>
            <w:r>
              <w:rPr>
                <w:rFonts w:hint="default" w:ascii="Times New Roman" w:hAnsi="Times New Roman" w:eastAsia="黑体" w:cs="Times New Roman"/>
                <w:b w:val="0"/>
                <w:bCs w:val="0"/>
                <w:i w:val="0"/>
                <w:iCs w:val="0"/>
                <w:color w:val="auto"/>
                <w:kern w:val="0"/>
                <w:sz w:val="24"/>
                <w:szCs w:val="24"/>
                <w:u w:val="none"/>
              </w:rPr>
              <w:t>" needs to be deleted:</w:t>
            </w:r>
          </w:p>
        </w:tc>
        <w:tc>
          <w:tcPr>
            <w:tcW w:w="3455" w:type="pct"/>
            <w:gridSpan w:val="11"/>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848"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B Clinical value</w:t>
            </w:r>
          </w:p>
        </w:tc>
        <w:tc>
          <w:tcPr>
            <w:tcW w:w="3455" w:type="pct"/>
            <w:gridSpan w:val="11"/>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24"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B-1 Incidence rate of adverse events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Probability of adverse reaction event after the patient uses the device</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1816488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635571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7575468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9092050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3169450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7783829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9355190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7071670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5118068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9451777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920"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B-2 Side effects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Possible side effects indicated by the patient when using the device</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1505264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0889992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696763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8431489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0934830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6322321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7665937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1678219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5091767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2710327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02"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B-3 Clinical utilization rate</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lang w:val="en-US" w:eastAsia="zh-CN"/>
              </w:rPr>
              <w:t>The p</w:t>
            </w:r>
            <w:r>
              <w:rPr>
                <w:rFonts w:hint="default" w:ascii="Times New Roman" w:hAnsi="Times New Roman" w:eastAsia="黑体" w:cs="Times New Roman"/>
                <w:b w:val="0"/>
                <w:bCs w:val="0"/>
                <w:i w:val="0"/>
                <w:iCs w:val="0"/>
                <w:color w:val="auto"/>
                <w:kern w:val="0"/>
                <w:sz w:val="24"/>
                <w:szCs w:val="24"/>
                <w:u w:val="none"/>
              </w:rPr>
              <w:t>roportion of clinicians using the equipment for patients within the scope of applicable equipment inspection</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2101326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0167248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6344546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868770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4393973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7361583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7765261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0856224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3769286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6986763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987"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B-4 Annual average utilization rate</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lang w:val="en-US" w:eastAsia="zh-CN"/>
              </w:rPr>
              <w:t>The r</w:t>
            </w:r>
            <w:r>
              <w:rPr>
                <w:rFonts w:hint="default" w:ascii="Times New Roman" w:hAnsi="Times New Roman" w:eastAsia="黑体" w:cs="Times New Roman"/>
                <w:b w:val="0"/>
                <w:bCs w:val="0"/>
                <w:i w:val="0"/>
                <w:iCs w:val="0"/>
                <w:color w:val="auto"/>
                <w:kern w:val="0"/>
                <w:sz w:val="24"/>
                <w:szCs w:val="24"/>
                <w:u w:val="none"/>
              </w:rPr>
              <w:t xml:space="preserve">atio of annual actual working time of equipment to </w:t>
            </w:r>
            <w:r>
              <w:rPr>
                <w:rFonts w:hint="default" w:ascii="Times New Roman" w:hAnsi="Times New Roman" w:eastAsia="黑体" w:cs="Times New Roman"/>
                <w:b w:val="0"/>
                <w:bCs w:val="0"/>
                <w:i w:val="0"/>
                <w:iCs w:val="0"/>
                <w:color w:val="auto"/>
                <w:kern w:val="0"/>
                <w:sz w:val="24"/>
                <w:szCs w:val="24"/>
                <w:u w:val="none"/>
                <w:lang w:val="en-US" w:eastAsia="zh-CN"/>
              </w:rPr>
              <w:t xml:space="preserve">the </w:t>
            </w:r>
            <w:r>
              <w:rPr>
                <w:rFonts w:hint="default" w:ascii="Times New Roman" w:hAnsi="Times New Roman" w:eastAsia="黑体" w:cs="Times New Roman"/>
                <w:b w:val="0"/>
                <w:bCs w:val="0"/>
                <w:i w:val="0"/>
                <w:iCs w:val="0"/>
                <w:color w:val="auto"/>
                <w:kern w:val="0"/>
                <w:sz w:val="24"/>
                <w:szCs w:val="24"/>
                <w:u w:val="none"/>
              </w:rPr>
              <w:t>annual system working time of equipment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091801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2334344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0689586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9912751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7722727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6846733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5028424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816122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1953572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7268788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94"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B-5 year-on-year growth rate of service volume</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The ratio of business growth compared with the same period of the previous year to the average business volume in two years</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86013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2585606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826594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8430637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3122937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1872914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9466787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3077633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4392946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9824931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39"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B-6 Average annual positive rate of inspection equipment</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lang w:val="en-US" w:eastAsia="zh-CN"/>
              </w:rPr>
              <w:t>The p</w:t>
            </w:r>
            <w:r>
              <w:rPr>
                <w:rFonts w:hint="default" w:ascii="Times New Roman" w:hAnsi="Times New Roman" w:eastAsia="黑体" w:cs="Times New Roman"/>
                <w:b w:val="0"/>
                <w:bCs w:val="0"/>
                <w:i w:val="0"/>
                <w:iCs w:val="0"/>
                <w:color w:val="auto"/>
                <w:kern w:val="0"/>
                <w:sz w:val="24"/>
                <w:szCs w:val="24"/>
                <w:u w:val="none"/>
              </w:rPr>
              <w:t>roportion of positive cases of annual equipment inspection results in the total number of annual inspections</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229841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4980196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8425175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9330623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0473353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8753163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462291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5275432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056578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1039584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38"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B-7 Annual average inspection sensitivity</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The ratio of the number of positive cases in the annual inspection of equipment to the actual total number of positive cases in the annual inspection</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8781602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11912922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9373705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7862380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1210982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8877688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0600675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679754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3993539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9837153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42"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B-8 Improvement rate of treatment equipment diseases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kern w:val="0"/>
                <w:sz w:val="24"/>
                <w:szCs w:val="24"/>
                <w:u w:val="none"/>
              </w:rPr>
              <w:t>The ratio of the number of cases improved by the equipment per year to the total number of cases treated per year reflects the treatment efficiency of the equipment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2634806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9498151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643413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3139362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246764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8141366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6188450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028411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8320756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2073317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950"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B-9 Importance of auxiliary diagnosis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lang w:val="en-US" w:eastAsia="zh-CN"/>
              </w:rPr>
              <w:t>The n</w:t>
            </w:r>
            <w:r>
              <w:rPr>
                <w:rFonts w:hint="default" w:ascii="Times New Roman" w:hAnsi="Times New Roman" w:eastAsia="黑体" w:cs="Times New Roman"/>
                <w:b w:val="0"/>
                <w:bCs w:val="0"/>
                <w:i w:val="0"/>
                <w:iCs w:val="0"/>
                <w:color w:val="auto"/>
                <w:sz w:val="24"/>
                <w:szCs w:val="24"/>
                <w:u w:val="none"/>
              </w:rPr>
              <w:t>ecessity of equipment inspection results to assist doctors in the diagnosis</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284541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3674440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3209071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3452225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4570665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052472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1099181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7357756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3169374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3647113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648"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B-10 Quality of life improvement</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The extent to which the equipment can improve the patient's work quality and life quality (such as the extent to which the patient can improve the pain, insomnia, anxiety, and other conditions caused by the disease after using the equipment for examination or treatment)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2354437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0226952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367360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3098553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9426318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663270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0248494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9712437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8672915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0627737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184"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B-11 Quality</w:t>
            </w:r>
            <w:r>
              <w:rPr>
                <w:rFonts w:hint="default" w:ascii="Times New Roman" w:hAnsi="Times New Roman" w:eastAsia="黑体" w:cs="Times New Roman"/>
                <w:b w:val="0"/>
                <w:bCs w:val="0"/>
                <w:i w:val="0"/>
                <w:iCs w:val="0"/>
                <w:color w:val="auto"/>
                <w:kern w:val="0"/>
                <w:sz w:val="24"/>
                <w:szCs w:val="24"/>
                <w:u w:val="none"/>
                <w:lang w:val="en-US" w:eastAsia="zh-CN"/>
              </w:rPr>
              <w:t>-</w:t>
            </w:r>
            <w:r>
              <w:rPr>
                <w:rFonts w:hint="default" w:ascii="Times New Roman" w:hAnsi="Times New Roman" w:eastAsia="黑体" w:cs="Times New Roman"/>
                <w:b w:val="0"/>
                <w:bCs w:val="0"/>
                <w:i w:val="0"/>
                <w:iCs w:val="0"/>
                <w:color w:val="auto"/>
                <w:kern w:val="0"/>
                <w:sz w:val="24"/>
                <w:szCs w:val="24"/>
                <w:u w:val="none"/>
              </w:rPr>
              <w:t xml:space="preserve"> adjusted life years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Interventions such as medical equipment inspection, diagnosis, and treatment are carried out for patients, and the number of life years of patients living in a completely healthy state is assumed</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2161024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115307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1121699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9780233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8093815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3827067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425937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8596068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9327171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3817953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978"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B-12 DALYs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It is assumed that patients will lose healthy life years due to disability or premature death without medical equipment inspection, diagnosis, and treatment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5455232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3275223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4372844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312853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7739909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079781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538561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1359799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9075067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6979585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20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lang w:val="en-US" w:eastAsia="zh-CN" w:bidi="ar-SA"/>
              </w:rPr>
            </w:pPr>
            <w:r>
              <w:rPr>
                <w:rFonts w:hint="default" w:ascii="Times New Roman" w:hAnsi="Times New Roman" w:eastAsia="黑体" w:cs="Times New Roman"/>
                <w:b w:val="0"/>
                <w:bCs w:val="0"/>
                <w:i w:val="0"/>
                <w:iCs w:val="0"/>
                <w:color w:val="auto"/>
                <w:kern w:val="0"/>
                <w:sz w:val="24"/>
                <w:szCs w:val="24"/>
                <w:u w:val="none"/>
              </w:rPr>
              <w:t>B-13 Change of conscious state of operators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lang w:val="en-US" w:eastAsia="zh-CN" w:bidi="ar-SA"/>
              </w:rPr>
            </w:pPr>
            <w:r>
              <w:rPr>
                <w:rFonts w:hint="default" w:ascii="Times New Roman" w:hAnsi="Times New Roman" w:eastAsia="黑体" w:cs="Times New Roman"/>
                <w:b w:val="0"/>
                <w:bCs w:val="0"/>
                <w:i w:val="0"/>
                <w:iCs w:val="0"/>
                <w:color w:val="auto"/>
                <w:kern w:val="0"/>
                <w:sz w:val="24"/>
                <w:szCs w:val="24"/>
                <w:u w:val="none"/>
              </w:rPr>
              <w:t>Whether the psychological and physical health burden of equipment operators is reduced</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2"/>
                <w:sz w:val="24"/>
                <w:szCs w:val="24"/>
                <w:u w:val="none"/>
                <w:lang w:val="en-US" w:eastAsia="zh-CN" w:bidi="ar-SA"/>
              </w:rPr>
            </w:pPr>
            <w:sdt>
              <w:sdtPr>
                <w:rPr>
                  <w:rFonts w:hint="default" w:ascii="Times New Roman" w:hAnsi="Times New Roman" w:eastAsia="黑体" w:cs="Times New Roman"/>
                  <w:b w:val="0"/>
                  <w:bCs w:val="0"/>
                  <w:i w:val="0"/>
                  <w:iCs w:val="0"/>
                  <w:color w:val="auto"/>
                  <w:sz w:val="24"/>
                  <w:szCs w:val="24"/>
                  <w:u w:val="none"/>
                </w:rPr>
                <w:id w:val="175455232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2"/>
                <w:sz w:val="24"/>
                <w:szCs w:val="24"/>
                <w:u w:val="none"/>
                <w:lang w:val="en-US" w:eastAsia="zh-CN" w:bidi="ar-SA"/>
              </w:rPr>
            </w:pPr>
            <w:sdt>
              <w:sdtPr>
                <w:rPr>
                  <w:rFonts w:hint="default" w:ascii="Times New Roman" w:hAnsi="Times New Roman" w:eastAsia="黑体" w:cs="Times New Roman"/>
                  <w:b w:val="0"/>
                  <w:bCs w:val="0"/>
                  <w:i w:val="0"/>
                  <w:iCs w:val="0"/>
                  <w:color w:val="auto"/>
                  <w:sz w:val="24"/>
                  <w:szCs w:val="24"/>
                  <w:u w:val="none"/>
                </w:rPr>
                <w:id w:val="-183275223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2"/>
                <w:sz w:val="24"/>
                <w:szCs w:val="24"/>
                <w:u w:val="none"/>
                <w:lang w:val="en-US" w:eastAsia="zh-CN" w:bidi="ar-SA"/>
              </w:rPr>
            </w:pPr>
            <w:sdt>
              <w:sdtPr>
                <w:rPr>
                  <w:rFonts w:hint="default" w:ascii="Times New Roman" w:hAnsi="Times New Roman" w:eastAsia="黑体" w:cs="Times New Roman"/>
                  <w:b w:val="0"/>
                  <w:bCs w:val="0"/>
                  <w:i w:val="0"/>
                  <w:iCs w:val="0"/>
                  <w:color w:val="auto"/>
                  <w:sz w:val="24"/>
                  <w:szCs w:val="24"/>
                  <w:u w:val="none"/>
                </w:rPr>
                <w:id w:val="-114372844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2"/>
                <w:sz w:val="24"/>
                <w:szCs w:val="24"/>
                <w:u w:val="none"/>
                <w:lang w:val="en-US" w:eastAsia="zh-CN" w:bidi="ar-SA"/>
              </w:rPr>
            </w:pPr>
            <w:sdt>
              <w:sdtPr>
                <w:rPr>
                  <w:rFonts w:hint="default" w:ascii="Times New Roman" w:hAnsi="Times New Roman" w:eastAsia="黑体" w:cs="Times New Roman"/>
                  <w:b w:val="0"/>
                  <w:bCs w:val="0"/>
                  <w:i w:val="0"/>
                  <w:iCs w:val="0"/>
                  <w:color w:val="auto"/>
                  <w:sz w:val="24"/>
                  <w:szCs w:val="24"/>
                  <w:u w:val="none"/>
                </w:rPr>
                <w:id w:val="-7312853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2"/>
                <w:sz w:val="24"/>
                <w:szCs w:val="24"/>
                <w:u w:val="none"/>
                <w:lang w:val="en-US" w:eastAsia="zh-CN" w:bidi="ar-SA"/>
              </w:rPr>
            </w:pPr>
            <w:sdt>
              <w:sdtPr>
                <w:rPr>
                  <w:rFonts w:hint="default" w:ascii="Times New Roman" w:hAnsi="Times New Roman" w:eastAsia="黑体" w:cs="Times New Roman"/>
                  <w:b w:val="0"/>
                  <w:bCs w:val="0"/>
                  <w:i w:val="0"/>
                  <w:iCs w:val="0"/>
                  <w:color w:val="auto"/>
                  <w:sz w:val="24"/>
                  <w:szCs w:val="24"/>
                  <w:u w:val="none"/>
                </w:rPr>
                <w:id w:val="67739909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2"/>
                <w:sz w:val="24"/>
                <w:szCs w:val="24"/>
                <w:u w:val="none"/>
                <w:lang w:val="en-US" w:eastAsia="zh-CN" w:bidi="ar-SA"/>
              </w:rPr>
            </w:pPr>
            <w:sdt>
              <w:sdtPr>
                <w:rPr>
                  <w:rFonts w:hint="default" w:ascii="Times New Roman" w:hAnsi="Times New Roman" w:eastAsia="黑体" w:cs="Times New Roman"/>
                  <w:b w:val="0"/>
                  <w:bCs w:val="0"/>
                  <w:i w:val="0"/>
                  <w:iCs w:val="0"/>
                  <w:color w:val="auto"/>
                  <w:sz w:val="24"/>
                  <w:szCs w:val="24"/>
                  <w:u w:val="none"/>
                </w:rPr>
                <w:id w:val="8079781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2"/>
                <w:sz w:val="24"/>
                <w:szCs w:val="24"/>
                <w:u w:val="none"/>
                <w:lang w:val="en-US" w:eastAsia="zh-CN" w:bidi="ar-SA"/>
              </w:rPr>
            </w:pPr>
            <w:sdt>
              <w:sdtPr>
                <w:rPr>
                  <w:rFonts w:hint="default" w:ascii="Times New Roman" w:hAnsi="Times New Roman" w:eastAsia="黑体" w:cs="Times New Roman"/>
                  <w:b w:val="0"/>
                  <w:bCs w:val="0"/>
                  <w:i w:val="0"/>
                  <w:iCs w:val="0"/>
                  <w:color w:val="auto"/>
                  <w:sz w:val="24"/>
                  <w:szCs w:val="24"/>
                  <w:u w:val="none"/>
                </w:rPr>
                <w:id w:val="-8538561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2"/>
                <w:sz w:val="24"/>
                <w:szCs w:val="24"/>
                <w:u w:val="none"/>
                <w:lang w:val="en-US" w:eastAsia="zh-CN" w:bidi="ar-SA"/>
              </w:rPr>
            </w:pPr>
            <w:sdt>
              <w:sdtPr>
                <w:rPr>
                  <w:rFonts w:hint="default" w:ascii="Times New Roman" w:hAnsi="Times New Roman" w:eastAsia="黑体" w:cs="Times New Roman"/>
                  <w:b w:val="0"/>
                  <w:bCs w:val="0"/>
                  <w:i w:val="0"/>
                  <w:iCs w:val="0"/>
                  <w:color w:val="auto"/>
                  <w:sz w:val="24"/>
                  <w:szCs w:val="24"/>
                  <w:u w:val="none"/>
                </w:rPr>
                <w:id w:val="-61359799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2"/>
                <w:sz w:val="24"/>
                <w:szCs w:val="24"/>
                <w:u w:val="none"/>
                <w:lang w:val="en-US" w:eastAsia="zh-CN" w:bidi="ar-SA"/>
              </w:rPr>
            </w:pPr>
            <w:sdt>
              <w:sdtPr>
                <w:rPr>
                  <w:rFonts w:hint="default" w:ascii="Times New Roman" w:hAnsi="Times New Roman" w:eastAsia="黑体" w:cs="Times New Roman"/>
                  <w:b w:val="0"/>
                  <w:bCs w:val="0"/>
                  <w:i w:val="0"/>
                  <w:iCs w:val="0"/>
                  <w:color w:val="auto"/>
                  <w:sz w:val="24"/>
                  <w:szCs w:val="24"/>
                  <w:u w:val="none"/>
                </w:rPr>
                <w:id w:val="59075067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2"/>
                <w:sz w:val="24"/>
                <w:szCs w:val="24"/>
                <w:u w:val="none"/>
                <w:lang w:val="en-US" w:eastAsia="zh-CN" w:bidi="ar-SA"/>
              </w:rPr>
            </w:pPr>
            <w:sdt>
              <w:sdtPr>
                <w:rPr>
                  <w:rFonts w:hint="default" w:ascii="Times New Roman" w:hAnsi="Times New Roman" w:eastAsia="黑体" w:cs="Times New Roman"/>
                  <w:b w:val="0"/>
                  <w:bCs w:val="0"/>
                  <w:i w:val="0"/>
                  <w:iCs w:val="0"/>
                  <w:color w:val="auto"/>
                  <w:sz w:val="24"/>
                  <w:szCs w:val="24"/>
                  <w:u w:val="none"/>
                </w:rPr>
                <w:id w:val="46979585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241"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The indicators you think "B clinical value" needs to be added:</w:t>
            </w:r>
          </w:p>
        </w:tc>
        <w:tc>
          <w:tcPr>
            <w:tcW w:w="3455" w:type="pct"/>
            <w:gridSpan w:val="11"/>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270"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Indicators you think "B clinical value" needs to be deleted:</w:t>
            </w:r>
          </w:p>
        </w:tc>
        <w:tc>
          <w:tcPr>
            <w:tcW w:w="3455" w:type="pct"/>
            <w:gridSpan w:val="11"/>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958"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 Economic value</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77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C-1 Equipment procurement cost</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lang w:val="en-US" w:eastAsia="zh-CN"/>
              </w:rPr>
              <w:t>The t</w:t>
            </w:r>
            <w:r>
              <w:rPr>
                <w:rFonts w:hint="default" w:ascii="Times New Roman" w:hAnsi="Times New Roman" w:eastAsia="黑体" w:cs="Times New Roman"/>
                <w:b w:val="0"/>
                <w:bCs w:val="0"/>
                <w:i w:val="0"/>
                <w:iCs w:val="0"/>
                <w:color w:val="auto"/>
                <w:sz w:val="24"/>
                <w:szCs w:val="24"/>
                <w:u w:val="none"/>
              </w:rPr>
              <w:t>otal cost of medical equipment purchase</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195902006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7736608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8630037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5259311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011984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5091793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5003069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9303277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7473574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2433248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755"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C-2 Price of similar equipment</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lang w:val="en-US" w:eastAsia="zh-CN"/>
              </w:rPr>
              <w:t>The p</w:t>
            </w:r>
            <w:r>
              <w:rPr>
                <w:rFonts w:hint="default" w:ascii="Times New Roman" w:hAnsi="Times New Roman" w:eastAsia="黑体" w:cs="Times New Roman"/>
                <w:b w:val="0"/>
                <w:bCs w:val="0"/>
                <w:i w:val="0"/>
                <w:iCs w:val="0"/>
                <w:color w:val="auto"/>
                <w:kern w:val="0"/>
                <w:sz w:val="24"/>
                <w:szCs w:val="24"/>
                <w:u w:val="none"/>
              </w:rPr>
              <w:t>rice level of the equipment compared with similar equipment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54259654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1171587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2805290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4603819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0982567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3677675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8444895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5692781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4705050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5986800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704"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C-3 Rate of installation and commissioning</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Percentage of equipment installation and commissioning cost in equipment base price</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15267868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4122670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1589791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5017262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9430270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5134829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00492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490285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322408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6435572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32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C-4 Maintenance rate</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Percentage of expenses for regular inspection, inspection, calibration, maintenance, and repair to ensure that large medical equipment is in good condition</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62565866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13799085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0591835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1761728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0376058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9272507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9998353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6079667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7567957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9040593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336"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C-5 Per capita cost of consumables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Average cost per person of various materials used for equipment inspection or treatment, including disposable materials, medical low-value consumables, office supplies, and sanitation</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1167265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9186096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1023902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0405709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6121614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7333433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9835849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3275266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4167135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986404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86"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C-6 Incremental investment in upgrading equipment</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Total cost increase caused by updating equipment functions and hardware</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4706950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981774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496929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5381152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5681739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6178317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9611043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7866443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0707607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0864055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916"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C-7 Decommissioning treatment fee</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Total disposal cost of scrapped old equipment for equipment replacement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8286370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1525987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9131517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0583057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9810176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064066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923854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2490979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22497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7089622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17"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C-8 Net Present Value</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Difference between the present value of future cash inflow and the present value of future cash flow of medical equipment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6381991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3283194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596407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8220086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28646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0061694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6943129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3859338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2567970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2519673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895"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C-9 Present value index</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The present value gross income obtained from the original investment of 1 yuan in medical equipment is used to reflect the investment efficiency</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5210031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8166346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8259485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0004811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5513928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11549787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3618957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9914517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4403287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4810150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42"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C-10 Average charge of equipment</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lang w:val="en-US" w:eastAsia="zh-CN"/>
              </w:rPr>
              <w:t>The r</w:t>
            </w:r>
            <w:r>
              <w:rPr>
                <w:rFonts w:hint="default" w:ascii="Times New Roman" w:hAnsi="Times New Roman" w:eastAsia="黑体" w:cs="Times New Roman"/>
                <w:b w:val="0"/>
                <w:bCs w:val="0"/>
                <w:i w:val="0"/>
                <w:iCs w:val="0"/>
                <w:color w:val="auto"/>
                <w:kern w:val="0"/>
                <w:sz w:val="24"/>
                <w:szCs w:val="24"/>
                <w:u w:val="none"/>
              </w:rPr>
              <w:t>atio of annual inspection fee income of medical equipment to annual inspection person time</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11897766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0658522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259034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5608948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5964206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7282609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9988436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5442814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5747829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7095104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rPr>
          <w:trHeight w:val="1546"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C-11 Payback period</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The time (years) required for the total income obtained after the investment project is put into operation to reach the total investment of the investment project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1804235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8786092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2109047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5775790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116666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3893675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987233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1304266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1928040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2244233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59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C-12 Internal rate of return</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The total present value of the future return of medical equipment is exactly equal to the discount rate when the original investment is made, which dynamically reflects the expected return rate of equipment investment, and is often used to predict long-term investment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1986629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6212534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834260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0704431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1540309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4287286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6751967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8311735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5306437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753441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128"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C-13 Annual profit margin</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 xml:space="preserve">Ratio of annual profit of medical equipment to </w:t>
            </w:r>
            <w:r>
              <w:rPr>
                <w:rFonts w:hint="default" w:ascii="Times New Roman" w:hAnsi="Times New Roman" w:eastAsia="黑体" w:cs="Times New Roman"/>
                <w:b w:val="0"/>
                <w:bCs w:val="0"/>
                <w:i w:val="0"/>
                <w:iCs w:val="0"/>
                <w:color w:val="auto"/>
                <w:kern w:val="0"/>
                <w:sz w:val="24"/>
                <w:szCs w:val="24"/>
                <w:u w:val="none"/>
                <w:lang w:val="en-US" w:eastAsia="zh-CN"/>
              </w:rPr>
              <w:t xml:space="preserve">the </w:t>
            </w:r>
            <w:r>
              <w:rPr>
                <w:rFonts w:hint="default" w:ascii="Times New Roman" w:hAnsi="Times New Roman" w:eastAsia="黑体" w:cs="Times New Roman"/>
                <w:b w:val="0"/>
                <w:bCs w:val="0"/>
                <w:i w:val="0"/>
                <w:iCs w:val="0"/>
                <w:color w:val="auto"/>
                <w:kern w:val="0"/>
                <w:sz w:val="24"/>
                <w:szCs w:val="24"/>
                <w:u w:val="none"/>
              </w:rPr>
              <w:t>annual operating income of equipment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6999305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8072872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6732384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2183140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8517444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8081180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9579550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5328343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6517049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0993116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897"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C-14 Margin of safety</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The safety margin refers to the difference between the existing workload and the sales volume at the critical point of profit and loss. The safety margin is the ratio of the safety margin to the existing workload. The higher the safety margin, the less likely the equipment will suffer losses</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8377909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8386673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0312704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1721581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382462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9381995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0003434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8706381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376126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012435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C-15 Net income from</w:t>
            </w:r>
            <w:r>
              <w:rPr>
                <w:rFonts w:hint="default" w:ascii="Times New Roman" w:hAnsi="Times New Roman" w:eastAsia="黑体" w:cs="Times New Roman"/>
                <w:b w:val="0"/>
                <w:bCs w:val="0"/>
                <w:i w:val="0"/>
                <w:iCs w:val="0"/>
                <w:color w:val="auto"/>
                <w:kern w:val="0"/>
                <w:sz w:val="24"/>
                <w:szCs w:val="24"/>
                <w:u w:val="none"/>
                <w:lang w:val="en-US" w:eastAsia="zh-CN"/>
              </w:rPr>
              <w:t xml:space="preserve"> the</w:t>
            </w:r>
            <w:r>
              <w:rPr>
                <w:rFonts w:hint="default" w:ascii="Times New Roman" w:hAnsi="Times New Roman" w:eastAsia="黑体" w:cs="Times New Roman"/>
                <w:b w:val="0"/>
                <w:bCs w:val="0"/>
                <w:i w:val="0"/>
                <w:iCs w:val="0"/>
                <w:color w:val="auto"/>
                <w:kern w:val="0"/>
                <w:sz w:val="24"/>
                <w:szCs w:val="24"/>
                <w:u w:val="none"/>
              </w:rPr>
              <w:t xml:space="preserve"> realization of residual value</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Sum of all values that can be recovered when the equipment is scrapped</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11124502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03218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5371785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1167876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1504736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0766309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5871185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664814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6146724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9316463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348"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The indicators you think "C economic value" needs to be added:</w:t>
            </w:r>
          </w:p>
        </w:tc>
        <w:tc>
          <w:tcPr>
            <w:tcW w:w="3455" w:type="pct"/>
            <w:gridSpan w:val="11"/>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425"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Indicators you think "C economic value" should be deleted:</w:t>
            </w:r>
          </w:p>
        </w:tc>
        <w:tc>
          <w:tcPr>
            <w:tcW w:w="3455" w:type="pct"/>
            <w:gridSpan w:val="11"/>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rPr>
          <w:trHeight w:val="836"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D Social value</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sz w:val="24"/>
                <w:szCs w:val="24"/>
                <w:u w:val="none"/>
              </w:rPr>
            </w:pP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D-1 Annual average number of subjects involved</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 xml:space="preserve">Annual average number of medical equipment participating in scientific research projects or topics above </w:t>
            </w:r>
            <w:r>
              <w:rPr>
                <w:rFonts w:hint="default" w:ascii="Times New Roman" w:hAnsi="Times New Roman" w:eastAsia="黑体" w:cs="Times New Roman"/>
                <w:b w:val="0"/>
                <w:bCs w:val="0"/>
                <w:i w:val="0"/>
                <w:iCs w:val="0"/>
                <w:color w:val="auto"/>
                <w:kern w:val="0"/>
                <w:sz w:val="24"/>
                <w:szCs w:val="24"/>
                <w:u w:val="none"/>
                <w:lang w:val="en-US" w:eastAsia="zh-CN"/>
              </w:rPr>
              <w:t xml:space="preserve">the </w:t>
            </w:r>
            <w:r>
              <w:rPr>
                <w:rFonts w:hint="default" w:ascii="Times New Roman" w:hAnsi="Times New Roman" w:eastAsia="黑体" w:cs="Times New Roman"/>
                <w:b w:val="0"/>
                <w:bCs w:val="0"/>
                <w:i w:val="0"/>
                <w:iCs w:val="0"/>
                <w:color w:val="auto"/>
                <w:kern w:val="0"/>
                <w:sz w:val="24"/>
                <w:szCs w:val="24"/>
                <w:u w:val="none"/>
              </w:rPr>
              <w:t>provincial level</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0058487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8432643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6566104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3872943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962874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0578040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8133633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8014224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0665482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3716334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D-2 Annual average number of published papers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lang w:val="en-US" w:eastAsia="zh-CN"/>
              </w:rPr>
              <w:t>The a</w:t>
            </w:r>
            <w:r>
              <w:rPr>
                <w:rFonts w:hint="default" w:ascii="Times New Roman" w:hAnsi="Times New Roman" w:eastAsia="黑体" w:cs="Times New Roman"/>
                <w:b w:val="0"/>
                <w:bCs w:val="0"/>
                <w:i w:val="0"/>
                <w:iCs w:val="0"/>
                <w:color w:val="auto"/>
                <w:kern w:val="0"/>
                <w:sz w:val="24"/>
                <w:szCs w:val="24"/>
                <w:u w:val="none"/>
              </w:rPr>
              <w:t>nnual average number of papers related to the equipment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082494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3183505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421579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1370188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161687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2213217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0713255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80299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6378066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5913361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D-3 Weekly average scientific research time</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The average weekly time of the equipment for scientific research</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810179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9893385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7514701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0848785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1572304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9063515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1013983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0860610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4226154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1583289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D-4 Course participation</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Annual total number of courses taught by medical equipment for undergraduates or above</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0711752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852842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5823561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3855052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4687103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414750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2546146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9133944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166577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6122215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D-5 Number of teaching students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It refers to how many students use this equipment to practice and learn</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6530617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862290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3934655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342604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509774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4853858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5368607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8443759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7580028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36281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D-6 Scientific research funds per capita</w:t>
            </w:r>
          </w:p>
        </w:tc>
        <w:tc>
          <w:tcPr>
            <w:tcW w:w="1020" w:type="pct"/>
            <w:tcBorders>
              <w:top w:val="single" w:color="000000" w:sz="4" w:space="0"/>
              <w:left w:val="single" w:color="000000" w:sz="4" w:space="0"/>
              <w:bottom w:val="single" w:color="000000" w:sz="4" w:space="0"/>
              <w:right w:val="single" w:color="000000" w:sz="4" w:space="0"/>
            </w:tcBorders>
            <w:vAlign w:val="center"/>
          </w:tcPr>
          <w:p>
            <w:pPr>
              <w:pStyle w:val="2"/>
              <w:rPr>
                <w:rFonts w:hint="default" w:ascii="Times New Roman" w:hAnsi="Times New Roman" w:eastAsia="黑体" w:cs="Times New Roman"/>
                <w:b w:val="0"/>
                <w:bCs w:val="0"/>
                <w:i w:val="0"/>
                <w:iCs w:val="0"/>
                <w:color w:val="auto"/>
                <w:kern w:val="0"/>
                <w:sz w:val="24"/>
                <w:szCs w:val="24"/>
                <w:u w:val="none"/>
              </w:rPr>
            </w:pPr>
          </w:p>
          <w:p>
            <w:pPr>
              <w:pStyle w:val="2"/>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Scientific research project funds per capita for medical personnel related to large medical equipment</w:t>
            </w:r>
          </w:p>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5096939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1119019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2748653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1684849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280747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9811954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0002775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7408510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2604567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685829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D-7 Rewards</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Whether the medical equipment has received relevant awards, such as science and technology or technology invention awards</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493819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7886969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413072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090478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8044986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9991405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7923049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281313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0915808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9622604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D-8 Department contribution</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Whether the equipment contributes to the performance improvement of the department</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61711051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0958649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8402562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6558438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2144681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638213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0873380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3003738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3885948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3780399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D-9 Optimize equipment configuration pattern</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Whether the introduction and use of medical equipment conform to the principle of ladder configuration, and whether the functions of the hospital's diagnosis and treatment equipment are more complete</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13181738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083281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7731018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9939503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2200718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4078058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70086048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0349871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55228458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5593433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D-10 Promotion of Informatization</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Whether the full cycle data can be entered into the hospital's equipment management information system</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5515901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3999333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1299205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0273333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1916923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495570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3534283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877755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6058172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2126877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D-11 Improvement of hospital social image</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Whether the medical equipment has improved the social reputation, image, and popularity of the hospital</w:t>
            </w: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4017889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2607604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3272999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1606590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600698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6524075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2982282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83354774"/>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8108381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3668862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The indicators you think "D social value" needs to be added:</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r>
        <w:tblPrEx>
          <w:tblCellMar>
            <w:top w:w="15" w:type="dxa"/>
            <w:left w:w="15" w:type="dxa"/>
            <w:bottom w:w="15" w:type="dxa"/>
            <w:right w:w="15" w:type="dxa"/>
          </w:tblCellMar>
        </w:tblPrEx>
        <w:trPr>
          <w:trHeight w:val="1083" w:hRule="atLeast"/>
          <w:jc w:val="center"/>
        </w:trPr>
        <w:tc>
          <w:tcPr>
            <w:tcW w:w="77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kern w:val="0"/>
                <w:sz w:val="24"/>
                <w:szCs w:val="24"/>
                <w:u w:val="none"/>
              </w:rPr>
              <w:t>Indicators you think "D social value" needs to be deleted:</w:t>
            </w:r>
          </w:p>
        </w:tc>
        <w:tc>
          <w:tcPr>
            <w:tcW w:w="1020"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eastAsia="黑体" w:cs="Times New Roman"/>
                <w:b w:val="0"/>
                <w:bCs w:val="0"/>
                <w:i w:val="0"/>
                <w:iCs w:val="0"/>
                <w:color w:val="auto"/>
                <w:kern w:val="0"/>
                <w:sz w:val="24"/>
                <w:szCs w:val="24"/>
                <w:u w:val="none"/>
              </w:rPr>
            </w:pPr>
          </w:p>
        </w:tc>
        <w:tc>
          <w:tcPr>
            <w:tcW w:w="209"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4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254"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p>
        </w:tc>
        <w:tc>
          <w:tcPr>
            <w:tcW w:w="766" w:type="pct"/>
            <w:tcBorders>
              <w:top w:val="single" w:color="000000" w:sz="4" w:space="0"/>
              <w:left w:val="single" w:color="000000" w:sz="4" w:space="0"/>
              <w:bottom w:val="single" w:color="000000" w:sz="4" w:space="0"/>
              <w:right w:val="single" w:color="000000" w:sz="4" w:space="0"/>
            </w:tcBorders>
            <w:vAlign w:val="center"/>
          </w:tcPr>
          <w:p>
            <w:pPr>
              <w:rPr>
                <w:rFonts w:hint="default" w:ascii="Times New Roman" w:hAnsi="Times New Roman" w:eastAsia="黑体" w:cs="Times New Roman"/>
                <w:b w:val="0"/>
                <w:bCs w:val="0"/>
                <w:i w:val="0"/>
                <w:iCs w:val="0"/>
                <w:color w:val="auto"/>
                <w:sz w:val="24"/>
                <w:szCs w:val="24"/>
                <w:u w:val="none"/>
              </w:rPr>
            </w:pPr>
          </w:p>
        </w:tc>
      </w:tr>
    </w:tbl>
    <w:p>
      <w:pPr>
        <w:rPr>
          <w:rFonts w:hint="default" w:ascii="Times New Roman" w:hAnsi="Times New Roman" w:cs="Times New Roman"/>
          <w:b w:val="0"/>
          <w:bCs w:val="0"/>
          <w:i w:val="0"/>
          <w:iCs w:val="0"/>
          <w:color w:val="auto"/>
          <w:sz w:val="24"/>
          <w:szCs w:val="24"/>
          <w:u w:val="none"/>
        </w:rPr>
      </w:pPr>
    </w:p>
    <w:p>
      <w:pPr>
        <w:widowControl w:val="0"/>
        <w:numPr>
          <w:ilvl w:val="0"/>
          <w:numId w:val="0"/>
        </w:numPr>
        <w:jc w:val="left"/>
        <w:rPr>
          <w:rFonts w:hint="default" w:ascii="Times New Roman" w:hAnsi="Times New Roman" w:eastAsia="黑体" w:cs="Times New Roman"/>
          <w:b w:val="0"/>
          <w:bCs w:val="0"/>
          <w:i w:val="0"/>
          <w:iCs w:val="0"/>
          <w:color w:val="auto"/>
          <w:sz w:val="24"/>
          <w:szCs w:val="24"/>
          <w:u w:val="none"/>
        </w:rPr>
      </w:pPr>
    </w:p>
    <w:p>
      <w:pPr>
        <w:widowControl w:val="0"/>
        <w:numPr>
          <w:ilvl w:val="0"/>
          <w:numId w:val="0"/>
        </w:numPr>
        <w:jc w:val="left"/>
        <w:rPr>
          <w:rFonts w:hint="default" w:ascii="Times New Roman" w:hAnsi="Times New Roman" w:eastAsia="黑体" w:cs="Times New Roman"/>
          <w:b w:val="0"/>
          <w:bCs w:val="0"/>
          <w:i w:val="0"/>
          <w:iCs w:val="0"/>
          <w:color w:val="auto"/>
          <w:sz w:val="24"/>
          <w:szCs w:val="24"/>
          <w:u w:val="none"/>
        </w:rPr>
      </w:pPr>
    </w:p>
    <w:p>
      <w:pPr>
        <w:numPr>
          <w:ilvl w:val="0"/>
          <w:numId w:val="2"/>
        </w:numPr>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Dimension Importance Evaluation Table</w:t>
      </w:r>
    </w:p>
    <w:p>
      <w:pP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(The scoring standard of dimension importance evaluation is 1-5 points, 5=very important, 4=relatively important, 3=generally important, 2=not very important, 1=not important; please tick √ in the corresponding score</w:t>
      </w:r>
    </w:p>
    <w:p>
      <w:pP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(or corresponding points marked with red)</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6"/>
        <w:gridCol w:w="2356"/>
        <w:gridCol w:w="2356"/>
        <w:gridCol w:w="2356"/>
        <w:gridCol w:w="2357"/>
        <w:gridCol w:w="2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2356" w:type="dxa"/>
          </w:tcPr>
          <w:p>
            <w:pPr>
              <w:snapToGrid w:val="0"/>
              <w:jc w:val="center"/>
              <w:rPr>
                <w:rFonts w:hint="default" w:ascii="Times New Roman" w:hAnsi="Times New Roman" w:cs="Times New Roman"/>
                <w:b w:val="0"/>
                <w:bCs w:val="0"/>
                <w:i w:val="0"/>
                <w:iCs w:val="0"/>
                <w:color w:val="auto"/>
                <w:sz w:val="24"/>
                <w:szCs w:val="24"/>
                <w:u w:val="none"/>
              </w:rPr>
            </w:pPr>
          </w:p>
          <w:p>
            <w:pPr>
              <w:snapToGrid w:val="0"/>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dimension</w:t>
            </w:r>
          </w:p>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Score</w:t>
            </w:r>
          </w:p>
        </w:tc>
        <w:tc>
          <w:tcPr>
            <w:tcW w:w="2356" w:type="dxa"/>
          </w:tcPr>
          <w:p>
            <w:pPr>
              <w:jc w:val="center"/>
              <w:rPr>
                <w:rFonts w:hint="default" w:ascii="Times New Roman" w:hAnsi="Times New Roman" w:cs="Times New Roman"/>
                <w:b w:val="0"/>
                <w:bCs w:val="0"/>
                <w:i w:val="0"/>
                <w:iCs w:val="0"/>
                <w:color w:val="auto"/>
                <w:sz w:val="24"/>
                <w:szCs w:val="24"/>
                <w:u w:val="none"/>
              </w:rPr>
            </w:pPr>
          </w:p>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very important</w:t>
            </w:r>
          </w:p>
        </w:tc>
        <w:tc>
          <w:tcPr>
            <w:tcW w:w="2356" w:type="dxa"/>
          </w:tcPr>
          <w:p>
            <w:pPr>
              <w:jc w:val="center"/>
              <w:rPr>
                <w:rFonts w:hint="default" w:ascii="Times New Roman" w:hAnsi="Times New Roman" w:cs="Times New Roman"/>
                <w:b w:val="0"/>
                <w:bCs w:val="0"/>
                <w:i w:val="0"/>
                <w:iCs w:val="0"/>
                <w:color w:val="auto"/>
                <w:sz w:val="24"/>
                <w:szCs w:val="24"/>
                <w:u w:val="none"/>
              </w:rPr>
            </w:pPr>
          </w:p>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More important</w:t>
            </w:r>
          </w:p>
        </w:tc>
        <w:tc>
          <w:tcPr>
            <w:tcW w:w="2356" w:type="dxa"/>
          </w:tcPr>
          <w:p>
            <w:pPr>
              <w:jc w:val="center"/>
              <w:rPr>
                <w:rFonts w:hint="default" w:ascii="Times New Roman" w:hAnsi="Times New Roman" w:cs="Times New Roman"/>
                <w:b w:val="0"/>
                <w:bCs w:val="0"/>
                <w:i w:val="0"/>
                <w:iCs w:val="0"/>
                <w:color w:val="auto"/>
                <w:sz w:val="24"/>
                <w:szCs w:val="24"/>
                <w:u w:val="none"/>
              </w:rPr>
            </w:pPr>
          </w:p>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Generally important</w:t>
            </w:r>
          </w:p>
        </w:tc>
        <w:tc>
          <w:tcPr>
            <w:tcW w:w="2357" w:type="dxa"/>
          </w:tcPr>
          <w:p>
            <w:pPr>
              <w:jc w:val="center"/>
              <w:rPr>
                <w:rFonts w:hint="default" w:ascii="Times New Roman" w:hAnsi="Times New Roman" w:cs="Times New Roman"/>
                <w:b w:val="0"/>
                <w:bCs w:val="0"/>
                <w:i w:val="0"/>
                <w:iCs w:val="0"/>
                <w:color w:val="auto"/>
                <w:sz w:val="24"/>
                <w:szCs w:val="24"/>
                <w:u w:val="none"/>
              </w:rPr>
            </w:pPr>
          </w:p>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Not very important</w:t>
            </w:r>
          </w:p>
        </w:tc>
        <w:tc>
          <w:tcPr>
            <w:tcW w:w="2357" w:type="dxa"/>
          </w:tcPr>
          <w:p>
            <w:pPr>
              <w:jc w:val="center"/>
              <w:rPr>
                <w:rFonts w:hint="default" w:ascii="Times New Roman" w:hAnsi="Times New Roman" w:cs="Times New Roman"/>
                <w:b w:val="0"/>
                <w:bCs w:val="0"/>
                <w:i w:val="0"/>
                <w:iCs w:val="0"/>
                <w:color w:val="auto"/>
                <w:sz w:val="24"/>
                <w:szCs w:val="24"/>
                <w:u w:val="none"/>
              </w:rPr>
            </w:pPr>
          </w:p>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unimportance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356" w:type="dxa"/>
          </w:tcPr>
          <w:p>
            <w:pPr>
              <w:jc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Project value</w:t>
            </w:r>
          </w:p>
        </w:tc>
        <w:tc>
          <w:tcPr>
            <w:tcW w:w="2356"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8467328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eastAsia="宋体" w:cs="Times New Roman"/>
                    <w:b w:val="0"/>
                    <w:bCs w:val="0"/>
                    <w:i w:val="0"/>
                    <w:iCs w:val="0"/>
                    <w:color w:val="auto"/>
                    <w:kern w:val="2"/>
                    <w:sz w:val="24"/>
                    <w:szCs w:val="24"/>
                    <w:u w:val="none"/>
                    <w:lang w:val="en-US" w:eastAsia="zh-CN" w:bidi="ar-SA"/>
                  </w:rPr>
                  <w:t>☐</w:t>
                </w:r>
              </w:sdtContent>
            </w:sdt>
            <w:r>
              <w:rPr>
                <w:rFonts w:hint="default" w:ascii="Times New Roman" w:hAnsi="Times New Roman" w:eastAsia="黑体" w:cs="Times New Roman"/>
                <w:b w:val="0"/>
                <w:bCs w:val="0"/>
                <w:i w:val="0"/>
                <w:iCs w:val="0"/>
                <w:color w:val="auto"/>
                <w:sz w:val="24"/>
                <w:szCs w:val="24"/>
                <w:u w:val="none"/>
              </w:rPr>
              <w:t>5</w:t>
            </w:r>
          </w:p>
        </w:tc>
        <w:tc>
          <w:tcPr>
            <w:tcW w:w="2356"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82809397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356"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8536787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357"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38183072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357"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3027190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356" w:type="dxa"/>
          </w:tcPr>
          <w:p>
            <w:pPr>
              <w:jc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Clinical value</w:t>
            </w:r>
          </w:p>
        </w:tc>
        <w:tc>
          <w:tcPr>
            <w:tcW w:w="2356"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91621564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356"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0487854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356"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85117067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357"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2815704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357"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5990492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356" w:type="dxa"/>
          </w:tcPr>
          <w:p>
            <w:pPr>
              <w:jc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economic value</w:t>
            </w:r>
          </w:p>
        </w:tc>
        <w:tc>
          <w:tcPr>
            <w:tcW w:w="2356"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3762688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356"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69013921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356"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21304605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357"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3760849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357"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40449760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356" w:type="dxa"/>
          </w:tcPr>
          <w:p>
            <w:pPr>
              <w:jc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social value</w:t>
            </w:r>
          </w:p>
        </w:tc>
        <w:tc>
          <w:tcPr>
            <w:tcW w:w="2356"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2205945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5</w:t>
            </w:r>
          </w:p>
        </w:tc>
        <w:tc>
          <w:tcPr>
            <w:tcW w:w="2356"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76376557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4</w:t>
            </w:r>
          </w:p>
        </w:tc>
        <w:tc>
          <w:tcPr>
            <w:tcW w:w="2356"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91577726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2357"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376080649"/>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2357" w:type="dxa"/>
            <w:vAlign w:val="center"/>
          </w:tcPr>
          <w:p>
            <w:pPr>
              <w:widowControl/>
              <w:jc w:val="center"/>
              <w:textAlignment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04341182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r>
    </w:tbl>
    <w:p>
      <w:pPr>
        <w:jc w:val="left"/>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4、 Dimension Weight Evaluation Table</w:t>
      </w:r>
    </w:p>
    <w:tbl>
      <w:tblPr>
        <w:tblStyle w:val="4"/>
        <w:tblW w:w="14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0"/>
        <w:gridCol w:w="3556"/>
        <w:gridCol w:w="3511"/>
        <w:gridCol w:w="3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4220" w:type="dxa"/>
            <w:gridSpan w:val="4"/>
          </w:tcPr>
          <w:p>
            <w:pPr>
              <w:jc w:val="center"/>
              <w:rPr>
                <w:rFonts w:hint="default" w:ascii="Times New Roman" w:hAnsi="Times New Roman" w:eastAsia="黑体" w:cs="Times New Roman"/>
                <w:b w:val="0"/>
                <w:bCs w:val="0"/>
                <w:i w:val="0"/>
                <w:iCs w:val="0"/>
                <w:color w:val="auto"/>
                <w:sz w:val="24"/>
                <w:szCs w:val="24"/>
                <w:u w:val="none"/>
              </w:rPr>
            </w:pPr>
          </w:p>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The total dimension weight is 100% (please score the weight for each dimension)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540" w:type="dxa"/>
            <w:vAlign w:val="top"/>
          </w:tcPr>
          <w:p>
            <w:pPr>
              <w:jc w:val="center"/>
              <w:rPr>
                <w:rFonts w:hint="default" w:ascii="Times New Roman" w:hAnsi="Times New Roman" w:cs="Times New Roman"/>
                <w:b w:val="0"/>
                <w:bCs w:val="0"/>
                <w:i w:val="0"/>
                <w:iCs w:val="0"/>
                <w:color w:val="auto"/>
                <w:kern w:val="0"/>
                <w:sz w:val="24"/>
                <w:szCs w:val="24"/>
                <w:u w:val="none"/>
              </w:rPr>
            </w:pPr>
          </w:p>
          <w:p>
            <w:pPr>
              <w:jc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cs="Times New Roman"/>
                <w:b w:val="0"/>
                <w:bCs w:val="0"/>
                <w:i w:val="0"/>
                <w:iCs w:val="0"/>
                <w:color w:val="auto"/>
                <w:kern w:val="0"/>
                <w:sz w:val="24"/>
                <w:szCs w:val="24"/>
                <w:u w:val="none"/>
              </w:rPr>
              <w:t>A% of engineering value</w:t>
            </w:r>
          </w:p>
        </w:tc>
        <w:tc>
          <w:tcPr>
            <w:tcW w:w="3556" w:type="dxa"/>
            <w:vAlign w:val="top"/>
          </w:tcPr>
          <w:p>
            <w:pPr>
              <w:jc w:val="center"/>
              <w:rPr>
                <w:rFonts w:hint="default" w:ascii="Times New Roman" w:hAnsi="Times New Roman" w:cs="Times New Roman"/>
                <w:b w:val="0"/>
                <w:bCs w:val="0"/>
                <w:i w:val="0"/>
                <w:iCs w:val="0"/>
                <w:color w:val="auto"/>
                <w:kern w:val="0"/>
                <w:sz w:val="24"/>
                <w:szCs w:val="24"/>
                <w:u w:val="none"/>
              </w:rPr>
            </w:pPr>
          </w:p>
          <w:p>
            <w:pPr>
              <w:jc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cs="Times New Roman"/>
                <w:b w:val="0"/>
                <w:bCs w:val="0"/>
                <w:i w:val="0"/>
                <w:iCs w:val="0"/>
                <w:color w:val="auto"/>
                <w:kern w:val="0"/>
                <w:sz w:val="24"/>
                <w:szCs w:val="24"/>
                <w:u w:val="none"/>
              </w:rPr>
              <w:t>B% clinical value</w:t>
            </w:r>
          </w:p>
        </w:tc>
        <w:tc>
          <w:tcPr>
            <w:tcW w:w="3511" w:type="dxa"/>
            <w:vAlign w:val="top"/>
          </w:tcPr>
          <w:p>
            <w:pPr>
              <w:jc w:val="center"/>
              <w:rPr>
                <w:rFonts w:hint="default" w:ascii="Times New Roman" w:hAnsi="Times New Roman" w:cs="Times New Roman"/>
                <w:b w:val="0"/>
                <w:bCs w:val="0"/>
                <w:i w:val="0"/>
                <w:iCs w:val="0"/>
                <w:color w:val="auto"/>
                <w:sz w:val="24"/>
                <w:szCs w:val="24"/>
                <w:u w:val="none"/>
              </w:rPr>
            </w:pPr>
          </w:p>
          <w:p>
            <w:pPr>
              <w:jc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cs="Times New Roman"/>
                <w:b w:val="0"/>
                <w:bCs w:val="0"/>
                <w:i w:val="0"/>
                <w:iCs w:val="0"/>
                <w:color w:val="auto"/>
                <w:sz w:val="24"/>
                <w:szCs w:val="24"/>
                <w:u w:val="none"/>
                <w:lang w:val="en-US" w:eastAsia="zh-CN"/>
              </w:rPr>
              <w:t>C% economic value</w:t>
            </w:r>
          </w:p>
        </w:tc>
        <w:tc>
          <w:tcPr>
            <w:tcW w:w="3613" w:type="dxa"/>
            <w:vAlign w:val="top"/>
          </w:tcPr>
          <w:p>
            <w:pPr>
              <w:jc w:val="center"/>
              <w:rPr>
                <w:rFonts w:hint="default" w:ascii="Times New Roman" w:hAnsi="Times New Roman" w:cs="Times New Roman"/>
                <w:b w:val="0"/>
                <w:bCs w:val="0"/>
                <w:i w:val="0"/>
                <w:iCs w:val="0"/>
                <w:color w:val="auto"/>
                <w:sz w:val="24"/>
                <w:szCs w:val="24"/>
                <w:u w:val="none"/>
              </w:rPr>
            </w:pPr>
          </w:p>
          <w:p>
            <w:pPr>
              <w:jc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cs="Times New Roman"/>
                <w:b w:val="0"/>
                <w:bCs w:val="0"/>
                <w:i w:val="0"/>
                <w:iCs w:val="0"/>
                <w:color w:val="auto"/>
                <w:sz w:val="24"/>
                <w:szCs w:val="24"/>
                <w:u w:val="none"/>
                <w:lang w:val="en-US" w:eastAsia="zh-CN"/>
              </w:rPr>
              <w:t>D social value%</w:t>
            </w:r>
          </w:p>
        </w:tc>
      </w:tr>
    </w:tbl>
    <w:p>
      <w:pP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5、 Expert Judgment Basis Table</w:t>
      </w:r>
    </w:p>
    <w:tbl>
      <w:tblPr>
        <w:tblStyle w:val="4"/>
        <w:tblW w:w="14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846"/>
        <w:gridCol w:w="869"/>
        <w:gridCol w:w="950"/>
        <w:gridCol w:w="859"/>
        <w:gridCol w:w="847"/>
        <w:gridCol w:w="869"/>
        <w:gridCol w:w="950"/>
        <w:gridCol w:w="859"/>
        <w:gridCol w:w="847"/>
        <w:gridCol w:w="869"/>
        <w:gridCol w:w="950"/>
        <w:gridCol w:w="859"/>
        <w:gridCol w:w="847"/>
        <w:gridCol w:w="869"/>
        <w:gridCol w:w="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523" w:type="dxa"/>
            <w:gridSpan w:val="4"/>
          </w:tcPr>
          <w:p>
            <w:pPr>
              <w:jc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Theoretical basis</w:t>
            </w:r>
          </w:p>
        </w:tc>
        <w:tc>
          <w:tcPr>
            <w:tcW w:w="3525" w:type="dxa"/>
            <w:gridSpan w:val="4"/>
          </w:tcPr>
          <w:p>
            <w:pPr>
              <w:jc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practical experience</w:t>
            </w:r>
          </w:p>
        </w:tc>
        <w:tc>
          <w:tcPr>
            <w:tcW w:w="3525" w:type="dxa"/>
            <w:gridSpan w:val="4"/>
          </w:tcPr>
          <w:p>
            <w:pPr>
              <w:jc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Peer understanding</w:t>
            </w:r>
          </w:p>
        </w:tc>
        <w:tc>
          <w:tcPr>
            <w:tcW w:w="3525" w:type="dxa"/>
            <w:gridSpan w:val="4"/>
          </w:tcPr>
          <w:p>
            <w:pPr>
              <w:jc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Intuitive feeling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79" w:type="dxa"/>
            <w:vAlign w:val="center"/>
          </w:tcPr>
          <w:p>
            <w:pPr>
              <w:jc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large</w:t>
            </w:r>
          </w:p>
        </w:tc>
        <w:tc>
          <w:tcPr>
            <w:tcW w:w="879" w:type="dxa"/>
            <w:vAlign w:val="center"/>
          </w:tcPr>
          <w:p>
            <w:pPr>
              <w:jc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in</w:t>
            </w:r>
          </w:p>
        </w:tc>
        <w:tc>
          <w:tcPr>
            <w:tcW w:w="880" w:type="dxa"/>
            <w:vAlign w:val="center"/>
          </w:tcPr>
          <w:p>
            <w:pPr>
              <w:jc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Small</w:t>
            </w:r>
          </w:p>
        </w:tc>
        <w:tc>
          <w:tcPr>
            <w:tcW w:w="885" w:type="dxa"/>
            <w:vAlign w:val="center"/>
          </w:tcPr>
          <w:p>
            <w:pPr>
              <w:jc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nothing</w:t>
            </w:r>
          </w:p>
        </w:tc>
        <w:tc>
          <w:tcPr>
            <w:tcW w:w="880" w:type="dxa"/>
            <w:vAlign w:val="center"/>
          </w:tcPr>
          <w:p>
            <w:pPr>
              <w:jc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large</w:t>
            </w:r>
          </w:p>
        </w:tc>
        <w:tc>
          <w:tcPr>
            <w:tcW w:w="880" w:type="dxa"/>
            <w:vAlign w:val="center"/>
          </w:tcPr>
          <w:p>
            <w:pPr>
              <w:jc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in</w:t>
            </w:r>
          </w:p>
        </w:tc>
        <w:tc>
          <w:tcPr>
            <w:tcW w:w="880" w:type="dxa"/>
            <w:vAlign w:val="center"/>
          </w:tcPr>
          <w:p>
            <w:pPr>
              <w:jc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Small</w:t>
            </w:r>
          </w:p>
        </w:tc>
        <w:tc>
          <w:tcPr>
            <w:tcW w:w="885" w:type="dxa"/>
            <w:vAlign w:val="center"/>
          </w:tcPr>
          <w:p>
            <w:pPr>
              <w:jc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nothing</w:t>
            </w:r>
          </w:p>
        </w:tc>
        <w:tc>
          <w:tcPr>
            <w:tcW w:w="880" w:type="dxa"/>
            <w:vAlign w:val="center"/>
          </w:tcPr>
          <w:p>
            <w:pPr>
              <w:jc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large</w:t>
            </w:r>
          </w:p>
        </w:tc>
        <w:tc>
          <w:tcPr>
            <w:tcW w:w="880" w:type="dxa"/>
            <w:vAlign w:val="center"/>
          </w:tcPr>
          <w:p>
            <w:pPr>
              <w:jc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in</w:t>
            </w:r>
          </w:p>
        </w:tc>
        <w:tc>
          <w:tcPr>
            <w:tcW w:w="880" w:type="dxa"/>
            <w:vAlign w:val="center"/>
          </w:tcPr>
          <w:p>
            <w:pPr>
              <w:jc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Small</w:t>
            </w:r>
          </w:p>
        </w:tc>
        <w:tc>
          <w:tcPr>
            <w:tcW w:w="885" w:type="dxa"/>
            <w:vAlign w:val="center"/>
          </w:tcPr>
          <w:p>
            <w:pPr>
              <w:jc w:val="center"/>
              <w:rPr>
                <w:rFonts w:hint="default" w:ascii="Times New Roman" w:hAnsi="Times New Roman" w:eastAsia="黑体" w:cs="Times New Roman"/>
                <w:b w:val="0"/>
                <w:bCs w:val="0"/>
                <w:i w:val="0"/>
                <w:iCs w:val="0"/>
                <w:color w:val="auto"/>
                <w:kern w:val="0"/>
                <w:sz w:val="24"/>
                <w:szCs w:val="24"/>
                <w:u w:val="none"/>
              </w:rPr>
            </w:pPr>
            <w:r>
              <w:rPr>
                <w:rFonts w:hint="default" w:ascii="Times New Roman" w:hAnsi="Times New Roman" w:eastAsia="黑体" w:cs="Times New Roman"/>
                <w:b w:val="0"/>
                <w:bCs w:val="0"/>
                <w:i w:val="0"/>
                <w:iCs w:val="0"/>
                <w:color w:val="auto"/>
                <w:sz w:val="24"/>
                <w:szCs w:val="24"/>
                <w:u w:val="none"/>
              </w:rPr>
              <w:t>nothing</w:t>
            </w:r>
          </w:p>
        </w:tc>
        <w:tc>
          <w:tcPr>
            <w:tcW w:w="880" w:type="dxa"/>
            <w:vAlign w:val="center"/>
          </w:tcPr>
          <w:p>
            <w:pPr>
              <w:jc w:val="center"/>
              <w:rPr>
                <w:rFonts w:hint="default" w:ascii="Times New Roman" w:hAnsi="Times New Roman" w:eastAsia="黑体"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large</w:t>
            </w:r>
          </w:p>
        </w:tc>
        <w:tc>
          <w:tcPr>
            <w:tcW w:w="880" w:type="dxa"/>
            <w:vAlign w:val="center"/>
          </w:tcPr>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in</w:t>
            </w:r>
          </w:p>
        </w:tc>
        <w:tc>
          <w:tcPr>
            <w:tcW w:w="880" w:type="dxa"/>
            <w:vAlign w:val="center"/>
          </w:tcPr>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Small</w:t>
            </w:r>
          </w:p>
        </w:tc>
        <w:tc>
          <w:tcPr>
            <w:tcW w:w="885" w:type="dxa"/>
            <w:vAlign w:val="center"/>
          </w:tcPr>
          <w:p>
            <w:pPr>
              <w:jc w:val="center"/>
              <w:rPr>
                <w:rFonts w:hint="default" w:ascii="Times New Roman" w:hAnsi="Times New Roman" w:cs="Times New Roman"/>
                <w:b w:val="0"/>
                <w:bCs w:val="0"/>
                <w:i w:val="0"/>
                <w:iCs w:val="0"/>
                <w:color w:val="auto"/>
                <w:sz w:val="24"/>
                <w:szCs w:val="24"/>
                <w:u w:val="none"/>
              </w:rPr>
            </w:pPr>
            <w:r>
              <w:rPr>
                <w:rFonts w:hint="default" w:ascii="Times New Roman" w:hAnsi="Times New Roman" w:eastAsia="黑体" w:cs="Times New Roman"/>
                <w:b w:val="0"/>
                <w:bCs w:val="0"/>
                <w:i w:val="0"/>
                <w:iCs w:val="0"/>
                <w:color w:val="auto"/>
                <w:sz w:val="24"/>
                <w:szCs w:val="24"/>
                <w:u w:val="none"/>
              </w:rPr>
              <w:t>nothing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79" w:type="dxa"/>
            <w:vAlign w:val="center"/>
          </w:tcPr>
          <w:p>
            <w:pPr>
              <w:jc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54488446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879" w:type="dxa"/>
            <w:vAlign w:val="center"/>
          </w:tcPr>
          <w:p>
            <w:pPr>
              <w:jc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131082688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880" w:type="dxa"/>
            <w:vAlign w:val="center"/>
          </w:tcPr>
          <w:p>
            <w:pPr>
              <w:jc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48177801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885" w:type="dxa"/>
            <w:vAlign w:val="center"/>
          </w:tcPr>
          <w:p>
            <w:pPr>
              <w:jc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1477366797"/>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0</w:t>
            </w:r>
          </w:p>
        </w:tc>
        <w:tc>
          <w:tcPr>
            <w:tcW w:w="880" w:type="dxa"/>
            <w:vAlign w:val="center"/>
          </w:tcPr>
          <w:p>
            <w:pPr>
              <w:jc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124599245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880" w:type="dxa"/>
            <w:vAlign w:val="center"/>
          </w:tcPr>
          <w:p>
            <w:pPr>
              <w:jc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55616192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880" w:type="dxa"/>
            <w:vAlign w:val="center"/>
          </w:tcPr>
          <w:p>
            <w:pPr>
              <w:jc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896555845"/>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885" w:type="dxa"/>
            <w:vAlign w:val="center"/>
          </w:tcPr>
          <w:p>
            <w:pPr>
              <w:jc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923720386"/>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0</w:t>
            </w:r>
          </w:p>
        </w:tc>
        <w:tc>
          <w:tcPr>
            <w:tcW w:w="880" w:type="dxa"/>
            <w:vAlign w:val="center"/>
          </w:tcPr>
          <w:p>
            <w:pPr>
              <w:jc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7818819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880" w:type="dxa"/>
            <w:vAlign w:val="center"/>
          </w:tcPr>
          <w:p>
            <w:pPr>
              <w:jc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118192822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880" w:type="dxa"/>
            <w:vAlign w:val="center"/>
          </w:tcPr>
          <w:p>
            <w:pPr>
              <w:jc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1707219138"/>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885" w:type="dxa"/>
            <w:vAlign w:val="center"/>
          </w:tcPr>
          <w:p>
            <w:pPr>
              <w:jc w:val="center"/>
              <w:rPr>
                <w:rFonts w:hint="default" w:ascii="Times New Roman" w:hAnsi="Times New Roman" w:eastAsia="黑体" w:cs="Times New Roman"/>
                <w:b w:val="0"/>
                <w:bCs w:val="0"/>
                <w:i w:val="0"/>
                <w:iCs w:val="0"/>
                <w:color w:val="auto"/>
                <w:kern w:val="0"/>
                <w:sz w:val="24"/>
                <w:szCs w:val="24"/>
                <w:u w:val="none"/>
              </w:rPr>
            </w:pPr>
            <w:sdt>
              <w:sdtPr>
                <w:rPr>
                  <w:rFonts w:hint="default" w:ascii="Times New Roman" w:hAnsi="Times New Roman" w:eastAsia="黑体" w:cs="Times New Roman"/>
                  <w:b w:val="0"/>
                  <w:bCs w:val="0"/>
                  <w:i w:val="0"/>
                  <w:iCs w:val="0"/>
                  <w:color w:val="auto"/>
                  <w:sz w:val="24"/>
                  <w:szCs w:val="24"/>
                  <w:u w:val="none"/>
                </w:rPr>
                <w:id w:val="606388642"/>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0</w:t>
            </w:r>
          </w:p>
        </w:tc>
        <w:tc>
          <w:tcPr>
            <w:tcW w:w="880" w:type="dxa"/>
            <w:vAlign w:val="center"/>
          </w:tcPr>
          <w:p>
            <w:pPr>
              <w:jc w:val="center"/>
              <w:rPr>
                <w:rFonts w:hint="default" w:ascii="Times New Roman" w:hAnsi="Times New Roman" w:eastAsia="黑体"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110964183"/>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3</w:t>
            </w:r>
          </w:p>
        </w:tc>
        <w:tc>
          <w:tcPr>
            <w:tcW w:w="880" w:type="dxa"/>
            <w:vAlign w:val="center"/>
          </w:tcPr>
          <w:p>
            <w:pPr>
              <w:jc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586726671"/>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2</w:t>
            </w:r>
          </w:p>
        </w:tc>
        <w:tc>
          <w:tcPr>
            <w:tcW w:w="880" w:type="dxa"/>
            <w:vAlign w:val="center"/>
          </w:tcPr>
          <w:p>
            <w:pPr>
              <w:jc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43095704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1</w:t>
            </w:r>
          </w:p>
        </w:tc>
        <w:tc>
          <w:tcPr>
            <w:tcW w:w="885" w:type="dxa"/>
            <w:vAlign w:val="center"/>
          </w:tcPr>
          <w:p>
            <w:pPr>
              <w:jc w:val="center"/>
              <w:rPr>
                <w:rFonts w:hint="default" w:ascii="Times New Roman" w:hAnsi="Times New Roman" w:cs="Times New Roman"/>
                <w:b w:val="0"/>
                <w:bCs w:val="0"/>
                <w:i w:val="0"/>
                <w:iCs w:val="0"/>
                <w:color w:val="auto"/>
                <w:sz w:val="24"/>
                <w:szCs w:val="24"/>
                <w:u w:val="none"/>
              </w:rPr>
            </w:pPr>
            <w:sdt>
              <w:sdtPr>
                <w:rPr>
                  <w:rFonts w:hint="default" w:ascii="Times New Roman" w:hAnsi="Times New Roman" w:eastAsia="黑体" w:cs="Times New Roman"/>
                  <w:b w:val="0"/>
                  <w:bCs w:val="0"/>
                  <w:i w:val="0"/>
                  <w:iCs w:val="0"/>
                  <w:color w:val="auto"/>
                  <w:sz w:val="24"/>
                  <w:szCs w:val="24"/>
                  <w:u w:val="none"/>
                </w:rPr>
                <w:id w:val="1227569740"/>
                <w14:checkbox>
                  <w14:checked w14:val="0"/>
                  <w14:checkedState w14:val="0052" w14:font="Wingdings 2"/>
                  <w14:uncheckedState w14:val="2610" w14:font="MS Gothic"/>
                </w14:checkbox>
              </w:sdtPr>
              <w:sdtEndPr>
                <w:rPr>
                  <w:rFonts w:hint="default" w:ascii="Times New Roman" w:hAnsi="Times New Roman" w:eastAsia="黑体" w:cs="Times New Roman"/>
                  <w:b w:val="0"/>
                  <w:bCs w:val="0"/>
                  <w:i w:val="0"/>
                  <w:iCs w:val="0"/>
                  <w:color w:val="auto"/>
                  <w:sz w:val="24"/>
                  <w:szCs w:val="24"/>
                  <w:u w:val="none"/>
                </w:rPr>
              </w:sdtEndPr>
              <w:sdtContent>
                <w:r>
                  <w:rPr>
                    <w:rFonts w:hint="default" w:ascii="Times New Roman" w:hAnsi="Times New Roman" w:cs="Times New Roman"/>
                    <w:b w:val="0"/>
                    <w:bCs w:val="0"/>
                    <w:i w:val="0"/>
                    <w:iCs w:val="0"/>
                    <w:color w:val="auto"/>
                    <w:sz w:val="24"/>
                    <w:szCs w:val="24"/>
                    <w:u w:val="none"/>
                  </w:rPr>
                  <w:t>☐</w:t>
                </w:r>
              </w:sdtContent>
            </w:sdt>
            <w:r>
              <w:rPr>
                <w:rFonts w:hint="default" w:ascii="Times New Roman" w:hAnsi="Times New Roman" w:eastAsia="黑体" w:cs="Times New Roman"/>
                <w:b w:val="0"/>
                <w:bCs w:val="0"/>
                <w:i w:val="0"/>
                <w:iCs w:val="0"/>
                <w:color w:val="auto"/>
                <w:sz w:val="24"/>
                <w:szCs w:val="24"/>
                <w:u w:val="none"/>
              </w:rPr>
              <w:t>0</w:t>
            </w:r>
          </w:p>
        </w:tc>
      </w:tr>
    </w:tbl>
    <w:p>
      <w:pP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(Please make a choice on the basis of your evaluation of the above indicators, and tick √ (or mark the corresponding score in red) at the appropriate number in each column.)</w:t>
      </w:r>
    </w:p>
    <w:p>
      <w:pPr>
        <w:rPr>
          <w:rFonts w:hint="default" w:ascii="Times New Roman" w:hAnsi="Times New Roman" w:cs="Times New Roman"/>
          <w:b w:val="0"/>
          <w:bCs w:val="0"/>
          <w:i w:val="0"/>
          <w:iCs w:val="0"/>
          <w:color w:val="auto"/>
          <w:sz w:val="24"/>
          <w:szCs w:val="24"/>
          <w:u w:val="none"/>
        </w:rPr>
      </w:pPr>
      <w:r>
        <w:rPr>
          <w:rFonts w:hint="default" w:ascii="Times New Roman" w:hAnsi="Times New Roman" w:cs="Times New Roman"/>
          <w:b w:val="0"/>
          <w:bCs w:val="0"/>
          <w:i w:val="0"/>
          <w:iCs w:val="0"/>
          <w:color w:val="auto"/>
          <w:sz w:val="24"/>
          <w:szCs w:val="24"/>
          <w:u w:val="none"/>
        </w:rPr>
        <w:t>- This round of consultation is over. Thank you for your participation and guidance!</w:t>
      </w:r>
    </w:p>
    <w:p>
      <w:pPr>
        <w:rPr>
          <w:rFonts w:hint="default" w:ascii="Times New Roman" w:hAnsi="Times New Roman" w:cs="Times New Roman"/>
          <w:b w:val="0"/>
          <w:bCs w:val="0"/>
          <w:i w:val="0"/>
          <w:iCs w:val="0"/>
          <w:color w:val="auto"/>
          <w:sz w:val="24"/>
          <w:szCs w:val="24"/>
          <w:u w:val="none"/>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A47A4A"/>
    <w:multiLevelType w:val="singleLevel"/>
    <w:tmpl w:val="55A47A4A"/>
    <w:lvl w:ilvl="0" w:tentative="0">
      <w:start w:val="1"/>
      <w:numFmt w:val="chineseCounting"/>
      <w:suff w:val="nothing"/>
      <w:lvlText w:val="%1、"/>
      <w:lvlJc w:val="left"/>
    </w:lvl>
  </w:abstractNum>
  <w:abstractNum w:abstractNumId="1">
    <w:nsid w:val="666E59B4"/>
    <w:multiLevelType w:val="singleLevel"/>
    <w:tmpl w:val="666E59B4"/>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0D33E9"/>
    <w:rsid w:val="05A01219"/>
    <w:rsid w:val="07536155"/>
    <w:rsid w:val="0C3E79DE"/>
    <w:rsid w:val="0EB775D4"/>
    <w:rsid w:val="10B1077E"/>
    <w:rsid w:val="180715CC"/>
    <w:rsid w:val="19CE13E1"/>
    <w:rsid w:val="19E71313"/>
    <w:rsid w:val="1A142D66"/>
    <w:rsid w:val="1BFF149C"/>
    <w:rsid w:val="1D8C4D82"/>
    <w:rsid w:val="20DA5A91"/>
    <w:rsid w:val="24253A46"/>
    <w:rsid w:val="27E108F0"/>
    <w:rsid w:val="290D33E9"/>
    <w:rsid w:val="2A6B7798"/>
    <w:rsid w:val="2A923ECF"/>
    <w:rsid w:val="35B40698"/>
    <w:rsid w:val="38227DFD"/>
    <w:rsid w:val="3A2F680F"/>
    <w:rsid w:val="3C371A37"/>
    <w:rsid w:val="3C793F97"/>
    <w:rsid w:val="3D9C1FFF"/>
    <w:rsid w:val="3E594E65"/>
    <w:rsid w:val="40297A82"/>
    <w:rsid w:val="42A42409"/>
    <w:rsid w:val="464E4809"/>
    <w:rsid w:val="4B4734DA"/>
    <w:rsid w:val="4BD72CE9"/>
    <w:rsid w:val="4C1E16CB"/>
    <w:rsid w:val="4C9C4BBD"/>
    <w:rsid w:val="4DC618BF"/>
    <w:rsid w:val="4DF9078C"/>
    <w:rsid w:val="4F442AF1"/>
    <w:rsid w:val="51181B78"/>
    <w:rsid w:val="54896D0C"/>
    <w:rsid w:val="54C641E4"/>
    <w:rsid w:val="58A75590"/>
    <w:rsid w:val="5EB3209E"/>
    <w:rsid w:val="5F64242D"/>
    <w:rsid w:val="601E438A"/>
    <w:rsid w:val="602F356E"/>
    <w:rsid w:val="63916ED5"/>
    <w:rsid w:val="64E94DB9"/>
    <w:rsid w:val="651E6BDA"/>
    <w:rsid w:val="660B715E"/>
    <w:rsid w:val="6D462669"/>
    <w:rsid w:val="6E7D21A3"/>
    <w:rsid w:val="700F1BEC"/>
    <w:rsid w:val="70E21403"/>
    <w:rsid w:val="76EE3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2021-12-16T07:38:00Z</dcterms:created>
  <dc:creator>陈晓宇</dc:creator>
  <cp:lastModifiedBy>陈晓宇</cp:lastModifiedBy>
  <dcterms:modified xsi:type="dcterms:W3CDTF">2022-11-02T08:11:07Z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8CCA5BFD21E34F818B4CAF1B477437AA</vt:lpwstr>
  </property>
</Properties>
</file>