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5950C2E" w14:textId="7B97B983" w:rsidR="000252CD" w:rsidRDefault="000252CD" w:rsidP="000252CD">
      <w:pPr>
        <w:spacing w:line="480" w:lineRule="auto"/>
        <w:jc w:val="center"/>
        <w:rPr>
          <w:rFonts w:ascii="Times New Roman" w:eastAsia="SimSun" w:hAnsi="Times New Roman" w:cs="Times New Roman"/>
          <w:b/>
          <w:bCs/>
          <w:sz w:val="20"/>
        </w:rPr>
      </w:pPr>
    </w:p>
    <w:p w14:paraId="6200FB4E" w14:textId="77777777" w:rsidR="000252CD" w:rsidRDefault="000252CD" w:rsidP="000252CD">
      <w:pPr>
        <w:spacing w:line="480" w:lineRule="auto"/>
        <w:jc w:val="center"/>
        <w:rPr>
          <w:rFonts w:ascii="Times New Roman" w:eastAsia="SimSun" w:hAnsi="Times New Roman" w:cs="Times New Roman"/>
        </w:rPr>
      </w:pPr>
      <w:r>
        <w:rPr>
          <w:rFonts w:ascii="Times New Roman" w:eastAsia="SimSun" w:hAnsi="Times New Roman" w:cs="Times New Roman" w:hint="eastAsia"/>
          <w:b/>
          <w:bCs/>
          <w:sz w:val="20"/>
        </w:rPr>
        <w:t>T</w:t>
      </w:r>
      <w:r>
        <w:rPr>
          <w:rFonts w:ascii="Times New Roman" w:eastAsia="SimSun" w:hAnsi="Times New Roman" w:cs="Times New Roman"/>
          <w:b/>
          <w:bCs/>
          <w:sz w:val="20"/>
        </w:rPr>
        <w:t>able</w:t>
      </w:r>
      <w:r>
        <w:rPr>
          <w:rFonts w:ascii="Times New Roman" w:eastAsia="SimSun" w:hAnsi="Times New Roman" w:cs="Times New Roman" w:hint="eastAsia"/>
          <w:b/>
          <w:bCs/>
          <w:sz w:val="20"/>
        </w:rPr>
        <w:t xml:space="preserve"> </w:t>
      </w:r>
      <w:r>
        <w:rPr>
          <w:rFonts w:ascii="Times New Roman" w:eastAsia="SimSun" w:hAnsi="Times New Roman" w:cs="Times New Roman"/>
          <w:b/>
          <w:bCs/>
          <w:sz w:val="20"/>
        </w:rPr>
        <w:t>S1</w:t>
      </w:r>
      <w:r>
        <w:rPr>
          <w:rFonts w:ascii="Times New Roman" w:eastAsia="SimSun" w:hAnsi="Times New Roman" w:cs="Times New Roman"/>
          <w:sz w:val="20"/>
        </w:rPr>
        <w:t xml:space="preserve"> qPCR primers and amplificat</w:t>
      </w:r>
      <w:r>
        <w:rPr>
          <w:rFonts w:ascii="Times New Roman" w:eastAsia="SimSun" w:hAnsi="Times New Roman" w:cs="Times New Roman"/>
          <w:sz w:val="20"/>
          <w:lang w:val="en-MY"/>
        </w:rPr>
        <w:t>i</w:t>
      </w:r>
      <w:r>
        <w:rPr>
          <w:rFonts w:ascii="Times New Roman" w:eastAsia="SimSun" w:hAnsi="Times New Roman" w:cs="Times New Roman"/>
          <w:sz w:val="20"/>
        </w:rPr>
        <w:t>on protocols</w:t>
      </w:r>
    </w:p>
    <w:p w14:paraId="5AB5BAD2" w14:textId="77777777" w:rsidR="000252CD" w:rsidRDefault="000252CD" w:rsidP="000252CD">
      <w:pPr>
        <w:spacing w:line="480" w:lineRule="auto"/>
        <w:jc w:val="center"/>
        <w:rPr>
          <w:rFonts w:ascii="Times New Roman" w:eastAsia="SimSun" w:hAnsi="Times New Roman" w:cs="Times New Roman"/>
          <w:sz w:val="20"/>
        </w:rPr>
      </w:pPr>
      <w:r>
        <w:rPr>
          <w:rFonts w:ascii="Times New Roman" w:eastAsia="SimSun" w:hAnsi="Times New Roman" w:cs="Times New Roman" w:hint="eastAsia"/>
          <w:sz w:val="20"/>
        </w:rPr>
        <w:t xml:space="preserve">                                                                                                                                                                                                                                                                                                                                                                                                                                                                                                                                                                                                                                                                                                                                                                                                                                                                                                                                                                                                                                                                                                                                                                                                                                                                                                                                                                                                                                                                                                                                                                                                                                                                                                                                                                                                                                                                                                                                                                                                                                                                                                                                                                                                                                                                                                                                                                                                                                                                                                                                                                                                                                                                                                                                                                            </w:t>
      </w:r>
    </w:p>
    <w:tbl>
      <w:tblPr>
        <w:tblStyle w:val="3"/>
        <w:tblW w:w="9635" w:type="dxa"/>
        <w:jc w:val="center"/>
        <w:tblBorders>
          <w:top w:val="single" w:sz="12" w:space="0" w:color="auto"/>
          <w:left w:val="none" w:sz="0" w:space="0" w:color="auto"/>
          <w:bottom w:val="single" w:sz="12" w:space="0" w:color="auto"/>
          <w:right w:val="none" w:sz="0" w:space="0" w:color="auto"/>
          <w:insideH w:val="none" w:sz="0" w:space="0" w:color="auto"/>
          <w:insideV w:val="none" w:sz="0" w:space="0" w:color="auto"/>
        </w:tblBorders>
        <w:tblLook w:val="04A0" w:firstRow="1" w:lastRow="0" w:firstColumn="1" w:lastColumn="0" w:noHBand="0" w:noVBand="1"/>
      </w:tblPr>
      <w:tblGrid>
        <w:gridCol w:w="1413"/>
        <w:gridCol w:w="1457"/>
        <w:gridCol w:w="3027"/>
        <w:gridCol w:w="1186"/>
        <w:gridCol w:w="2552"/>
      </w:tblGrid>
      <w:tr w:rsidR="000252CD" w14:paraId="1DD61D68" w14:textId="77777777" w:rsidTr="00D83D4E">
        <w:trPr>
          <w:cantSplit/>
          <w:jc w:val="center"/>
        </w:trPr>
        <w:tc>
          <w:tcPr>
            <w:tcW w:w="1413" w:type="dxa"/>
            <w:tcBorders>
              <w:top w:val="single" w:sz="12" w:space="0" w:color="auto"/>
              <w:bottom w:val="single" w:sz="8" w:space="0" w:color="auto"/>
            </w:tcBorders>
            <w:vAlign w:val="center"/>
          </w:tcPr>
          <w:p w14:paraId="08CD022E" w14:textId="77777777" w:rsidR="000252CD" w:rsidRDefault="000252CD" w:rsidP="00D83D4E">
            <w:pPr>
              <w:spacing w:line="480" w:lineRule="auto"/>
              <w:jc w:val="center"/>
              <w:rPr>
                <w:rFonts w:ascii="Times New Roman" w:hAnsi="Times New Roman"/>
              </w:rPr>
            </w:pPr>
            <w:r>
              <w:rPr>
                <w:rFonts w:ascii="Times New Roman" w:hAnsi="Times New Roman"/>
              </w:rPr>
              <w:t>Target genes</w:t>
            </w:r>
          </w:p>
        </w:tc>
        <w:tc>
          <w:tcPr>
            <w:tcW w:w="1457" w:type="dxa"/>
            <w:tcBorders>
              <w:top w:val="single" w:sz="12" w:space="0" w:color="auto"/>
              <w:bottom w:val="single" w:sz="8" w:space="0" w:color="auto"/>
            </w:tcBorders>
            <w:vAlign w:val="center"/>
          </w:tcPr>
          <w:p w14:paraId="3BD943CD" w14:textId="77777777" w:rsidR="000252CD" w:rsidRDefault="000252CD" w:rsidP="00D83D4E">
            <w:pPr>
              <w:spacing w:line="480" w:lineRule="auto"/>
              <w:jc w:val="center"/>
              <w:rPr>
                <w:rFonts w:ascii="Times New Roman" w:hAnsi="Times New Roman"/>
                <w:szCs w:val="24"/>
              </w:rPr>
            </w:pPr>
            <w:r>
              <w:rPr>
                <w:rFonts w:ascii="Times New Roman" w:hAnsi="Times New Roman"/>
                <w:szCs w:val="24"/>
              </w:rPr>
              <w:t>Primers</w:t>
            </w:r>
          </w:p>
        </w:tc>
        <w:tc>
          <w:tcPr>
            <w:tcW w:w="3027" w:type="dxa"/>
            <w:tcBorders>
              <w:top w:val="single" w:sz="12" w:space="0" w:color="auto"/>
              <w:bottom w:val="single" w:sz="8" w:space="0" w:color="auto"/>
            </w:tcBorders>
            <w:vAlign w:val="center"/>
          </w:tcPr>
          <w:p w14:paraId="190AE5F1" w14:textId="77777777" w:rsidR="000252CD" w:rsidRDefault="000252CD" w:rsidP="00D83D4E">
            <w:pPr>
              <w:spacing w:line="480" w:lineRule="auto"/>
              <w:jc w:val="center"/>
              <w:rPr>
                <w:rFonts w:ascii="Times New Roman" w:hAnsi="Times New Roman"/>
                <w:szCs w:val="24"/>
              </w:rPr>
            </w:pPr>
            <w:r>
              <w:rPr>
                <w:rFonts w:ascii="Times New Roman" w:hAnsi="Times New Roman"/>
                <w:szCs w:val="24"/>
              </w:rPr>
              <w:t>Primer sequences</w:t>
            </w:r>
          </w:p>
          <w:p w14:paraId="5224198E" w14:textId="77777777" w:rsidR="000252CD" w:rsidRDefault="000252CD" w:rsidP="00D83D4E">
            <w:pPr>
              <w:spacing w:line="480" w:lineRule="auto"/>
              <w:jc w:val="center"/>
              <w:rPr>
                <w:rFonts w:ascii="Times New Roman" w:hAnsi="Times New Roman"/>
              </w:rPr>
            </w:pPr>
            <w:r>
              <w:rPr>
                <w:rFonts w:ascii="Times New Roman" w:hAnsi="Times New Roman"/>
                <w:szCs w:val="24"/>
              </w:rPr>
              <w:t>(5′-3′)</w:t>
            </w:r>
          </w:p>
        </w:tc>
        <w:tc>
          <w:tcPr>
            <w:tcW w:w="1186" w:type="dxa"/>
            <w:tcBorders>
              <w:top w:val="single" w:sz="12" w:space="0" w:color="auto"/>
              <w:bottom w:val="single" w:sz="8" w:space="0" w:color="auto"/>
            </w:tcBorders>
            <w:vAlign w:val="center"/>
          </w:tcPr>
          <w:p w14:paraId="4DF52F9B" w14:textId="77777777" w:rsidR="000252CD" w:rsidRDefault="000252CD" w:rsidP="00D83D4E">
            <w:pPr>
              <w:spacing w:line="480" w:lineRule="auto"/>
              <w:jc w:val="center"/>
              <w:rPr>
                <w:rFonts w:ascii="Times New Roman" w:hAnsi="Times New Roman"/>
              </w:rPr>
            </w:pPr>
            <w:r>
              <w:rPr>
                <w:rFonts w:ascii="Times New Roman" w:hAnsi="Times New Roman"/>
              </w:rPr>
              <w:t>Reference</w:t>
            </w:r>
          </w:p>
        </w:tc>
        <w:tc>
          <w:tcPr>
            <w:tcW w:w="2552" w:type="dxa"/>
            <w:tcBorders>
              <w:top w:val="single" w:sz="12" w:space="0" w:color="auto"/>
              <w:bottom w:val="single" w:sz="8" w:space="0" w:color="auto"/>
            </w:tcBorders>
            <w:vAlign w:val="center"/>
          </w:tcPr>
          <w:p w14:paraId="5230310A" w14:textId="77777777" w:rsidR="000252CD" w:rsidRDefault="000252CD" w:rsidP="00D83D4E">
            <w:pPr>
              <w:spacing w:line="480" w:lineRule="auto"/>
              <w:jc w:val="center"/>
              <w:rPr>
                <w:rFonts w:ascii="Times New Roman" w:hAnsi="Times New Roman"/>
              </w:rPr>
            </w:pPr>
            <w:r>
              <w:rPr>
                <w:rFonts w:ascii="Times New Roman" w:hAnsi="Times New Roman"/>
              </w:rPr>
              <w:t>qPCR conditions</w:t>
            </w:r>
          </w:p>
        </w:tc>
      </w:tr>
      <w:tr w:rsidR="000252CD" w14:paraId="0577F0A4" w14:textId="77777777" w:rsidTr="00D83D4E">
        <w:trPr>
          <w:cantSplit/>
          <w:trHeight w:val="567"/>
          <w:jc w:val="center"/>
        </w:trPr>
        <w:tc>
          <w:tcPr>
            <w:tcW w:w="1413" w:type="dxa"/>
            <w:vMerge w:val="restart"/>
            <w:tcBorders>
              <w:top w:val="single" w:sz="8" w:space="0" w:color="auto"/>
            </w:tcBorders>
            <w:vAlign w:val="center"/>
          </w:tcPr>
          <w:p w14:paraId="3A32F147" w14:textId="77777777" w:rsidR="000252CD" w:rsidRDefault="000252CD" w:rsidP="00D83D4E">
            <w:pPr>
              <w:spacing w:line="480" w:lineRule="auto"/>
              <w:jc w:val="center"/>
              <w:rPr>
                <w:rFonts w:ascii="Times New Roman" w:hAnsi="Times New Roman"/>
              </w:rPr>
            </w:pPr>
            <w:r>
              <w:rPr>
                <w:rFonts w:ascii="Times New Roman" w:hAnsi="Times New Roman"/>
              </w:rPr>
              <w:t>Comammox</w:t>
            </w:r>
          </w:p>
          <w:p w14:paraId="4F5F0A1B" w14:textId="77777777" w:rsidR="000252CD" w:rsidRDefault="000252CD" w:rsidP="00D83D4E">
            <w:pPr>
              <w:spacing w:line="480" w:lineRule="auto"/>
              <w:jc w:val="center"/>
              <w:rPr>
                <w:rFonts w:ascii="Times New Roman" w:hAnsi="Times New Roman"/>
              </w:rPr>
            </w:pPr>
            <w:r>
              <w:rPr>
                <w:rFonts w:ascii="Times New Roman" w:hAnsi="Times New Roman"/>
                <w:i/>
              </w:rPr>
              <w:t>amoA</w:t>
            </w:r>
            <w:r>
              <w:rPr>
                <w:rFonts w:ascii="Times New Roman" w:hAnsi="Times New Roman"/>
              </w:rPr>
              <w:t xml:space="preserve"> </w:t>
            </w:r>
            <w:r>
              <w:rPr>
                <w:rFonts w:ascii="Times New Roman" w:hAnsi="Times New Roman" w:hint="eastAsia"/>
              </w:rPr>
              <w:t>clade</w:t>
            </w:r>
            <w:r>
              <w:rPr>
                <w:rFonts w:ascii="Times New Roman" w:hAnsi="Times New Roman"/>
              </w:rPr>
              <w:t xml:space="preserve"> </w:t>
            </w:r>
            <w:r>
              <w:rPr>
                <w:rFonts w:ascii="Times New Roman" w:hAnsi="Times New Roman" w:hint="eastAsia"/>
              </w:rPr>
              <w:t>A</w:t>
            </w:r>
          </w:p>
        </w:tc>
        <w:tc>
          <w:tcPr>
            <w:tcW w:w="1457" w:type="dxa"/>
            <w:tcBorders>
              <w:top w:val="single" w:sz="8" w:space="0" w:color="auto"/>
            </w:tcBorders>
            <w:vAlign w:val="center"/>
          </w:tcPr>
          <w:p w14:paraId="0C139B6F" w14:textId="77777777" w:rsidR="000252CD" w:rsidRDefault="000252CD" w:rsidP="00D83D4E">
            <w:pPr>
              <w:spacing w:line="480" w:lineRule="auto"/>
              <w:jc w:val="center"/>
              <w:rPr>
                <w:rFonts w:ascii="Times New Roman" w:hAnsi="Times New Roman"/>
              </w:rPr>
            </w:pPr>
            <w:r>
              <w:rPr>
                <w:rFonts w:ascii="Times New Roman" w:hAnsi="Times New Roman"/>
              </w:rPr>
              <w:t>CA377f</w:t>
            </w:r>
          </w:p>
        </w:tc>
        <w:tc>
          <w:tcPr>
            <w:tcW w:w="3027" w:type="dxa"/>
            <w:tcBorders>
              <w:top w:val="single" w:sz="8" w:space="0" w:color="auto"/>
            </w:tcBorders>
            <w:vAlign w:val="center"/>
          </w:tcPr>
          <w:p w14:paraId="673E9AD5" w14:textId="77777777" w:rsidR="000252CD" w:rsidRDefault="000252CD" w:rsidP="00D83D4E">
            <w:pPr>
              <w:spacing w:line="480" w:lineRule="auto"/>
              <w:jc w:val="center"/>
              <w:rPr>
                <w:rFonts w:ascii="Times New Roman" w:hAnsi="Times New Roman"/>
              </w:rPr>
            </w:pPr>
            <w:r>
              <w:rPr>
                <w:rFonts w:ascii="Times New Roman" w:hAnsi="Times New Roman"/>
              </w:rPr>
              <w:t>GTGGTGGTGGTCBAAYTA</w:t>
            </w:r>
          </w:p>
        </w:tc>
        <w:tc>
          <w:tcPr>
            <w:tcW w:w="1186" w:type="dxa"/>
            <w:vMerge w:val="restart"/>
            <w:tcBorders>
              <w:top w:val="single" w:sz="8" w:space="0" w:color="auto"/>
            </w:tcBorders>
            <w:vAlign w:val="center"/>
          </w:tcPr>
          <w:p w14:paraId="67C6CF58" w14:textId="77777777" w:rsidR="000252CD" w:rsidRDefault="000252CD" w:rsidP="00D83D4E">
            <w:pPr>
              <w:spacing w:line="480" w:lineRule="auto"/>
              <w:jc w:val="center"/>
              <w:rPr>
                <w:rFonts w:ascii="Times New Roman" w:hAnsi="Times New Roman"/>
              </w:rPr>
            </w:pPr>
            <w:r>
              <w:rPr>
                <w:rFonts w:ascii="Times New Roman" w:hAnsi="Times New Roman"/>
              </w:rPr>
              <w:fldChar w:fldCharType="begin" w:fldLock="1"/>
            </w:r>
            <w:r>
              <w:rPr>
                <w:rFonts w:ascii="Times New Roman" w:hAnsi="Times New Roman"/>
              </w:rPr>
              <w:instrText>ADDIN CSL_CITATION {"citationItems":[{"id":"ITEM-1","itemData":{"DOI":"10.1128/AEM.01775-20","ISSN":"0099-2240","abstract":"Complete ammonia-oxidizing (comammox) bacteria play key roles in environmental nitrogen cycling and all belong to the genus Nitrospira , which was originally believed to include only strict nitrite-oxidizing bacteria (sNOB). Thus, differential estimation of sNOB abundance from that of comammox Nitrospira has become problematic, since both contain nitrite oxidoreductase genes that serve as common targets for sNOB detection. Herein, we developed novel comammox Nitrospira clade A- and B-specific primer sets targeting the α-subunit of the ammonia monooxygenase gene ( amoA ) and a sNOB-specific primer set targeting the cyanase gene ( cynS ) for quantitative PCR (qPCR). The high coverage and specificity of these primers were checked by use of metagenome and metatranscriptome data sets. Efficient and specific amplification with these primers was demonstrated using various environmental samples. Using the newly designed primers, we successfully estimated the abundances of comammox Nitrospira and sNOB in samples from two chloramination-treated drinking water systems and found that, in most samples, comammox Nitrospira clade A was the dominant type of Nitrospira and also served as the primary ammonia oxidizer. Compared with other ammonia oxidizers, comammox Nitrospira had a higher abundance in process water samples in these two drinking water systems. We also demonstrated that sNOB can be readily misrepresented by an earlier method, calculated by subtracting the comammox Nitrospira abundance from the total Nitrospira abundance, especially when the comammox Nitrospira proportion is relatively high. The new primer sets were successfully applied to comammox Nitrospira and sNOB quantification, which may prove useful in understanding the roles of Nitrospira in nitrification in various ecosystems.","author":[{"dropping-particle":"","family":"Jiang","given":"Ran","non-dropping-particle":"","parse-names":false,"suffix":""},{"dropping-particle":"","family":"Wang","given":"Jian-Gong","non-dropping-particle":"","parse-names":false,"suffix":""},{"dropping-particle":"","family":"Zhu","given":"Ting","non-dropping-particle":"","parse-names":false,"suffix":""},{"dropping-particle":"","family":"Zou","given":"Bin","non-dropping-particle":"","parse-names":false,"suffix":""},{"dropping-particle":"","family":"Wang","given":"Dan-Qi","non-dropping-particle":"","parse-names":false,"suffix":""},{"dropping-particle":"","family":"Rhee","given":"Sung-Keun","non-dropping-particle":"","parse-names":false,"suffix":""},{"dropping-particle":"","family":"An","given":"Dong","non-dropping-particle":"","parse-names":false,"suffix":""},{"dropping-particle":"","family":"Ji","given":"Zhi-Yuan","non-dropping-particle":"","parse-names":false,"suffix":""},{"dropping-particle":"","family":"Quan","given":"Zhe-Xue","non-dropping-particle":"","parse-names":false,"suffix":""}],"container-title":"Applied and Environmental Microbiology","edit</w:instrText>
            </w:r>
            <w:r>
              <w:rPr>
                <w:rFonts w:ascii="Times New Roman" w:hAnsi="Times New Roman" w:hint="eastAsia"/>
              </w:rPr>
              <w:instrText>or":[{"dropping-particle":"","family":"Stams","given":"Alfons J. M.","non-dropping-particle":"","parse-names":false,"suffix":""}],"id":"ITEM-1","issue":"20","issued":{"date-parts":[["2020","8","21"]]},"note":"</w:instrText>
            </w:r>
            <w:r>
              <w:rPr>
                <w:rFonts w:ascii="Times New Roman" w:hAnsi="Times New Roman" w:hint="eastAsia"/>
              </w:rPr>
              <w:instrText>引物</w:instrText>
            </w:r>
            <w:r>
              <w:rPr>
                <w:rFonts w:ascii="Times New Roman" w:hAnsi="Times New Roman" w:hint="eastAsia"/>
              </w:rPr>
              <w:instrText>","title":"Use of Newly Designed Primers for</w:instrText>
            </w:r>
            <w:r>
              <w:rPr>
                <w:rFonts w:ascii="Times New Roman" w:hAnsi="Times New Roman"/>
              </w:rPr>
              <w:instrText xml:space="preserve"> Quantification of Complete Ammonia-Oxidizing (Comammox) Bacterial Clades and Strict Nitrite Oxidizers in the Genus Nitrospira","type":"article-journal","volume":"86"},"uris":["http://www.mendeley.com/documents/?uuid=5ffcf27f-31ba-424b-b3f2-6291de5089b3"]}],"mendeley":{"formattedCitation":"(Jiang et al., 2020)","plainTextFormattedCitation":"(Jiang et al., 2020)","previouslyFormattedCitation":"(Jiang et al., 2020)"},"properties":{"noteIndex":0},"schema":"https://github.com/citation-style-language/schema/raw/master/csl-citation.json"}</w:instrText>
            </w:r>
            <w:r>
              <w:rPr>
                <w:rFonts w:ascii="Times New Roman" w:hAnsi="Times New Roman"/>
              </w:rPr>
              <w:fldChar w:fldCharType="separate"/>
            </w:r>
            <w:r>
              <w:rPr>
                <w:rFonts w:ascii="Times New Roman" w:hAnsi="Times New Roman"/>
              </w:rPr>
              <w:t>(Jiang et al., 2020)</w:t>
            </w:r>
            <w:r>
              <w:rPr>
                <w:rFonts w:ascii="Times New Roman" w:hAnsi="Times New Roman"/>
              </w:rPr>
              <w:fldChar w:fldCharType="end"/>
            </w:r>
          </w:p>
        </w:tc>
        <w:tc>
          <w:tcPr>
            <w:tcW w:w="2552" w:type="dxa"/>
            <w:vMerge w:val="restart"/>
            <w:tcBorders>
              <w:top w:val="single" w:sz="8" w:space="0" w:color="auto"/>
            </w:tcBorders>
            <w:vAlign w:val="center"/>
          </w:tcPr>
          <w:p w14:paraId="510D475F" w14:textId="77777777" w:rsidR="000252CD" w:rsidRDefault="000252CD" w:rsidP="00D83D4E">
            <w:pPr>
              <w:spacing w:line="480" w:lineRule="auto"/>
              <w:jc w:val="center"/>
              <w:rPr>
                <w:rFonts w:ascii="Times New Roman" w:hAnsi="Times New Roman"/>
              </w:rPr>
            </w:pPr>
            <w:r>
              <w:rPr>
                <w:rFonts w:ascii="Times New Roman" w:hAnsi="Times New Roman"/>
              </w:rPr>
              <w:t>95°C</w:t>
            </w:r>
            <w:r>
              <w:rPr>
                <w:rFonts w:ascii="Times New Roman" w:hAnsi="Times New Roman"/>
                <w:lang w:val="en-MY"/>
              </w:rPr>
              <w:t>/</w:t>
            </w:r>
            <w:r>
              <w:rPr>
                <w:rFonts w:ascii="Times New Roman" w:hAnsi="Times New Roman"/>
              </w:rPr>
              <w:t>10 min; 40 cycles of 95°C</w:t>
            </w:r>
            <w:r>
              <w:rPr>
                <w:rFonts w:ascii="Times New Roman" w:hAnsi="Times New Roman"/>
                <w:lang w:val="en-MY"/>
              </w:rPr>
              <w:t>/30 s</w:t>
            </w:r>
            <w:r>
              <w:rPr>
                <w:rFonts w:ascii="Times New Roman" w:hAnsi="Times New Roman"/>
              </w:rPr>
              <w:t>, 55°C</w:t>
            </w:r>
            <w:r>
              <w:rPr>
                <w:rFonts w:ascii="Times New Roman" w:hAnsi="Times New Roman"/>
                <w:lang w:val="en-MY"/>
              </w:rPr>
              <w:t>/30 s</w:t>
            </w:r>
            <w:r>
              <w:rPr>
                <w:rFonts w:ascii="Times New Roman" w:hAnsi="Times New Roman"/>
              </w:rPr>
              <w:t xml:space="preserve">, </w:t>
            </w:r>
            <w:r>
              <w:rPr>
                <w:rFonts w:ascii="Times New Roman" w:hAnsi="Times New Roman"/>
                <w:lang w:val="en-MY"/>
              </w:rPr>
              <w:t>and</w:t>
            </w:r>
            <w:r>
              <w:rPr>
                <w:rFonts w:ascii="Times New Roman" w:hAnsi="Times New Roman"/>
              </w:rPr>
              <w:t xml:space="preserve"> 72°C</w:t>
            </w:r>
            <w:r>
              <w:rPr>
                <w:rFonts w:ascii="Times New Roman" w:hAnsi="Times New Roman"/>
                <w:lang w:val="en-MY"/>
              </w:rPr>
              <w:t>/30 s</w:t>
            </w:r>
            <w:r>
              <w:rPr>
                <w:rFonts w:ascii="Times New Roman" w:hAnsi="Times New Roman"/>
              </w:rPr>
              <w:t>.</w:t>
            </w:r>
          </w:p>
        </w:tc>
      </w:tr>
      <w:tr w:rsidR="000252CD" w14:paraId="7BEC498A" w14:textId="77777777" w:rsidTr="00D83D4E">
        <w:trPr>
          <w:cantSplit/>
          <w:trHeight w:val="567"/>
          <w:jc w:val="center"/>
        </w:trPr>
        <w:tc>
          <w:tcPr>
            <w:tcW w:w="1413" w:type="dxa"/>
            <w:vMerge/>
            <w:vAlign w:val="center"/>
          </w:tcPr>
          <w:p w14:paraId="655770FC" w14:textId="77777777" w:rsidR="000252CD" w:rsidRDefault="000252CD" w:rsidP="00D83D4E">
            <w:pPr>
              <w:spacing w:line="480" w:lineRule="auto"/>
              <w:jc w:val="center"/>
              <w:rPr>
                <w:rFonts w:ascii="Times New Roman" w:hAnsi="Times New Roman"/>
              </w:rPr>
            </w:pPr>
          </w:p>
        </w:tc>
        <w:tc>
          <w:tcPr>
            <w:tcW w:w="1457" w:type="dxa"/>
            <w:vAlign w:val="center"/>
          </w:tcPr>
          <w:p w14:paraId="6696503B" w14:textId="77777777" w:rsidR="000252CD" w:rsidRDefault="000252CD" w:rsidP="00D83D4E">
            <w:pPr>
              <w:spacing w:line="480" w:lineRule="auto"/>
              <w:jc w:val="center"/>
              <w:rPr>
                <w:rFonts w:ascii="Times New Roman" w:hAnsi="Times New Roman"/>
              </w:rPr>
            </w:pPr>
            <w:r>
              <w:rPr>
                <w:rFonts w:ascii="Times New Roman" w:hAnsi="Times New Roman"/>
              </w:rPr>
              <w:t>C576r</w:t>
            </w:r>
          </w:p>
        </w:tc>
        <w:tc>
          <w:tcPr>
            <w:tcW w:w="3027" w:type="dxa"/>
            <w:vAlign w:val="center"/>
          </w:tcPr>
          <w:p w14:paraId="2F90DBB9" w14:textId="77777777" w:rsidR="000252CD" w:rsidRDefault="000252CD" w:rsidP="00D83D4E">
            <w:pPr>
              <w:spacing w:line="480" w:lineRule="auto"/>
              <w:jc w:val="center"/>
              <w:rPr>
                <w:rFonts w:ascii="Times New Roman" w:hAnsi="Times New Roman"/>
              </w:rPr>
            </w:pPr>
            <w:r>
              <w:rPr>
                <w:rFonts w:ascii="Times New Roman" w:hAnsi="Times New Roman"/>
              </w:rPr>
              <w:t>GAAGCCCATRTARTCNGCC</w:t>
            </w:r>
          </w:p>
        </w:tc>
        <w:tc>
          <w:tcPr>
            <w:tcW w:w="1186" w:type="dxa"/>
            <w:vMerge/>
            <w:vAlign w:val="center"/>
          </w:tcPr>
          <w:p w14:paraId="634A1E73" w14:textId="77777777" w:rsidR="000252CD" w:rsidRDefault="000252CD" w:rsidP="00D83D4E">
            <w:pPr>
              <w:spacing w:line="480" w:lineRule="auto"/>
              <w:jc w:val="center"/>
              <w:rPr>
                <w:rFonts w:ascii="Times New Roman" w:hAnsi="Times New Roman"/>
              </w:rPr>
            </w:pPr>
          </w:p>
        </w:tc>
        <w:tc>
          <w:tcPr>
            <w:tcW w:w="2552" w:type="dxa"/>
            <w:vMerge/>
            <w:vAlign w:val="center"/>
          </w:tcPr>
          <w:p w14:paraId="2D7EFE3E" w14:textId="77777777" w:rsidR="000252CD" w:rsidRDefault="000252CD" w:rsidP="00D83D4E">
            <w:pPr>
              <w:spacing w:line="480" w:lineRule="auto"/>
              <w:jc w:val="center"/>
              <w:rPr>
                <w:rFonts w:ascii="Times New Roman" w:hAnsi="Times New Roman"/>
              </w:rPr>
            </w:pPr>
          </w:p>
        </w:tc>
      </w:tr>
      <w:tr w:rsidR="000252CD" w14:paraId="1FD5BDB8" w14:textId="77777777" w:rsidTr="00D83D4E">
        <w:trPr>
          <w:cantSplit/>
          <w:trHeight w:val="567"/>
          <w:jc w:val="center"/>
        </w:trPr>
        <w:tc>
          <w:tcPr>
            <w:tcW w:w="1413" w:type="dxa"/>
            <w:vMerge w:val="restart"/>
            <w:vAlign w:val="center"/>
          </w:tcPr>
          <w:p w14:paraId="32CE3C1A" w14:textId="77777777" w:rsidR="000252CD" w:rsidRDefault="000252CD" w:rsidP="00D83D4E">
            <w:pPr>
              <w:spacing w:line="480" w:lineRule="auto"/>
              <w:jc w:val="center"/>
              <w:rPr>
                <w:rFonts w:ascii="Times New Roman" w:hAnsi="Times New Roman"/>
              </w:rPr>
            </w:pPr>
            <w:r>
              <w:rPr>
                <w:rFonts w:ascii="Times New Roman" w:hAnsi="Times New Roman"/>
              </w:rPr>
              <w:t>Comammox</w:t>
            </w:r>
          </w:p>
          <w:p w14:paraId="2CE48CC9" w14:textId="77777777" w:rsidR="000252CD" w:rsidRDefault="000252CD" w:rsidP="00D83D4E">
            <w:pPr>
              <w:spacing w:line="480" w:lineRule="auto"/>
              <w:jc w:val="center"/>
              <w:rPr>
                <w:rFonts w:ascii="Times New Roman" w:hAnsi="Times New Roman"/>
              </w:rPr>
            </w:pPr>
            <w:r>
              <w:rPr>
                <w:rFonts w:ascii="Times New Roman" w:hAnsi="Times New Roman"/>
                <w:i/>
              </w:rPr>
              <w:t>amoA</w:t>
            </w:r>
            <w:r>
              <w:rPr>
                <w:rFonts w:ascii="Times New Roman" w:hAnsi="Times New Roman"/>
              </w:rPr>
              <w:t xml:space="preserve"> </w:t>
            </w:r>
            <w:r>
              <w:rPr>
                <w:rFonts w:ascii="Times New Roman" w:hAnsi="Times New Roman" w:hint="eastAsia"/>
              </w:rPr>
              <w:t>clade</w:t>
            </w:r>
            <w:r>
              <w:rPr>
                <w:rFonts w:ascii="Times New Roman" w:hAnsi="Times New Roman"/>
              </w:rPr>
              <w:t xml:space="preserve"> </w:t>
            </w:r>
            <w:r>
              <w:rPr>
                <w:rFonts w:ascii="Times New Roman" w:hAnsi="Times New Roman" w:hint="eastAsia"/>
              </w:rPr>
              <w:t>B</w:t>
            </w:r>
          </w:p>
        </w:tc>
        <w:tc>
          <w:tcPr>
            <w:tcW w:w="1457" w:type="dxa"/>
            <w:vAlign w:val="center"/>
          </w:tcPr>
          <w:p w14:paraId="56F9BE9B" w14:textId="77777777" w:rsidR="000252CD" w:rsidRDefault="000252CD" w:rsidP="00D83D4E">
            <w:pPr>
              <w:spacing w:line="480" w:lineRule="auto"/>
              <w:jc w:val="center"/>
              <w:rPr>
                <w:rFonts w:ascii="Times New Roman" w:hAnsi="Times New Roman"/>
              </w:rPr>
            </w:pPr>
            <w:r>
              <w:rPr>
                <w:rFonts w:ascii="Times New Roman" w:hAnsi="Times New Roman"/>
              </w:rPr>
              <w:t>CB377f</w:t>
            </w:r>
          </w:p>
        </w:tc>
        <w:tc>
          <w:tcPr>
            <w:tcW w:w="3027" w:type="dxa"/>
            <w:vAlign w:val="center"/>
          </w:tcPr>
          <w:p w14:paraId="46121401" w14:textId="77777777" w:rsidR="000252CD" w:rsidRDefault="000252CD" w:rsidP="00D83D4E">
            <w:pPr>
              <w:spacing w:line="480" w:lineRule="auto"/>
              <w:jc w:val="center"/>
              <w:rPr>
                <w:rFonts w:ascii="Times New Roman" w:hAnsi="Times New Roman"/>
              </w:rPr>
            </w:pPr>
            <w:r>
              <w:rPr>
                <w:rFonts w:ascii="Times New Roman" w:hAnsi="Times New Roman"/>
              </w:rPr>
              <w:t>GTACTGGTGGGCBAAYTT</w:t>
            </w:r>
          </w:p>
        </w:tc>
        <w:tc>
          <w:tcPr>
            <w:tcW w:w="1186" w:type="dxa"/>
            <w:vMerge w:val="restart"/>
            <w:vAlign w:val="center"/>
          </w:tcPr>
          <w:p w14:paraId="3E964015" w14:textId="77777777" w:rsidR="000252CD" w:rsidRDefault="000252CD" w:rsidP="00D83D4E">
            <w:pPr>
              <w:spacing w:line="480" w:lineRule="auto"/>
              <w:jc w:val="center"/>
              <w:rPr>
                <w:rFonts w:ascii="Times New Roman" w:hAnsi="Times New Roman"/>
              </w:rPr>
            </w:pPr>
            <w:r>
              <w:rPr>
                <w:rFonts w:ascii="Times New Roman" w:hAnsi="Times New Roman"/>
              </w:rPr>
              <w:fldChar w:fldCharType="begin" w:fldLock="1"/>
            </w:r>
            <w:r>
              <w:rPr>
                <w:rFonts w:ascii="Times New Roman" w:hAnsi="Times New Roman"/>
              </w:rPr>
              <w:instrText>ADDIN CSL_CITATION {"citationItems":[{"id":"ITEM-1","itemData":{"DOI":"10.1128/AEM.01775-20","ISSN":"0099-2240","abstract":"Complete ammonia-oxidizing (comammox) bacteria play key roles in environmental nitrogen cycling and all belong to the genus Nitrospira , which was originally believed to include only strict nitrite-oxidizing bacteria (sNOB). Thus, differential estimation of sNOB abundance from that of comammox Nitrospira has become problematic, since both contain nitrite oxidoreductase genes that serve as common targets for sNOB detection. Herein, we developed novel comammox Nitrospira clade A- and B-specific primer sets targeting the α-subunit of the ammonia monooxygenase gene ( amoA ) and a sNOB-specific primer set targeting the cyanase gene ( cynS ) for quantitative PCR (qPCR). The high coverage and specificity of these primers were checked by use of metagenome and metatranscriptome data sets. Efficient and specific amplification with these primers was demonstrated using various environmental samples. Using the newly designed primers, we successfully estimated the abundances of comammox Nitrospira and sNOB in samples from two chloramination-treated drinking water systems and found that, in most samples, comammox Nitrospira clade A was the dominant type of Nitrospira and also served as the primary ammonia oxidizer. Compared with other ammonia oxidizers, comammox Nitrospira had a higher abundance in process water samples in these two drinking water systems. We also demonstrated that sNOB can be readily misrepresented by an earlier method, calculated by subtracting the comammox Nitrospira abundance from the total Nitrospira abundance, especially when the comammox Nitrospira proportion is relatively high. The new primer sets were successfully applied to comammox Nitrospira and sNOB quantification, which may prove useful in understanding the roles of Nitrospira in nitrification in various ecosystems.","author":[{"dropping-particle":"","family":"Jiang","given":"Ran","non-dropping-particle":"","parse-names":false,"suffix":""},{"dropping-particle":"","family":"Wang","given":"Jian-Gong","non-dropping-particle":"","parse-names":false,"suffix":""},{"dropping-particle":"","family":"Zhu","given":"Ting","non-dropping-particle":"","parse-names":false,"suffix":""},{"dropping-particle":"","family":"Zou","given":"Bin","non-dropping-particle":"","parse-names":false,"suffix":""},{"dropping-particle":"","family":"Wang","given":"Dan-Qi","non-dropping-particle":"","parse-names":false,"suffix":""},{"dropping-particle":"","family":"Rhee","given":"Sung-Keun","non-dropping-particle":"","parse-names":false,"suffix":""},{"dropping-particle":"","family":"An","given":"Dong","non-dropping-particle":"","parse-names":false,"suffix":""},{"dropping-particle":"","family":"Ji","given":"Zhi-Yuan","non-dropping-particle":"","parse-names":false,"suffix":""},{"dropping-particle":"","family":"Quan","given":"Zhe-Xue","non-dropping-particle":"","parse-names":false,"suffix":""}],"container-title":"Applied and Environmental Microbiology","edit</w:instrText>
            </w:r>
            <w:r>
              <w:rPr>
                <w:rFonts w:ascii="Times New Roman" w:hAnsi="Times New Roman" w:hint="eastAsia"/>
              </w:rPr>
              <w:instrText>or":[{"dropping-particle":"","family":"Stams","given":"Alfons J. M.","non-dropping-particle":"","parse-names":false,"suffix":""}],"id":"ITEM-1","issue":"20","issued":{"date-parts":[["2020","8","21"]]},"note":"</w:instrText>
            </w:r>
            <w:r>
              <w:rPr>
                <w:rFonts w:ascii="Times New Roman" w:hAnsi="Times New Roman" w:hint="eastAsia"/>
              </w:rPr>
              <w:instrText>引物</w:instrText>
            </w:r>
            <w:r>
              <w:rPr>
                <w:rFonts w:ascii="Times New Roman" w:hAnsi="Times New Roman" w:hint="eastAsia"/>
              </w:rPr>
              <w:instrText>","title":"Use of Newly Designed Primers for</w:instrText>
            </w:r>
            <w:r>
              <w:rPr>
                <w:rFonts w:ascii="Times New Roman" w:hAnsi="Times New Roman"/>
              </w:rPr>
              <w:instrText xml:space="preserve"> Quantification of Complete Ammonia-Oxidizing (Comammox) Bacterial Clades and Strict Nitrite Oxidizers in the Genus Nitrospira","type":"article-journal","volume":"86"},"uris":["http://www.mendeley.com/documents/?uuid=5ffcf27f-31ba-424b-b3f2-6291de5089b3"]}],"mendeley":{"formattedCitation":"(Jiang et al., 2020)","plainTextFormattedCitation":"(Jiang et al., 2020)","previouslyFormattedCitation":"(Jiang et al., 2020)"},"properties":{"noteIndex":0},"schema":"https://github.com/citation-style-language/schema/raw/master/csl-citation.json"}</w:instrText>
            </w:r>
            <w:r>
              <w:rPr>
                <w:rFonts w:ascii="Times New Roman" w:hAnsi="Times New Roman"/>
              </w:rPr>
              <w:fldChar w:fldCharType="separate"/>
            </w:r>
            <w:r>
              <w:rPr>
                <w:rFonts w:ascii="Times New Roman" w:hAnsi="Times New Roman"/>
              </w:rPr>
              <w:t>(Jiang et al., 2020)</w:t>
            </w:r>
            <w:r>
              <w:rPr>
                <w:rFonts w:ascii="Times New Roman" w:hAnsi="Times New Roman"/>
              </w:rPr>
              <w:fldChar w:fldCharType="end"/>
            </w:r>
          </w:p>
        </w:tc>
        <w:tc>
          <w:tcPr>
            <w:tcW w:w="2552" w:type="dxa"/>
            <w:vMerge w:val="restart"/>
            <w:vAlign w:val="center"/>
          </w:tcPr>
          <w:p w14:paraId="252537AD" w14:textId="77777777" w:rsidR="000252CD" w:rsidRDefault="000252CD" w:rsidP="00D83D4E">
            <w:pPr>
              <w:spacing w:line="480" w:lineRule="auto"/>
              <w:jc w:val="center"/>
              <w:rPr>
                <w:rFonts w:ascii="Times New Roman" w:hAnsi="Times New Roman"/>
              </w:rPr>
            </w:pPr>
            <w:r>
              <w:rPr>
                <w:rFonts w:ascii="Times New Roman" w:hAnsi="Times New Roman"/>
              </w:rPr>
              <w:t>95°C</w:t>
            </w:r>
            <w:r>
              <w:rPr>
                <w:rFonts w:ascii="Times New Roman" w:hAnsi="Times New Roman"/>
                <w:lang w:val="en-MY"/>
              </w:rPr>
              <w:t>/</w:t>
            </w:r>
            <w:r>
              <w:rPr>
                <w:rFonts w:ascii="Times New Roman" w:hAnsi="Times New Roman"/>
              </w:rPr>
              <w:t>10 min; 40 cycles of 95°C</w:t>
            </w:r>
            <w:r>
              <w:rPr>
                <w:rFonts w:ascii="Times New Roman" w:hAnsi="Times New Roman"/>
                <w:lang w:val="en-MY"/>
              </w:rPr>
              <w:t>/30 s</w:t>
            </w:r>
            <w:r>
              <w:rPr>
                <w:rFonts w:ascii="Times New Roman" w:hAnsi="Times New Roman"/>
              </w:rPr>
              <w:t>, 55°C</w:t>
            </w:r>
            <w:r>
              <w:rPr>
                <w:rFonts w:ascii="Times New Roman" w:hAnsi="Times New Roman"/>
                <w:lang w:val="en-MY"/>
              </w:rPr>
              <w:t>/ 30 s</w:t>
            </w:r>
            <w:r>
              <w:rPr>
                <w:rFonts w:ascii="Times New Roman" w:hAnsi="Times New Roman"/>
              </w:rPr>
              <w:t xml:space="preserve">, </w:t>
            </w:r>
            <w:r>
              <w:rPr>
                <w:rFonts w:ascii="Times New Roman" w:hAnsi="Times New Roman"/>
                <w:lang w:val="en-MY"/>
              </w:rPr>
              <w:t xml:space="preserve">and </w:t>
            </w:r>
            <w:r>
              <w:rPr>
                <w:rFonts w:ascii="Times New Roman" w:hAnsi="Times New Roman"/>
              </w:rPr>
              <w:t>72°C</w:t>
            </w:r>
            <w:r>
              <w:rPr>
                <w:rFonts w:ascii="Times New Roman" w:hAnsi="Times New Roman"/>
                <w:lang w:val="en-MY"/>
              </w:rPr>
              <w:t>/ 30 s</w:t>
            </w:r>
            <w:r>
              <w:rPr>
                <w:rFonts w:ascii="Times New Roman" w:hAnsi="Times New Roman"/>
              </w:rPr>
              <w:t>.</w:t>
            </w:r>
          </w:p>
        </w:tc>
      </w:tr>
      <w:tr w:rsidR="000252CD" w14:paraId="5A362A3F" w14:textId="77777777" w:rsidTr="00D83D4E">
        <w:trPr>
          <w:cantSplit/>
          <w:trHeight w:val="567"/>
          <w:jc w:val="center"/>
        </w:trPr>
        <w:tc>
          <w:tcPr>
            <w:tcW w:w="1413" w:type="dxa"/>
            <w:vMerge/>
            <w:vAlign w:val="center"/>
          </w:tcPr>
          <w:p w14:paraId="65DBF576" w14:textId="77777777" w:rsidR="000252CD" w:rsidRDefault="000252CD" w:rsidP="00D83D4E">
            <w:pPr>
              <w:spacing w:line="480" w:lineRule="auto"/>
              <w:jc w:val="center"/>
              <w:rPr>
                <w:rFonts w:ascii="Times New Roman" w:hAnsi="Times New Roman"/>
              </w:rPr>
            </w:pPr>
          </w:p>
        </w:tc>
        <w:tc>
          <w:tcPr>
            <w:tcW w:w="1457" w:type="dxa"/>
            <w:vAlign w:val="center"/>
          </w:tcPr>
          <w:p w14:paraId="4264A3DB" w14:textId="77777777" w:rsidR="000252CD" w:rsidRDefault="000252CD" w:rsidP="00D83D4E">
            <w:pPr>
              <w:spacing w:line="480" w:lineRule="auto"/>
              <w:jc w:val="center"/>
              <w:rPr>
                <w:rFonts w:ascii="Times New Roman" w:hAnsi="Times New Roman"/>
              </w:rPr>
            </w:pPr>
            <w:r>
              <w:rPr>
                <w:rFonts w:ascii="Times New Roman" w:hAnsi="Times New Roman"/>
              </w:rPr>
              <w:t>C576r</w:t>
            </w:r>
          </w:p>
        </w:tc>
        <w:tc>
          <w:tcPr>
            <w:tcW w:w="3027" w:type="dxa"/>
            <w:vAlign w:val="center"/>
          </w:tcPr>
          <w:p w14:paraId="29EEE94B" w14:textId="77777777" w:rsidR="000252CD" w:rsidRDefault="000252CD" w:rsidP="00D83D4E">
            <w:pPr>
              <w:spacing w:line="480" w:lineRule="auto"/>
              <w:jc w:val="center"/>
              <w:rPr>
                <w:rFonts w:ascii="Times New Roman" w:hAnsi="Times New Roman"/>
              </w:rPr>
            </w:pPr>
            <w:r>
              <w:rPr>
                <w:rFonts w:ascii="Times New Roman" w:hAnsi="Times New Roman"/>
              </w:rPr>
              <w:t>GAAGCCCATRTARTCNGCC</w:t>
            </w:r>
          </w:p>
        </w:tc>
        <w:tc>
          <w:tcPr>
            <w:tcW w:w="1186" w:type="dxa"/>
            <w:vMerge/>
            <w:vAlign w:val="center"/>
          </w:tcPr>
          <w:p w14:paraId="4D78A8D4" w14:textId="77777777" w:rsidR="000252CD" w:rsidRDefault="000252CD" w:rsidP="00D83D4E">
            <w:pPr>
              <w:spacing w:line="480" w:lineRule="auto"/>
              <w:jc w:val="center"/>
              <w:rPr>
                <w:rFonts w:ascii="Times New Roman" w:hAnsi="Times New Roman"/>
              </w:rPr>
            </w:pPr>
          </w:p>
        </w:tc>
        <w:tc>
          <w:tcPr>
            <w:tcW w:w="2552" w:type="dxa"/>
            <w:vMerge/>
            <w:vAlign w:val="center"/>
          </w:tcPr>
          <w:p w14:paraId="28F1AAE7" w14:textId="77777777" w:rsidR="000252CD" w:rsidRDefault="000252CD" w:rsidP="00D83D4E">
            <w:pPr>
              <w:spacing w:line="480" w:lineRule="auto"/>
              <w:jc w:val="center"/>
              <w:rPr>
                <w:rFonts w:ascii="Times New Roman" w:hAnsi="Times New Roman"/>
              </w:rPr>
            </w:pPr>
          </w:p>
        </w:tc>
      </w:tr>
      <w:tr w:rsidR="000252CD" w14:paraId="24AD4C5E" w14:textId="77777777" w:rsidTr="00D83D4E">
        <w:trPr>
          <w:cantSplit/>
          <w:trHeight w:val="567"/>
          <w:jc w:val="center"/>
        </w:trPr>
        <w:tc>
          <w:tcPr>
            <w:tcW w:w="1413" w:type="dxa"/>
            <w:vMerge w:val="restart"/>
            <w:vAlign w:val="center"/>
          </w:tcPr>
          <w:p w14:paraId="6AFF93EB" w14:textId="77777777" w:rsidR="000252CD" w:rsidRDefault="000252CD" w:rsidP="00D83D4E">
            <w:pPr>
              <w:spacing w:line="480" w:lineRule="auto"/>
              <w:jc w:val="center"/>
              <w:rPr>
                <w:rFonts w:ascii="Times New Roman" w:hAnsi="Times New Roman"/>
              </w:rPr>
            </w:pPr>
            <w:r>
              <w:rPr>
                <w:rFonts w:ascii="Times New Roman" w:hAnsi="Times New Roman"/>
              </w:rPr>
              <w:t xml:space="preserve">AOA </w:t>
            </w:r>
            <w:r>
              <w:rPr>
                <w:rFonts w:ascii="Times New Roman" w:hAnsi="Times New Roman"/>
                <w:i/>
              </w:rPr>
              <w:t>amoA</w:t>
            </w:r>
          </w:p>
        </w:tc>
        <w:tc>
          <w:tcPr>
            <w:tcW w:w="1457" w:type="dxa"/>
            <w:vAlign w:val="center"/>
          </w:tcPr>
          <w:p w14:paraId="69DA80D3" w14:textId="77777777" w:rsidR="000252CD" w:rsidRDefault="000252CD" w:rsidP="00D83D4E">
            <w:pPr>
              <w:spacing w:line="480" w:lineRule="auto"/>
              <w:jc w:val="center"/>
              <w:rPr>
                <w:rFonts w:ascii="Times New Roman" w:hAnsi="Times New Roman"/>
              </w:rPr>
            </w:pPr>
            <w:r>
              <w:rPr>
                <w:rFonts w:ascii="Times New Roman" w:hAnsi="Times New Roman"/>
              </w:rPr>
              <w:t>Arch-</w:t>
            </w:r>
            <w:r w:rsidRPr="00F9089B">
              <w:rPr>
                <w:rFonts w:ascii="Times New Roman" w:hAnsi="Times New Roman"/>
              </w:rPr>
              <w:t>amoAF</w:t>
            </w:r>
          </w:p>
        </w:tc>
        <w:tc>
          <w:tcPr>
            <w:tcW w:w="3027" w:type="dxa"/>
            <w:vAlign w:val="center"/>
          </w:tcPr>
          <w:p w14:paraId="7E8D1290" w14:textId="77777777" w:rsidR="000252CD" w:rsidRDefault="000252CD" w:rsidP="00D83D4E">
            <w:pPr>
              <w:spacing w:line="480" w:lineRule="auto"/>
              <w:jc w:val="center"/>
              <w:rPr>
                <w:rFonts w:ascii="Times New Roman" w:hAnsi="Times New Roman"/>
              </w:rPr>
            </w:pPr>
            <w:r>
              <w:rPr>
                <w:rFonts w:ascii="Times New Roman" w:hAnsi="Times New Roman"/>
              </w:rPr>
              <w:t>STAATGGTCTGGCTTAGACG</w:t>
            </w:r>
          </w:p>
        </w:tc>
        <w:tc>
          <w:tcPr>
            <w:tcW w:w="1186" w:type="dxa"/>
            <w:vMerge w:val="restart"/>
            <w:vAlign w:val="center"/>
          </w:tcPr>
          <w:p w14:paraId="050E1E72" w14:textId="77777777" w:rsidR="000252CD" w:rsidRDefault="000252CD" w:rsidP="00D83D4E">
            <w:pPr>
              <w:spacing w:line="480" w:lineRule="auto"/>
              <w:jc w:val="center"/>
              <w:rPr>
                <w:rFonts w:ascii="Times New Roman" w:hAnsi="Times New Roman"/>
              </w:rPr>
            </w:pPr>
            <w:r>
              <w:rPr>
                <w:rFonts w:ascii="Times New Roman" w:hAnsi="Times New Roman"/>
              </w:rPr>
              <w:fldChar w:fldCharType="begin" w:fldLock="1"/>
            </w:r>
            <w:r>
              <w:rPr>
                <w:rFonts w:ascii="Times New Roman" w:hAnsi="Times New Roman"/>
              </w:rPr>
              <w:instrText xml:space="preserve">ADDIN CSL_CITATION {"citationItems":[{"id":"ITEM-1","itemData":{"DOI":"10.1073/pnas.0506625102","ISSN":"0027-8424","author":[{"dropping-particle":"","family":"Francis","given":"C. A.","non-dropping-particle":"","parse-names":false,"suffix":""},{"dropping-particle":"","family":"Roberts","given":"K. J.","non-dropping-particle":"","parse-names":false,"suffix":""},{"dropping-particle":"","family":"Beman","given":"J. M.","non-dropping-particle":"","parse-names":false,"suffix":""},{"dropping-particle":"","family":"Santoro","given":"A. E.","non-dropping-particle":"","parse-names":false,"suffix":""},{"dropping-particle":"","family":"Oakley","given":"B. B.","non-dropping-particle":"","parse-names":false,"suffix":""}],"container-title":"Proceedings of the National </w:instrText>
            </w:r>
            <w:r>
              <w:rPr>
                <w:rFonts w:ascii="Times New Roman" w:hAnsi="Times New Roman" w:hint="eastAsia"/>
              </w:rPr>
              <w:instrText>Academy of Sciences","id":"ITEM-1","issue":"41","issued":{"date-parts":[["2005","10","11"]]},"note":"Arch-amoAF / Arch-amoAR</w:instrText>
            </w:r>
            <w:r>
              <w:rPr>
                <w:rFonts w:ascii="Times New Roman" w:hAnsi="Times New Roman" w:hint="eastAsia"/>
              </w:rPr>
              <w:instrText>为</w:instrText>
            </w:r>
            <w:r>
              <w:rPr>
                <w:rFonts w:ascii="Times New Roman" w:hAnsi="Times New Roman" w:hint="eastAsia"/>
              </w:rPr>
              <w:instrText xml:space="preserve">AOA amoA </w:instrText>
            </w:r>
            <w:r>
              <w:rPr>
                <w:rFonts w:ascii="Times New Roman" w:hAnsi="Times New Roman" w:hint="eastAsia"/>
              </w:rPr>
              <w:instrText>的定量</w:instrText>
            </w:r>
            <w:r>
              <w:rPr>
                <w:rFonts w:ascii="Times New Roman" w:hAnsi="Times New Roman" w:hint="eastAsia"/>
              </w:rPr>
              <w:instrText>PCR</w:instrText>
            </w:r>
            <w:r>
              <w:rPr>
                <w:rFonts w:ascii="Times New Roman" w:hAnsi="Times New Roman" w:hint="eastAsia"/>
              </w:rPr>
              <w:instrText>引物</w:instrText>
            </w:r>
            <w:r>
              <w:rPr>
                <w:rFonts w:ascii="Times New Roman" w:hAnsi="Times New Roman" w:hint="eastAsia"/>
              </w:rPr>
              <w:instrText>","page":"14683-14688","title":"Ubiquity and diversity of ammonia-oxidizing archaea in water columns and sediment</w:instrText>
            </w:r>
            <w:r>
              <w:rPr>
                <w:rFonts w:ascii="Times New Roman" w:hAnsi="Times New Roman"/>
              </w:rPr>
              <w:instrText>s of the ocean","type":"article-journal","volume":"102"},"uris":["http://www.mendeley.com/documents/?uuid=90177c09-8f17-4fb4-b0df-7d6be3cb452c"]}],"mendeley":{"formattedCitation":"(Francis et al., 2005)","plainTextFormattedCitation":"(Francis et al., 2005)","previouslyFormattedCitation":"(Francis et al., 2005)"},"properties":{"noteIndex":0},"schema":"https://github.com/citation-style-language/schema/raw/master/csl-citation.json"}</w:instrText>
            </w:r>
            <w:r>
              <w:rPr>
                <w:rFonts w:ascii="Times New Roman" w:hAnsi="Times New Roman"/>
              </w:rPr>
              <w:fldChar w:fldCharType="separate"/>
            </w:r>
            <w:r>
              <w:rPr>
                <w:rFonts w:ascii="Times New Roman" w:hAnsi="Times New Roman"/>
              </w:rPr>
              <w:t>(Francis et al., 2005)</w:t>
            </w:r>
            <w:r>
              <w:rPr>
                <w:rFonts w:ascii="Times New Roman" w:hAnsi="Times New Roman"/>
              </w:rPr>
              <w:fldChar w:fldCharType="end"/>
            </w:r>
          </w:p>
        </w:tc>
        <w:tc>
          <w:tcPr>
            <w:tcW w:w="2552" w:type="dxa"/>
            <w:vMerge w:val="restart"/>
            <w:vAlign w:val="center"/>
          </w:tcPr>
          <w:p w14:paraId="09B29FE8" w14:textId="77777777" w:rsidR="000252CD" w:rsidRDefault="000252CD" w:rsidP="00D83D4E">
            <w:pPr>
              <w:spacing w:line="480" w:lineRule="auto"/>
              <w:jc w:val="center"/>
              <w:rPr>
                <w:rFonts w:ascii="Times New Roman" w:hAnsi="Times New Roman"/>
              </w:rPr>
            </w:pPr>
            <w:r>
              <w:rPr>
                <w:rFonts w:ascii="Times New Roman" w:hAnsi="Times New Roman"/>
              </w:rPr>
              <w:t>95°C</w:t>
            </w:r>
            <w:r>
              <w:rPr>
                <w:rFonts w:ascii="Times New Roman" w:hAnsi="Times New Roman"/>
                <w:lang w:val="en-MY"/>
              </w:rPr>
              <w:t>/</w:t>
            </w:r>
            <w:r>
              <w:rPr>
                <w:rFonts w:ascii="Times New Roman" w:hAnsi="Times New Roman"/>
              </w:rPr>
              <w:t>5 min; 35 cycles of 94°C</w:t>
            </w:r>
            <w:r>
              <w:rPr>
                <w:rFonts w:ascii="Times New Roman" w:hAnsi="Times New Roman"/>
                <w:lang w:val="en-MY"/>
              </w:rPr>
              <w:t>/45 s</w:t>
            </w:r>
            <w:r>
              <w:rPr>
                <w:rFonts w:ascii="Times New Roman" w:hAnsi="Times New Roman"/>
              </w:rPr>
              <w:t xml:space="preserve">, </w:t>
            </w:r>
            <w:r>
              <w:rPr>
                <w:rFonts w:ascii="Times New Roman" w:hAnsi="Times New Roman" w:hint="eastAsia"/>
              </w:rPr>
              <w:t>5</w:t>
            </w:r>
            <w:r>
              <w:rPr>
                <w:rFonts w:ascii="Times New Roman" w:hAnsi="Times New Roman"/>
              </w:rPr>
              <w:t>3°C</w:t>
            </w:r>
            <w:r>
              <w:rPr>
                <w:rFonts w:ascii="Times New Roman" w:hAnsi="Times New Roman"/>
                <w:lang w:val="en-MY"/>
              </w:rPr>
              <w:t>/60 s</w:t>
            </w:r>
            <w:r>
              <w:rPr>
                <w:rFonts w:ascii="Times New Roman" w:hAnsi="Times New Roman"/>
              </w:rPr>
              <w:t xml:space="preserve">, </w:t>
            </w:r>
            <w:r>
              <w:rPr>
                <w:rFonts w:ascii="Times New Roman" w:hAnsi="Times New Roman"/>
                <w:lang w:val="en-MY"/>
              </w:rPr>
              <w:t>and</w:t>
            </w:r>
            <w:r>
              <w:rPr>
                <w:rFonts w:ascii="Times New Roman" w:hAnsi="Times New Roman"/>
              </w:rPr>
              <w:t xml:space="preserve"> 72°C</w:t>
            </w:r>
            <w:r>
              <w:rPr>
                <w:rFonts w:ascii="Times New Roman" w:hAnsi="Times New Roman"/>
                <w:lang w:val="en-MY"/>
              </w:rPr>
              <w:t>/ 60 s</w:t>
            </w:r>
            <w:r>
              <w:rPr>
                <w:rFonts w:ascii="Times New Roman" w:hAnsi="Times New Roman"/>
              </w:rPr>
              <w:t>.</w:t>
            </w:r>
          </w:p>
        </w:tc>
      </w:tr>
      <w:tr w:rsidR="000252CD" w14:paraId="1B57893B" w14:textId="77777777" w:rsidTr="00D83D4E">
        <w:trPr>
          <w:cantSplit/>
          <w:trHeight w:val="567"/>
          <w:jc w:val="center"/>
        </w:trPr>
        <w:tc>
          <w:tcPr>
            <w:tcW w:w="1413" w:type="dxa"/>
            <w:vMerge/>
            <w:vAlign w:val="center"/>
          </w:tcPr>
          <w:p w14:paraId="275777C2" w14:textId="77777777" w:rsidR="000252CD" w:rsidRDefault="000252CD" w:rsidP="00D83D4E">
            <w:pPr>
              <w:spacing w:line="480" w:lineRule="auto"/>
              <w:jc w:val="center"/>
              <w:rPr>
                <w:rFonts w:ascii="Times New Roman" w:hAnsi="Times New Roman"/>
              </w:rPr>
            </w:pPr>
          </w:p>
        </w:tc>
        <w:tc>
          <w:tcPr>
            <w:tcW w:w="1457" w:type="dxa"/>
            <w:vAlign w:val="center"/>
          </w:tcPr>
          <w:p w14:paraId="619A1D80" w14:textId="77777777" w:rsidR="000252CD" w:rsidRDefault="000252CD" w:rsidP="00D83D4E">
            <w:pPr>
              <w:spacing w:line="480" w:lineRule="auto"/>
              <w:jc w:val="center"/>
              <w:rPr>
                <w:rFonts w:ascii="Times New Roman" w:hAnsi="Times New Roman"/>
              </w:rPr>
            </w:pPr>
            <w:r>
              <w:rPr>
                <w:rFonts w:ascii="Times New Roman" w:hAnsi="Times New Roman"/>
              </w:rPr>
              <w:t>Arch-</w:t>
            </w:r>
            <w:r w:rsidRPr="00F9089B">
              <w:rPr>
                <w:rFonts w:ascii="Times New Roman" w:hAnsi="Times New Roman"/>
              </w:rPr>
              <w:t>amoAR</w:t>
            </w:r>
          </w:p>
        </w:tc>
        <w:tc>
          <w:tcPr>
            <w:tcW w:w="3027" w:type="dxa"/>
            <w:vAlign w:val="center"/>
          </w:tcPr>
          <w:p w14:paraId="706A9109" w14:textId="77777777" w:rsidR="000252CD" w:rsidRDefault="000252CD" w:rsidP="00D83D4E">
            <w:pPr>
              <w:spacing w:line="480" w:lineRule="auto"/>
              <w:jc w:val="center"/>
              <w:rPr>
                <w:rFonts w:ascii="Times New Roman" w:hAnsi="Times New Roman"/>
              </w:rPr>
            </w:pPr>
            <w:r>
              <w:rPr>
                <w:rFonts w:ascii="Times New Roman" w:hAnsi="Times New Roman"/>
              </w:rPr>
              <w:t>GCGGCCATCCATCTGTATGT</w:t>
            </w:r>
          </w:p>
        </w:tc>
        <w:tc>
          <w:tcPr>
            <w:tcW w:w="1186" w:type="dxa"/>
            <w:vMerge/>
            <w:vAlign w:val="center"/>
          </w:tcPr>
          <w:p w14:paraId="434B08CB" w14:textId="77777777" w:rsidR="000252CD" w:rsidRDefault="000252CD" w:rsidP="00D83D4E">
            <w:pPr>
              <w:spacing w:line="480" w:lineRule="auto"/>
              <w:jc w:val="center"/>
              <w:rPr>
                <w:rFonts w:ascii="Times New Roman" w:hAnsi="Times New Roman"/>
              </w:rPr>
            </w:pPr>
          </w:p>
        </w:tc>
        <w:tc>
          <w:tcPr>
            <w:tcW w:w="2552" w:type="dxa"/>
            <w:vMerge/>
            <w:vAlign w:val="center"/>
          </w:tcPr>
          <w:p w14:paraId="309D3DC5" w14:textId="77777777" w:rsidR="000252CD" w:rsidRDefault="000252CD" w:rsidP="00D83D4E">
            <w:pPr>
              <w:spacing w:line="480" w:lineRule="auto"/>
              <w:jc w:val="center"/>
              <w:rPr>
                <w:rFonts w:ascii="Times New Roman" w:hAnsi="Times New Roman"/>
              </w:rPr>
            </w:pPr>
          </w:p>
        </w:tc>
      </w:tr>
      <w:tr w:rsidR="000252CD" w14:paraId="6C668624" w14:textId="77777777" w:rsidTr="00D83D4E">
        <w:trPr>
          <w:cantSplit/>
          <w:trHeight w:val="567"/>
          <w:jc w:val="center"/>
        </w:trPr>
        <w:tc>
          <w:tcPr>
            <w:tcW w:w="1413" w:type="dxa"/>
            <w:vMerge w:val="restart"/>
            <w:vAlign w:val="center"/>
          </w:tcPr>
          <w:p w14:paraId="08386E09" w14:textId="77777777" w:rsidR="000252CD" w:rsidRDefault="000252CD" w:rsidP="00D83D4E">
            <w:pPr>
              <w:spacing w:line="480" w:lineRule="auto"/>
              <w:jc w:val="center"/>
              <w:rPr>
                <w:rFonts w:ascii="Times New Roman" w:hAnsi="Times New Roman"/>
              </w:rPr>
            </w:pPr>
            <w:r>
              <w:rPr>
                <w:rFonts w:ascii="Times New Roman" w:hAnsi="Times New Roman"/>
              </w:rPr>
              <w:t xml:space="preserve">AOB </w:t>
            </w:r>
            <w:r>
              <w:rPr>
                <w:rFonts w:ascii="Times New Roman" w:hAnsi="Times New Roman"/>
                <w:i/>
              </w:rPr>
              <w:t>amoA</w:t>
            </w:r>
          </w:p>
        </w:tc>
        <w:tc>
          <w:tcPr>
            <w:tcW w:w="1457" w:type="dxa"/>
            <w:vAlign w:val="center"/>
          </w:tcPr>
          <w:p w14:paraId="77E1FB53" w14:textId="77777777" w:rsidR="000252CD" w:rsidRPr="00F9089B" w:rsidRDefault="000252CD" w:rsidP="00D83D4E">
            <w:pPr>
              <w:autoSpaceDE w:val="0"/>
              <w:autoSpaceDN w:val="0"/>
              <w:adjustRightInd w:val="0"/>
              <w:spacing w:line="480" w:lineRule="auto"/>
              <w:jc w:val="center"/>
              <w:rPr>
                <w:rFonts w:ascii="Times New Roman" w:hAnsi="Times New Roman"/>
                <w:color w:val="000000"/>
                <w:szCs w:val="24"/>
              </w:rPr>
            </w:pPr>
            <w:r w:rsidRPr="00F9089B">
              <w:rPr>
                <w:rFonts w:ascii="Times New Roman" w:hAnsi="Times New Roman"/>
                <w:color w:val="000000"/>
                <w:szCs w:val="24"/>
              </w:rPr>
              <w:t>amoA-1Fmod</w:t>
            </w:r>
          </w:p>
        </w:tc>
        <w:tc>
          <w:tcPr>
            <w:tcW w:w="3027" w:type="dxa"/>
            <w:vAlign w:val="center"/>
          </w:tcPr>
          <w:p w14:paraId="337397DD" w14:textId="77777777" w:rsidR="000252CD" w:rsidRDefault="000252CD" w:rsidP="00D83D4E">
            <w:pPr>
              <w:autoSpaceDE w:val="0"/>
              <w:autoSpaceDN w:val="0"/>
              <w:adjustRightInd w:val="0"/>
              <w:spacing w:line="480" w:lineRule="auto"/>
              <w:jc w:val="center"/>
              <w:rPr>
                <w:rFonts w:ascii="Times New Roman" w:hAnsi="Times New Roman" w:cs="SimSun"/>
                <w:color w:val="000000"/>
                <w:szCs w:val="24"/>
              </w:rPr>
            </w:pPr>
            <w:r>
              <w:rPr>
                <w:rFonts w:ascii="Times New Roman" w:hAnsi="Times New Roman"/>
                <w:color w:val="000000"/>
                <w:szCs w:val="24"/>
              </w:rPr>
              <w:t>CTGGGGTTTCTACTGGTGGTC</w:t>
            </w:r>
          </w:p>
        </w:tc>
        <w:tc>
          <w:tcPr>
            <w:tcW w:w="1186" w:type="dxa"/>
            <w:vMerge w:val="restart"/>
            <w:vAlign w:val="center"/>
          </w:tcPr>
          <w:p w14:paraId="7495C4BC" w14:textId="77777777" w:rsidR="000252CD" w:rsidRDefault="000252CD" w:rsidP="00D83D4E">
            <w:pPr>
              <w:spacing w:line="480" w:lineRule="auto"/>
              <w:jc w:val="center"/>
              <w:rPr>
                <w:rFonts w:ascii="Times New Roman" w:hAnsi="Times New Roman"/>
              </w:rPr>
            </w:pPr>
            <w:r>
              <w:rPr>
                <w:rFonts w:ascii="Times New Roman" w:hAnsi="Times New Roman"/>
              </w:rPr>
              <w:fldChar w:fldCharType="begin" w:fldLock="1"/>
            </w:r>
            <w:r>
              <w:rPr>
                <w:rFonts w:ascii="Times New Roman" w:hAnsi="Times New Roman"/>
              </w:rPr>
              <w:instrText>ADDIN CSL_CITATION {"citationItems":[{"id":"ITEM-1","itemData":{"DOI":"10.1111/1758-2229.12259","ISSN":"17582229","author":[{"dropping-particle":"","family":"Meinhardt","given":"Kelley A.","non-dropping-particle":"","parse-names":false,"suffix":""},{"dropping-particle":"","family":"Bertagnolli","given":"Anthony","non-dropping-particle":"","parse-names":false,"suffix":""},{"dropping-particle":"","family":"Pannu","given":"Manmeet W.","non-dropping-particle":"","parse-names":false,"suffix":""},{"dropping-particle":"","family":"Strand","given":"Stuart E.","non-dropping-particle":"","parse-names":false,"suffix":""},{"dropping-particle":"","family":"Brown","given":"Sally L.","non-dropping-particle":"","parse-names":false,"suffix":""},{"dropping-particle":"","fa</w:instrText>
            </w:r>
            <w:r>
              <w:rPr>
                <w:rFonts w:ascii="Times New Roman" w:hAnsi="Times New Roman" w:hint="eastAsia"/>
              </w:rPr>
              <w:instrText xml:space="preserve">mily":"Stahl","given":"David A.","non-dropping-particle":"","parse-names":false,"suffix":""}],"container-title":"Environmental Microbiology Reports","id":"ITEM-1","issue":"2","issued":{"date-parts":[["2015","4"]]},"note":"amoA-1Fmod/ GenAOBR </w:instrText>
            </w:r>
            <w:r>
              <w:rPr>
                <w:rFonts w:ascii="Times New Roman" w:hAnsi="Times New Roman" w:hint="eastAsia"/>
              </w:rPr>
              <w:instrText>为</w:instrText>
            </w:r>
            <w:r>
              <w:rPr>
                <w:rFonts w:ascii="Times New Roman" w:hAnsi="Times New Roman" w:hint="eastAsia"/>
              </w:rPr>
              <w:instrText>AOB amoA</w:instrText>
            </w:r>
            <w:r>
              <w:rPr>
                <w:rFonts w:ascii="Times New Roman" w:hAnsi="Times New Roman" w:hint="eastAsia"/>
              </w:rPr>
              <w:instrText>的定量</w:instrText>
            </w:r>
            <w:r>
              <w:rPr>
                <w:rFonts w:ascii="Times New Roman" w:hAnsi="Times New Roman" w:hint="eastAsia"/>
              </w:rPr>
              <w:instrText>PCR</w:instrText>
            </w:r>
            <w:r>
              <w:rPr>
                <w:rFonts w:ascii="Times New Roman" w:hAnsi="Times New Roman" w:hint="eastAsia"/>
              </w:rPr>
              <w:instrText>引物</w:instrText>
            </w:r>
            <w:r>
              <w:rPr>
                <w:rFonts w:ascii="Times New Roman" w:hAnsi="Times New Roman" w:hint="eastAsia"/>
              </w:rPr>
              <w:instrText>","page":"354-363","title":"Evaluation of revised polymerase chain reaction primers for more inclusive quantification of ammonia-oxidizing archaea and bacteria","type":"article-journal","volume":"7"},"uris":["http://www.mendeley.com/documents/?uuid=a5</w:instrText>
            </w:r>
            <w:r>
              <w:rPr>
                <w:rFonts w:ascii="Times New Roman" w:hAnsi="Times New Roman"/>
              </w:rPr>
              <w:instrText>1f241a-4656-45b0-9396-a5adde2eb2e3"]}],"mendeley":{"formattedCitation":"(Meinhardt et al., 2015)","plainTextFormattedCitation":"(Meinhardt et al., 2015)","previouslyFormattedCitation":"(Meinhardt et al., 2015)"},"properties":{"noteIndex":0},"schema":"https://github.com/citation-style-language/schema/raw/master/csl-citation.json"}</w:instrText>
            </w:r>
            <w:r>
              <w:rPr>
                <w:rFonts w:ascii="Times New Roman" w:hAnsi="Times New Roman"/>
              </w:rPr>
              <w:fldChar w:fldCharType="separate"/>
            </w:r>
            <w:r>
              <w:rPr>
                <w:rFonts w:ascii="Times New Roman" w:hAnsi="Times New Roman"/>
              </w:rPr>
              <w:t>(Meinhardt et al., 2015)</w:t>
            </w:r>
            <w:r>
              <w:rPr>
                <w:rFonts w:ascii="Times New Roman" w:hAnsi="Times New Roman"/>
              </w:rPr>
              <w:fldChar w:fldCharType="end"/>
            </w:r>
          </w:p>
        </w:tc>
        <w:tc>
          <w:tcPr>
            <w:tcW w:w="2552" w:type="dxa"/>
            <w:vMerge w:val="restart"/>
            <w:vAlign w:val="center"/>
          </w:tcPr>
          <w:p w14:paraId="30A95D21" w14:textId="77777777" w:rsidR="000252CD" w:rsidRDefault="000252CD" w:rsidP="00D83D4E">
            <w:pPr>
              <w:spacing w:line="480" w:lineRule="auto"/>
              <w:jc w:val="center"/>
              <w:rPr>
                <w:rFonts w:ascii="Times New Roman" w:hAnsi="Times New Roman"/>
              </w:rPr>
            </w:pPr>
            <w:r>
              <w:rPr>
                <w:rFonts w:ascii="Times New Roman" w:hAnsi="Times New Roman"/>
              </w:rPr>
              <w:t>95°C</w:t>
            </w:r>
            <w:r>
              <w:rPr>
                <w:rFonts w:ascii="Times New Roman" w:hAnsi="Times New Roman"/>
                <w:lang w:val="en-MY"/>
              </w:rPr>
              <w:t>/</w:t>
            </w:r>
            <w:r>
              <w:rPr>
                <w:rFonts w:ascii="Times New Roman" w:hAnsi="Times New Roman"/>
              </w:rPr>
              <w:t>5 min; 45 cycles of 95°C</w:t>
            </w:r>
            <w:r>
              <w:rPr>
                <w:rFonts w:ascii="Times New Roman" w:hAnsi="Times New Roman"/>
                <w:lang w:val="en-MY"/>
              </w:rPr>
              <w:t>/ 10 s</w:t>
            </w:r>
            <w:r>
              <w:rPr>
                <w:rFonts w:ascii="Times New Roman" w:hAnsi="Times New Roman"/>
              </w:rPr>
              <w:t>, 58°C</w:t>
            </w:r>
            <w:r>
              <w:rPr>
                <w:rFonts w:ascii="Times New Roman" w:hAnsi="Times New Roman"/>
                <w:lang w:val="en-MY"/>
              </w:rPr>
              <w:t>/10 s</w:t>
            </w:r>
            <w:r>
              <w:rPr>
                <w:rFonts w:ascii="Times New Roman" w:hAnsi="Times New Roman"/>
              </w:rPr>
              <w:t xml:space="preserve">, </w:t>
            </w:r>
            <w:r>
              <w:rPr>
                <w:rFonts w:ascii="Times New Roman" w:hAnsi="Times New Roman"/>
                <w:lang w:val="en-MY"/>
              </w:rPr>
              <w:t xml:space="preserve">and </w:t>
            </w:r>
            <w:r>
              <w:rPr>
                <w:rFonts w:ascii="Times New Roman" w:hAnsi="Times New Roman"/>
              </w:rPr>
              <w:t>72°C</w:t>
            </w:r>
            <w:r>
              <w:rPr>
                <w:rFonts w:ascii="Times New Roman" w:hAnsi="Times New Roman"/>
                <w:lang w:val="en-MY"/>
              </w:rPr>
              <w:t>/13 s</w:t>
            </w:r>
            <w:r>
              <w:rPr>
                <w:rFonts w:ascii="Times New Roman" w:hAnsi="Times New Roman"/>
              </w:rPr>
              <w:t>.</w:t>
            </w:r>
          </w:p>
        </w:tc>
      </w:tr>
    </w:tbl>
    <w:p w14:paraId="3434F409" w14:textId="77777777" w:rsidR="00C443D2" w:rsidRPr="000252CD" w:rsidRDefault="00C443D2"/>
    <w:sectPr w:rsidR="00C443D2" w:rsidRPr="000252C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E35FBCA" w14:textId="77777777" w:rsidR="00AB2361" w:rsidRDefault="00AB2361" w:rsidP="000252CD">
      <w:r>
        <w:separator/>
      </w:r>
    </w:p>
  </w:endnote>
  <w:endnote w:type="continuationSeparator" w:id="0">
    <w:p w14:paraId="37023E47" w14:textId="77777777" w:rsidR="00AB2361" w:rsidRDefault="00AB2361" w:rsidP="000252C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8EA82A7" w14:textId="77777777" w:rsidR="00AB2361" w:rsidRDefault="00AB2361" w:rsidP="000252CD">
      <w:r>
        <w:separator/>
      </w:r>
    </w:p>
  </w:footnote>
  <w:footnote w:type="continuationSeparator" w:id="0">
    <w:p w14:paraId="3290F4B3" w14:textId="77777777" w:rsidR="00AB2361" w:rsidRDefault="00AB2361" w:rsidP="000252C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F237D"/>
    <w:rsid w:val="000252CD"/>
    <w:rsid w:val="003D6B4D"/>
    <w:rsid w:val="004F237D"/>
    <w:rsid w:val="007A087D"/>
    <w:rsid w:val="00AB2361"/>
    <w:rsid w:val="00C0520B"/>
    <w:rsid w:val="00C443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936F0B7"/>
  <w15:docId w15:val="{A7E2E8CD-C0C5-4FEB-9561-F6CE387401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252CD"/>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252CD"/>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rsid w:val="000252CD"/>
    <w:rPr>
      <w:sz w:val="18"/>
      <w:szCs w:val="18"/>
    </w:rPr>
  </w:style>
  <w:style w:type="paragraph" w:styleId="Footer">
    <w:name w:val="footer"/>
    <w:basedOn w:val="Normal"/>
    <w:link w:val="FooterChar"/>
    <w:uiPriority w:val="99"/>
    <w:unhideWhenUsed/>
    <w:rsid w:val="000252CD"/>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rsid w:val="000252CD"/>
    <w:rPr>
      <w:sz w:val="18"/>
      <w:szCs w:val="18"/>
    </w:rPr>
  </w:style>
  <w:style w:type="table" w:styleId="TableGrid">
    <w:name w:val="Table Grid"/>
    <w:basedOn w:val="TableNormal"/>
    <w:uiPriority w:val="59"/>
    <w:qFormat/>
    <w:rsid w:val="000252CD"/>
    <w:rPr>
      <w:rFonts w:ascii="Times New Roman" w:eastAsia="SimSun"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
    <w:name w:val="网格型3"/>
    <w:basedOn w:val="TableNormal"/>
    <w:uiPriority w:val="39"/>
    <w:qFormat/>
    <w:rsid w:val="000252CD"/>
    <w:rPr>
      <w:rFonts w:ascii="Calibri" w:eastAsia="SimSun"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B76EEF6-ACD0-4273-807B-234ED8BED7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2118</Words>
  <Characters>12076</Characters>
  <Application>Microsoft Office Word</Application>
  <DocSecurity>0</DocSecurity>
  <Lines>100</Lines>
  <Paragraphs>28</Paragraphs>
  <ScaleCrop>false</ScaleCrop>
  <Company/>
  <LinksUpToDate>false</LinksUpToDate>
  <CharactersWithSpaces>14166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Trupti Sudge</cp:lastModifiedBy>
  <cp:revision>2</cp:revision>
  <dcterms:created xsi:type="dcterms:W3CDTF">2022-10-19T11:41:00Z</dcterms:created>
  <dcterms:modified xsi:type="dcterms:W3CDTF">2022-10-19T11:41:00Z</dcterms:modified>
</cp:coreProperties>
</file>