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75E" w:rsidRPr="00AE202C" w:rsidRDefault="008A175E" w:rsidP="008A175E">
      <w:pPr>
        <w:spacing w:line="480" w:lineRule="auto"/>
        <w:rPr>
          <w:rFonts w:ascii="Times New Roman" w:hAnsi="Times New Roman"/>
          <w:b/>
          <w:sz w:val="24"/>
        </w:rPr>
      </w:pPr>
      <w:r w:rsidRPr="00AE202C">
        <w:rPr>
          <w:rFonts w:ascii="Times New Roman" w:hAnsi="Times New Roman"/>
          <w:b/>
          <w:sz w:val="24"/>
        </w:rPr>
        <w:t xml:space="preserve">Supplementary </w:t>
      </w:r>
      <w:r>
        <w:rPr>
          <w:rFonts w:ascii="Times New Roman" w:hAnsi="Times New Roman"/>
          <w:b/>
          <w:sz w:val="24"/>
        </w:rPr>
        <w:t>T</w:t>
      </w:r>
      <w:r w:rsidRPr="00AE202C">
        <w:rPr>
          <w:rFonts w:ascii="Times New Roman" w:hAnsi="Times New Roman"/>
          <w:b/>
          <w:sz w:val="24"/>
        </w:rPr>
        <w:t xml:space="preserve">able </w:t>
      </w:r>
      <w:r>
        <w:rPr>
          <w:rFonts w:ascii="Times New Roman" w:hAnsi="Times New Roman"/>
          <w:b/>
          <w:sz w:val="24"/>
        </w:rPr>
        <w:t>S</w:t>
      </w:r>
      <w:r w:rsidRPr="00AE202C">
        <w:rPr>
          <w:rFonts w:ascii="Times New Roman" w:hAnsi="Times New Roman"/>
          <w:b/>
          <w:sz w:val="24"/>
        </w:rPr>
        <w:t xml:space="preserve">1. </w:t>
      </w:r>
      <w:r w:rsidRPr="004B69F2">
        <w:rPr>
          <w:rFonts w:ascii="Times New Roman" w:hAnsi="Times New Roman"/>
          <w:bCs/>
          <w:sz w:val="24"/>
        </w:rPr>
        <w:t>Laboratory indicators of patients before baseline</w:t>
      </w:r>
    </w:p>
    <w:tbl>
      <w:tblPr>
        <w:tblW w:w="82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52"/>
        <w:gridCol w:w="1793"/>
        <w:gridCol w:w="1893"/>
      </w:tblGrid>
      <w:tr w:rsidR="008A175E" w:rsidRPr="000A4BC7" w:rsidTr="00C078CB">
        <w:tc>
          <w:tcPr>
            <w:tcW w:w="45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A175E" w:rsidRPr="000A4BC7" w:rsidRDefault="008A175E" w:rsidP="00C078C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FangSong" w:hAnsi="Times New Roman"/>
                <w:b/>
                <w:kern w:val="0"/>
                <w:sz w:val="24"/>
              </w:rPr>
            </w:pPr>
            <w:r w:rsidRPr="000A4BC7">
              <w:rPr>
                <w:rFonts w:ascii="Times New Roman" w:eastAsia="FangSong" w:hAnsi="Times New Roman"/>
                <w:b/>
                <w:kern w:val="0"/>
                <w:sz w:val="24"/>
              </w:rPr>
              <w:t>Characteristics</w:t>
            </w:r>
          </w:p>
        </w:tc>
        <w:tc>
          <w:tcPr>
            <w:tcW w:w="17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A175E" w:rsidRPr="000A4BC7" w:rsidRDefault="008A175E" w:rsidP="00C078C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FangSong" w:hAnsi="Times New Roman"/>
                <w:b/>
                <w:kern w:val="0"/>
                <w:sz w:val="24"/>
              </w:rPr>
            </w:pPr>
            <w:r w:rsidRPr="000A4BC7">
              <w:rPr>
                <w:rFonts w:ascii="Times New Roman" w:eastAsia="FangSong" w:hAnsi="Times New Roman"/>
                <w:b/>
                <w:kern w:val="0"/>
                <w:sz w:val="24"/>
              </w:rPr>
              <w:t>Pre 24 weeks</w:t>
            </w:r>
            <w:r>
              <w:rPr>
                <w:rFonts w:ascii="Times New Roman" w:eastAsia="FangSong" w:hAnsi="Times New Roman"/>
                <w:b/>
                <w:kern w:val="0"/>
                <w:sz w:val="24"/>
              </w:rPr>
              <w:t>*</w:t>
            </w:r>
          </w:p>
        </w:tc>
        <w:tc>
          <w:tcPr>
            <w:tcW w:w="18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A175E" w:rsidRPr="000A4BC7" w:rsidRDefault="008A175E" w:rsidP="00C078C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FangSong" w:hAnsi="Times New Roman"/>
                <w:b/>
                <w:kern w:val="0"/>
                <w:sz w:val="24"/>
              </w:rPr>
            </w:pPr>
            <w:r w:rsidRPr="000A4BC7">
              <w:rPr>
                <w:rFonts w:ascii="Times New Roman" w:eastAsia="FangSong" w:hAnsi="Times New Roman"/>
                <w:b/>
                <w:kern w:val="0"/>
                <w:sz w:val="24"/>
              </w:rPr>
              <w:t>Pre 12 weeks</w:t>
            </w:r>
            <w:r>
              <w:rPr>
                <w:rFonts w:ascii="Times New Roman" w:eastAsia="FangSong" w:hAnsi="Times New Roman"/>
                <w:b/>
                <w:kern w:val="0"/>
                <w:sz w:val="24"/>
              </w:rPr>
              <w:t>*</w:t>
            </w:r>
          </w:p>
        </w:tc>
      </w:tr>
      <w:tr w:rsidR="008A175E" w:rsidRPr="000A4BC7" w:rsidTr="00C078CB">
        <w:tc>
          <w:tcPr>
            <w:tcW w:w="455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Blood lipid</w:t>
            </w:r>
          </w:p>
        </w:tc>
        <w:tc>
          <w:tcPr>
            <w:tcW w:w="179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adjustRightInd w:val="0"/>
              <w:snapToGrid w:val="0"/>
              <w:spacing w:line="480" w:lineRule="auto"/>
              <w:textAlignment w:val="center"/>
              <w:rPr>
                <w:rFonts w:ascii="Times New Roman" w:eastAsia="FangSong" w:hAnsi="Times New Roman"/>
                <w:kern w:val="0"/>
                <w:sz w:val="24"/>
              </w:rPr>
            </w:pPr>
          </w:p>
        </w:tc>
        <w:tc>
          <w:tcPr>
            <w:tcW w:w="1893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adjustRightInd w:val="0"/>
              <w:snapToGrid w:val="0"/>
              <w:spacing w:line="480" w:lineRule="auto"/>
              <w:textAlignment w:val="center"/>
              <w:rPr>
                <w:rFonts w:ascii="Times New Roman" w:eastAsia="FangSong" w:hAnsi="Times New Roman"/>
                <w:kern w:val="0"/>
                <w:sz w:val="24"/>
              </w:rPr>
            </w:pP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adjustRightInd w:val="0"/>
              <w:snapToGrid w:val="0"/>
              <w:spacing w:line="480" w:lineRule="auto"/>
              <w:ind w:firstLineChars="200" w:firstLine="480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Triglycerides (&gt;1.695 mmol/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96 (50.5%)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94 (50.8%)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adjustRightInd w:val="0"/>
              <w:snapToGrid w:val="0"/>
              <w:spacing w:line="480" w:lineRule="auto"/>
              <w:ind w:firstLineChars="200" w:firstLine="480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Total cholesterol (&gt;6.24 mmol/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33 (17.4%)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31 (16.8%)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adjustRightInd w:val="0"/>
              <w:snapToGrid w:val="0"/>
              <w:spacing w:line="480" w:lineRule="auto"/>
              <w:ind w:firstLineChars="200" w:firstLine="480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High-density lipoprotein (&lt;1.04 mmol/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61 (32.1%)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62 (33.5%)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adjustRightInd w:val="0"/>
              <w:snapToGrid w:val="0"/>
              <w:spacing w:line="480" w:lineRule="auto"/>
              <w:ind w:firstLineChars="200" w:firstLine="480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Low-density lipoprotein (&gt;3.36 mmol/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20 (10.5%)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24 (13%)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ALT (&gt;40 U/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38 (18.2%)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43 (21.7%)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AST (&gt; 5 U/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37 (17.6%)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38 (19.2%)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LDH (&gt;245 U/L)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15 (7.4%)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12 (6.3%)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BUN (&gt;8.3 mmol/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6 (2.9%)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3 (1.5%)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CREA (&gt;106 μmol/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13 (6.2%)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10 (5.1%)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UA (&gt;430 μmol/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60 (28.6%)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55 (27.8%)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β2 microglobulin (&gt;1.84 mg/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18 (8.8%)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17 (8.8%)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Serum cystatin C (&gt;1.3 mg/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20 (9.8%)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18 (9.3%)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eGFR (&lt;60 mL/min)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4 (1.9%)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6 (3%)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Blood glucose (&gt;6.11 mmol/</w:t>
            </w:r>
            <w:r>
              <w:rPr>
                <w:rFonts w:ascii="Times New Roman" w:hAnsi="Times New Roman"/>
                <w:kern w:val="0"/>
                <w:sz w:val="24"/>
              </w:rPr>
              <w:t>l</w:t>
            </w:r>
            <w:r w:rsidRPr="000A4BC7"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60 (30%)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63 (32.6%)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Urine specific gravity (&lt;1.010, &gt;1.030)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11 (5.4%)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7 (3.7%)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Urine protein (positive)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47 (23.3%)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27 (14.2%)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Urine occult blood (positive)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29 (14.3%)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20 (10.5%)</w:t>
            </w:r>
          </w:p>
        </w:tc>
      </w:tr>
      <w:tr w:rsidR="008A175E" w:rsidRPr="000A4BC7" w:rsidTr="00C078CB">
        <w:tc>
          <w:tcPr>
            <w:tcW w:w="4552" w:type="dxa"/>
            <w:tcBorders>
              <w:top w:val="nil"/>
              <w:left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Urine glucose (positive)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7 (3.4%)</w:t>
            </w:r>
          </w:p>
        </w:tc>
        <w:tc>
          <w:tcPr>
            <w:tcW w:w="1893" w:type="dxa"/>
            <w:tcBorders>
              <w:top w:val="nil"/>
              <w:left w:val="nil"/>
              <w:right w:val="nil"/>
            </w:tcBorders>
            <w:vAlign w:val="center"/>
          </w:tcPr>
          <w:p w:rsidR="008A175E" w:rsidRPr="000A4BC7" w:rsidRDefault="008A175E" w:rsidP="00C078CB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0A4BC7">
              <w:rPr>
                <w:rFonts w:ascii="Times New Roman" w:hAnsi="Times New Roman"/>
                <w:kern w:val="0"/>
                <w:sz w:val="24"/>
              </w:rPr>
              <w:t>2 (1.1%)</w:t>
            </w:r>
          </w:p>
        </w:tc>
      </w:tr>
    </w:tbl>
    <w:p w:rsidR="008A175E" w:rsidRDefault="008A175E" w:rsidP="008A175E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  <w:r w:rsidRPr="00AE202C">
        <w:rPr>
          <w:rFonts w:ascii="Times New Roman" w:hAnsi="Times New Roman"/>
          <w:sz w:val="24"/>
        </w:rPr>
        <w:t xml:space="preserve">Data </w:t>
      </w:r>
      <w:r>
        <w:rPr>
          <w:rFonts w:ascii="Times New Roman" w:hAnsi="Times New Roman"/>
          <w:sz w:val="24"/>
        </w:rPr>
        <w:t>are</w:t>
      </w:r>
      <w:r w:rsidRPr="00AE202C">
        <w:rPr>
          <w:rFonts w:ascii="Times New Roman" w:hAnsi="Times New Roman"/>
          <w:sz w:val="24"/>
        </w:rPr>
        <w:t xml:space="preserve"> show</w:t>
      </w:r>
      <w:r>
        <w:rPr>
          <w:rFonts w:ascii="Times New Roman" w:hAnsi="Times New Roman"/>
          <w:sz w:val="24"/>
        </w:rPr>
        <w:t>n</w:t>
      </w:r>
      <w:r w:rsidRPr="00AE202C">
        <w:rPr>
          <w:rFonts w:ascii="Times New Roman" w:hAnsi="Times New Roman"/>
          <w:sz w:val="24"/>
        </w:rPr>
        <w:t xml:space="preserve"> as n</w:t>
      </w:r>
      <w:r>
        <w:rPr>
          <w:rFonts w:ascii="Times New Roman" w:hAnsi="Times New Roman"/>
          <w:sz w:val="24"/>
        </w:rPr>
        <w:t>umber</w:t>
      </w:r>
      <w:r w:rsidRPr="00AE202C">
        <w:rPr>
          <w:rFonts w:ascii="Times New Roman" w:hAnsi="Times New Roman"/>
          <w:sz w:val="24"/>
        </w:rPr>
        <w:t xml:space="preserve"> (%).</w:t>
      </w:r>
    </w:p>
    <w:p w:rsidR="008A175E" w:rsidRDefault="008A175E" w:rsidP="008A175E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lastRenderedPageBreak/>
        <w:t>*:</w:t>
      </w:r>
      <w:r>
        <w:rPr>
          <w:rFonts w:ascii="Times New Roman" w:hAnsi="Times New Roman"/>
          <w:sz w:val="24"/>
        </w:rPr>
        <w:t xml:space="preserve"> </w:t>
      </w:r>
      <w:r w:rsidRPr="00DE06B2">
        <w:rPr>
          <w:rFonts w:ascii="Times New Roman" w:hAnsi="Times New Roman"/>
          <w:sz w:val="24"/>
        </w:rPr>
        <w:t>The number of cases at different time points is not exactly the same for different items, and it is not possible to give a uniform number of cases at each time point.</w:t>
      </w:r>
    </w:p>
    <w:p w:rsidR="008A175E" w:rsidRPr="00AE202C" w:rsidRDefault="008A175E" w:rsidP="008A175E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ALT: alanine aminotransferase; AST: aspartate aminotransferase; BUN: blood urea nitrogen; CREA: creatinine; eGFR: estimated glomerular filtration rate; LDH: lactate dehydrogenase; UA: uric acid.</w:t>
      </w:r>
    </w:p>
    <w:p w:rsidR="008A175E" w:rsidRPr="00AE202C" w:rsidRDefault="008A175E" w:rsidP="008A175E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727803" w:rsidRPr="008A175E" w:rsidRDefault="00727803">
      <w:bookmarkStart w:id="0" w:name="_GoBack"/>
      <w:bookmarkEnd w:id="0"/>
    </w:p>
    <w:sectPr w:rsidR="00727803" w:rsidRPr="008A175E" w:rsidSect="00CC0EF9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E08" w:rsidRDefault="008A175E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8A175E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A86E08" w:rsidRDefault="008A175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75E"/>
    <w:rsid w:val="00727803"/>
    <w:rsid w:val="008A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8A1611-6672-4CD2-A30C-2897B6781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75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A1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A175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Medsci-ZJL</dc:creator>
  <cp:keywords/>
  <dc:description/>
  <cp:lastModifiedBy>Medsci-ZJL</cp:lastModifiedBy>
  <cp:revision>1</cp:revision>
  <dcterms:created xsi:type="dcterms:W3CDTF">2022-06-02T05:37:00Z</dcterms:created>
  <dcterms:modified xsi:type="dcterms:W3CDTF">2022-06-02T05:37:00Z</dcterms:modified>
</cp:coreProperties>
</file>