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微软雅黑"/>
          <w:b/>
          <w:bCs/>
          <w:shd w:val="clear" w:color="auto" w:fill="FFFFFF"/>
          <w:lang w:eastAsia="en-AU"/>
        </w:rPr>
      </w:pPr>
      <w:r>
        <w:rPr>
          <w:rFonts w:ascii="Times New Roman" w:hAnsi="Times New Roman" w:eastAsia="微软雅黑" w:cs="Times New Roman"/>
          <w:b/>
          <w:bCs/>
          <w:sz w:val="24"/>
          <w:shd w:val="clear" w:color="auto" w:fill="FFFFFF"/>
        </w:rPr>
        <w:t>Supplemental Information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  <w:color w:val="auto"/>
          <w:kern w:val="0"/>
          <w:sz w:val="24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</w:rPr>
        <w:t>An ER–Horse Detonating Stress</w:t>
      </w:r>
      <w:bookmarkStart w:id="3" w:name="_GoBack"/>
      <w:bookmarkEnd w:id="3"/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</w:rPr>
        <w:t xml:space="preserve"> Cascade for Hepatocellular Carcinoma Nanotherapy</w:t>
      </w:r>
    </w:p>
    <w:p>
      <w:pPr>
        <w:spacing w:line="360" w:lineRule="auto"/>
        <w:rPr>
          <w:rFonts w:hint="eastAsia" w:ascii="Times New Roman" w:hAnsi="Times New Roman" w:cs="Times New Roman"/>
          <w:b/>
          <w:bCs/>
          <w:color w:val="auto"/>
          <w:kern w:val="0"/>
          <w:sz w:val="24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</w:rPr>
        <w:t>Xintong Bian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kern w:val="0"/>
          <w:sz w:val="24"/>
          <w:vertAlign w:val="superscript"/>
        </w:rPr>
        <w:t>,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perscript"/>
        </w:rPr>
        <w:t>,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d,#</w:t>
      </w:r>
      <w:r>
        <w:rPr>
          <w:rFonts w:hint="default" w:ascii="Times New Roman" w:hAnsi="Times New Roman" w:cs="Times New Roman"/>
          <w:kern w:val="0"/>
          <w:sz w:val="24"/>
        </w:rPr>
        <w:t>, Ningke Fan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b,#</w:t>
      </w:r>
      <w:r>
        <w:rPr>
          <w:rFonts w:hint="default" w:ascii="Times New Roman" w:hAnsi="Times New Roman" w:cs="Times New Roman"/>
          <w:kern w:val="0"/>
          <w:sz w:val="24"/>
        </w:rPr>
        <w:t>, Meng Li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e,#</w:t>
      </w:r>
      <w:r>
        <w:rPr>
          <w:rFonts w:hint="default" w:ascii="Times New Roman" w:hAnsi="Times New Roman" w:cs="Times New Roman"/>
          <w:kern w:val="0"/>
          <w:sz w:val="24"/>
        </w:rPr>
        <w:t>, Daobin Han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kern w:val="0"/>
          <w:sz w:val="24"/>
        </w:rPr>
        <w:t>, Jia Li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kern w:val="0"/>
          <w:sz w:val="24"/>
        </w:rPr>
        <w:t>, Lu Fan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kern w:val="0"/>
          <w:sz w:val="24"/>
        </w:rPr>
        <w:t>, Xinyu Li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kern w:val="0"/>
          <w:sz w:val="24"/>
        </w:rPr>
        <w:t>, Liangsheng Kong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kern w:val="0"/>
          <w:sz w:val="24"/>
        </w:rPr>
        <w:t>, Hua Tang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f</w:t>
      </w:r>
      <w:r>
        <w:rPr>
          <w:rFonts w:hint="default" w:ascii="Times New Roman" w:hAnsi="Times New Roman" w:cs="Times New Roman"/>
          <w:kern w:val="0"/>
          <w:sz w:val="24"/>
        </w:rPr>
        <w:t>, Shijia Ding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kern w:val="0"/>
          <w:sz w:val="24"/>
        </w:rPr>
        <w:t>, Fangzhou Song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d,</w:t>
      </w:r>
      <w:r>
        <w:rPr>
          <w:rFonts w:hint="default" w:ascii="Times New Roman" w:hAnsi="Times New Roman" w:cs="Times New Roman"/>
          <w:b/>
          <w:bCs/>
          <w:kern w:val="0"/>
          <w:sz w:val="24"/>
          <w:vertAlign w:val="superscript"/>
        </w:rPr>
        <w:t>*</w:t>
      </w:r>
      <w:r>
        <w:rPr>
          <w:rFonts w:hint="eastAsia" w:ascii="Times New Roman" w:hAnsi="Times New Roman" w:cs="Times New Roman"/>
          <w:b/>
          <w:bCs/>
          <w:kern w:val="0"/>
          <w:sz w:val="24"/>
          <w:vertAlign w:val="superscript"/>
          <w:lang w:val="en-US" w:eastAsia="zh-CN"/>
        </w:rPr>
        <w:t>**</w:t>
      </w:r>
      <w:r>
        <w:rPr>
          <w:rFonts w:hint="default" w:ascii="Times New Roman" w:hAnsi="Times New Roman" w:cs="Times New Roman"/>
          <w:kern w:val="0"/>
          <w:sz w:val="24"/>
        </w:rPr>
        <w:t>, Siqiao Li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c,</w:t>
      </w:r>
      <w:r>
        <w:rPr>
          <w:rFonts w:hint="eastAsia" w:ascii="Times New Roman" w:hAnsi="Times New Roman" w:cs="Times New Roman"/>
          <w:b/>
          <w:bCs/>
          <w:kern w:val="0"/>
          <w:sz w:val="24"/>
          <w:vertAlign w:val="superscript"/>
          <w:lang w:val="en-US" w:eastAsia="zh-CN"/>
        </w:rPr>
        <w:t>*</w:t>
      </w:r>
      <w:r>
        <w:rPr>
          <w:rFonts w:hint="default" w:ascii="Times New Roman" w:hAnsi="Times New Roman" w:cs="Times New Roman"/>
          <w:b/>
          <w:bCs/>
          <w:kern w:val="0"/>
          <w:sz w:val="24"/>
          <w:vertAlign w:val="superscript"/>
        </w:rPr>
        <w:t>*</w:t>
      </w:r>
      <w:r>
        <w:rPr>
          <w:rFonts w:hint="default" w:ascii="Times New Roman" w:hAnsi="Times New Roman" w:cs="Times New Roman"/>
          <w:kern w:val="0"/>
          <w:sz w:val="24"/>
        </w:rPr>
        <w:t xml:space="preserve"> and Wei Cheng</w:t>
      </w:r>
      <w:r>
        <w:rPr>
          <w:rFonts w:hint="eastAsia" w:ascii="Times New Roman" w:hAnsi="Times New Roman" w:cs="Times New Roman"/>
          <w:kern w:val="0"/>
          <w:sz w:val="24"/>
          <w:vertAlign w:val="superscript"/>
          <w:lang w:val="en-US" w:eastAsia="zh-CN"/>
        </w:rPr>
        <w:t>a,</w:t>
      </w:r>
      <w:r>
        <w:rPr>
          <w:rFonts w:hint="default" w:ascii="Times New Roman" w:hAnsi="Times New Roman" w:cs="Times New Roman"/>
          <w:b/>
          <w:bCs/>
          <w:kern w:val="0"/>
          <w:sz w:val="24"/>
          <w:vertAlign w:val="superscript"/>
        </w:rPr>
        <w:t>*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  <w:bookmarkStart w:id="0" w:name="OLE_LINK52"/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</w:rPr>
        <w:t xml:space="preserve">The Center for Clinical Molecular Medical Detection, The First Affiliated Hospital of Chongqing Medical University, Chongqing 400042, China. </w:t>
      </w: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</w:rPr>
        <w:t xml:space="preserve">Key Laboratory of Clinical Laboratory Diagnostics (Ministry of Education), College of Laboratory Medicine, Chongqing Medical University, Chongqing 400016, China. </w:t>
      </w: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</w:rPr>
        <w:t xml:space="preserve">Department of Forensic Medicine, Faculty of Basic Medical Sciences, Chongqing Medical University, Chongqing 400016, China. </w:t>
      </w: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</w:rPr>
        <w:t xml:space="preserve">Molecular Medicine and Cancer Research Center, Faculty of Basic Medical Sciences, Chongqing Medical University, Chongqing 400016, China. </w:t>
      </w: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</w:rPr>
        <w:t xml:space="preserve">The Second Affliated Hospital of Chongqing Medical University, Chongqing 400010, China. </w:t>
      </w:r>
    </w:p>
    <w:p>
      <w:pPr>
        <w:spacing w:line="360" w:lineRule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</w:rPr>
        <w:t xml:space="preserve">Key Laboratory of Molecular Biology for Infectious Diseases (Ministry of Education), Institute for Viral Hepatitis, Department of Infectious Diseases, The Second Affiliated Hospital of Chongqing Medical University, Chongqing 400016, China. </w:t>
      </w:r>
      <w:bookmarkEnd w:id="0"/>
    </w:p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</w:p>
    <w:p>
      <w:pPr>
        <w:spacing w:line="360" w:lineRule="auto"/>
        <w:ind w:left="240" w:hanging="240" w:hangingChars="1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#</w:t>
      </w:r>
      <w:r>
        <w:rPr>
          <w:rFonts w:hint="default" w:ascii="Times New Roman" w:hAnsi="Times New Roman" w:eastAsia="宋体" w:cs="Times New Roman"/>
          <w:sz w:val="24"/>
          <w:szCs w:val="24"/>
        </w:rPr>
        <w:t>These authors contributed equally to the work and are thus co-first authors</w:t>
      </w:r>
    </w:p>
    <w:p>
      <w:pPr>
        <w:spacing w:line="360" w:lineRule="auto"/>
        <w:ind w:left="240" w:hanging="240" w:hangingChars="100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*Corresponding authors</w:t>
      </w:r>
    </w:p>
    <w:p>
      <w:pPr>
        <w:spacing w:line="360" w:lineRule="auto"/>
        <w:ind w:left="240" w:hanging="240" w:hangingChars="100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Wei Cheng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 xml:space="preserve">; E-mail: </w:t>
      </w:r>
      <w:r>
        <w:rPr>
          <w:rFonts w:ascii="Times New Roman" w:hAnsi="Times New Roman" w:cs="Times New Roman"/>
          <w:color w:val="auto"/>
          <w:sz w:val="24"/>
        </w:rPr>
        <w:t>chengwei@hospital.cqmu.edu.cn</w:t>
      </w:r>
    </w:p>
    <w:p>
      <w:pPr>
        <w:spacing w:line="360" w:lineRule="auto"/>
        <w:ind w:left="240" w:hanging="240" w:hangingChars="100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**Corresponding authors</w:t>
      </w:r>
    </w:p>
    <w:p>
      <w:pPr>
        <w:spacing w:line="360" w:lineRule="auto"/>
        <w:ind w:left="240" w:hanging="240" w:hangingChars="100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Siqiao Li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 xml:space="preserve">; E-mail: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"mailto:lsqzzw@cqmu.edu.cn" </w:instrText>
      </w:r>
      <w:r>
        <w:rPr>
          <w:color w:val="auto"/>
        </w:rPr>
        <w:fldChar w:fldCharType="separate"/>
      </w:r>
      <w:r>
        <w:rPr>
          <w:rStyle w:val="10"/>
          <w:rFonts w:ascii="Times New Roman" w:hAnsi="Times New Roman" w:cs="Times New Roman"/>
          <w:color w:val="auto"/>
          <w:sz w:val="24"/>
          <w:u w:val="none"/>
        </w:rPr>
        <w:t>lsqzzw@cqmu.edu.cn</w:t>
      </w:r>
      <w:r>
        <w:rPr>
          <w:rStyle w:val="10"/>
          <w:rFonts w:ascii="Times New Roman" w:hAnsi="Times New Roman" w:cs="Times New Roman"/>
          <w:color w:val="auto"/>
          <w:sz w:val="24"/>
          <w:u w:val="none"/>
        </w:rPr>
        <w:fldChar w:fldCharType="end"/>
      </w:r>
    </w:p>
    <w:p>
      <w:pPr>
        <w:spacing w:line="360" w:lineRule="auto"/>
        <w:ind w:left="240" w:hanging="240" w:hangingChars="100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**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*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Corresponding authors</w:t>
      </w:r>
    </w:p>
    <w:p>
      <w:pPr>
        <w:spacing w:line="360" w:lineRule="auto"/>
        <w:ind w:left="240" w:hanging="240" w:hangingChars="100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Fangzhou Song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; E-mail: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"mailto:fzsongcq@163.com" </w:instrText>
      </w:r>
      <w:r>
        <w:rPr>
          <w:color w:val="auto"/>
        </w:rPr>
        <w:fldChar w:fldCharType="separate"/>
      </w:r>
      <w:r>
        <w:rPr>
          <w:rStyle w:val="10"/>
          <w:rFonts w:ascii="Times New Roman" w:hAnsi="Times New Roman" w:cs="Times New Roman"/>
          <w:color w:val="auto"/>
          <w:sz w:val="24"/>
          <w:u w:val="none"/>
        </w:rPr>
        <w:t>fzsongcq@163.com</w:t>
      </w:r>
      <w:r>
        <w:rPr>
          <w:rStyle w:val="10"/>
          <w:rFonts w:ascii="Times New Roman" w:hAnsi="Times New Roman" w:cs="Times New Roman"/>
          <w:color w:val="auto"/>
          <w:sz w:val="24"/>
          <w:u w:val="none"/>
        </w:rPr>
        <w:fldChar w:fldCharType="end"/>
      </w:r>
    </w:p>
    <w:p>
      <w:p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This file includes: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Materials and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Fig.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 xml:space="preserve">1 to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S11</w:t>
      </w:r>
    </w:p>
    <w:p>
      <w:pPr>
        <w:rPr>
          <w:rFonts w:ascii="Times New Roman" w:hAnsi="Times New Roman" w:cs="Times New Roman"/>
          <w:sz w:val="24"/>
        </w:rPr>
      </w:pPr>
    </w:p>
    <w:p>
      <w:pPr>
        <w:spacing w:line="360" w:lineRule="auto"/>
        <w:textAlignment w:val="baseline"/>
        <w:rPr>
          <w:rFonts w:ascii="Times New Roman" w:hAnsi="Times New Roman" w:eastAsia="Times New Roman" w:cs="Times New Roman"/>
          <w:b/>
          <w:bCs/>
          <w:sz w:val="24"/>
          <w:lang w:eastAsia="en-AU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Materials and </w:t>
      </w:r>
      <w:r>
        <w:rPr>
          <w:rFonts w:ascii="Times New Roman" w:hAnsi="Times New Roman" w:eastAsia="Times New Roman" w:cs="Times New Roman"/>
          <w:b/>
          <w:bCs/>
          <w:sz w:val="24"/>
          <w:lang w:eastAsia="en-AU"/>
        </w:rPr>
        <w:t>Supplementary Figures</w:t>
      </w:r>
    </w:p>
    <w:p>
      <w:pPr>
        <w:spacing w:line="360" w:lineRule="auto"/>
        <w:textAlignment w:val="baseline"/>
        <w:rPr>
          <w:rFonts w:ascii="Times New Roman" w:hAnsi="Times New Roman" w:eastAsia="Times New Roman" w:cs="Times New Roman"/>
          <w:b/>
          <w:bCs/>
          <w:sz w:val="24"/>
          <w:lang w:eastAsia="en-AU"/>
        </w:rPr>
      </w:pPr>
    </w:p>
    <w:p>
      <w:pPr>
        <w:spacing w:line="360" w:lineRule="auto"/>
        <w:textAlignment w:val="baseline"/>
        <w:rPr>
          <w:rFonts w:ascii="Arial" w:hAnsi="Arial" w:eastAsia="Times New Roman" w:cs="Arial"/>
          <w:sz w:val="24"/>
          <w:lang w:eastAsia="en-AU"/>
        </w:rPr>
      </w:pPr>
      <w:r>
        <w:rPr>
          <w:rFonts w:ascii="Times New Roman" w:hAnsi="Times New Roman" w:eastAsia="Times New Roman" w:cs="Times New Roman"/>
          <w:b/>
          <w:bCs/>
          <w:sz w:val="24"/>
          <w:lang w:eastAsia="en-AU"/>
        </w:rPr>
        <w:t>Materials</w:t>
      </w:r>
    </w:p>
    <w:tbl>
      <w:tblPr>
        <w:tblStyle w:val="12"/>
        <w:tblW w:w="0" w:type="auto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4296"/>
        <w:gridCol w:w="1751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EAAAA" w:themeFill="background2" w:themeFillShade="BF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REAGENT or RESOURCE</w:t>
            </w:r>
          </w:p>
        </w:tc>
        <w:tc>
          <w:tcPr>
            <w:tcW w:w="4296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EAAAA" w:themeFill="background2" w:themeFillShade="BF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SOURCE</w:t>
            </w:r>
          </w:p>
        </w:tc>
        <w:tc>
          <w:tcPr>
            <w:tcW w:w="1751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EAAAA" w:themeFill="background2" w:themeFillShade="BF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IDENTIFIER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7E7E7E" w:themeColor="text1" w:themeTint="80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Primary Antibodies (Westerns/Confocal) </w:t>
            </w:r>
          </w:p>
        </w:tc>
        <w:tc>
          <w:tcPr>
            <w:tcW w:w="4296" w:type="dxa"/>
            <w:tcBorders>
              <w:top w:val="single" w:color="7E7E7E" w:themeColor="text1" w:themeTint="80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51" w:type="dxa"/>
            <w:tcBorders>
              <w:top w:val="single" w:color="7E7E7E" w:themeColor="text1" w:themeTint="80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bookmarkStart w:id="1" w:name="_Hlk17479440"/>
            <w:r>
              <w:rPr>
                <w:rFonts w:ascii="Times New Roman" w:hAnsi="Times New Roman" w:cs="Times New Roman"/>
                <w:b w:val="0"/>
                <w:bCs/>
                <w:sz w:val="24"/>
              </w:rPr>
              <w:t xml:space="preserve">STIM1 </w:t>
            </w:r>
            <w:bookmarkEnd w:id="1"/>
          </w:p>
        </w:tc>
        <w:tc>
          <w:tcPr>
            <w:tcW w:w="4296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Proteintech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lang w:eastAsia="en-AU"/>
              </w:rPr>
              <w:t>®</w:t>
            </w:r>
          </w:p>
        </w:tc>
        <w:tc>
          <w:tcPr>
            <w:tcW w:w="1751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11565-1-AP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Anti-ORAI1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Proteintech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66223-1-lg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 xml:space="preserve">Anti-EEA1 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Proteintech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66218-1-lg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CD206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Proteintech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18704-1-AP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Anti-Calnexin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(CNX)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Proteintech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10427-2-AP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Anti-Calreticulin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(CRT)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Proteintech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27298-1-AP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Anti-GRP94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Affinity®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AF0735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Anti-GRP78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Affinity®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AF5366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Casepas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e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12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Bimake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</w:t>
            </w:r>
            <w:r>
              <w:rPr>
                <w:rFonts w:hint="eastAsia" w:ascii="Times New Roman" w:hAnsi="Times New Roman" w:cs="Times New Roman"/>
                <w:sz w:val="24"/>
              </w:rPr>
              <w:t>5690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CHOP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Bimake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</w:t>
            </w:r>
            <w:r>
              <w:rPr>
                <w:rFonts w:hint="eastAsia" w:ascii="Times New Roman" w:hAnsi="Times New Roman" w:cs="Times New Roman"/>
                <w:sz w:val="24"/>
              </w:rPr>
              <w:t>5383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TRAF2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Bimake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</w:t>
            </w:r>
            <w:r>
              <w:rPr>
                <w:rFonts w:hint="eastAsia" w:ascii="Times New Roman" w:hAnsi="Times New Roman" w:cs="Times New Roman"/>
                <w:sz w:val="24"/>
              </w:rPr>
              <w:t>5445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Cl-casepase3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Abclon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</w:t>
            </w:r>
            <w:r>
              <w:rPr>
                <w:rFonts w:hint="eastAsia" w:ascii="Times New Roman" w:hAnsi="Times New Roman" w:cs="Times New Roman"/>
                <w:sz w:val="24"/>
              </w:rPr>
              <w:t>0214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Bcl-2 Rabbit Recombinant mAb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Bimake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A5010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Bax Rabbit Recombinant mAb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Bimake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A5131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75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GAPDH Rabbit Recombinant mAb</w:t>
            </w:r>
          </w:p>
        </w:tc>
        <w:tc>
          <w:tcPr>
            <w:tcW w:w="429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Bimake</w:t>
            </w:r>
          </w:p>
        </w:tc>
        <w:tc>
          <w:tcPr>
            <w:tcW w:w="1751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A5028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Secondary Antibodies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(Westerns/Confocal)</w:t>
            </w:r>
          </w:p>
        </w:tc>
        <w:tc>
          <w:tcPr>
            <w:tcW w:w="4296" w:type="dxa"/>
            <w:tcBorders>
              <w:top w:val="single" w:color="auto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51" w:type="dxa"/>
            <w:tcBorders>
              <w:top w:val="single" w:color="auto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Rabbit 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IgG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(H+L)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Dylight 549</w:t>
            </w:r>
          </w:p>
        </w:tc>
        <w:tc>
          <w:tcPr>
            <w:tcW w:w="4296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EarthOx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E032320-01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Mouse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 xml:space="preserve"> IgG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(H+L)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FITC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EarthOx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E031210-01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Mouse IgG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Dylight 649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EarthOx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E032610-01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Anti-Mouse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IgG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(H+L)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Dylight 594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EarthOx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E032410-01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Anti-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Rabbit 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IgG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(H+L)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Dylight 594</w:t>
            </w:r>
          </w:p>
        </w:tc>
        <w:tc>
          <w:tcPr>
            <w:tcW w:w="429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EarthOx</w:t>
            </w:r>
            <w:r>
              <w:rPr>
                <w:rFonts w:ascii="Times New Roman" w:hAnsi="Times New Roman" w:cs="Times New Roman"/>
                <w:sz w:val="24"/>
              </w:rPr>
              <w:t>®</w:t>
            </w:r>
          </w:p>
        </w:tc>
        <w:tc>
          <w:tcPr>
            <w:tcW w:w="1751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E032420-01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Chemicals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 and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Dyes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  <w:tc>
          <w:tcPr>
            <w:tcW w:w="4296" w:type="dxa"/>
            <w:tcBorders>
              <w:top w:val="single" w:color="auto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51" w:type="dxa"/>
            <w:tcBorders>
              <w:top w:val="single" w:color="auto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Endoplasmic Reticulum Isolation Kit</w:t>
            </w:r>
          </w:p>
        </w:tc>
        <w:tc>
          <w:tcPr>
            <w:tcW w:w="4296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Sigma-Aldrich</w:t>
            </w:r>
          </w:p>
        </w:tc>
        <w:tc>
          <w:tcPr>
            <w:tcW w:w="1751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fldChar w:fldCharType="begin"/>
            </w:r>
            <w:r>
              <w:instrText xml:space="preserve"> HYPERLINK "https://www.sigmaaldrich.cn/CN/zh/product/sigma/er0100?context=product"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</w:rPr>
              <w:t>ER0100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Fluo-4 AM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pStyle w:val="2"/>
              <w:widowControl/>
              <w:shd w:val="clear" w:color="auto" w:fill="FFFFFF"/>
              <w:spacing w:beforeAutospacing="0" w:after="40" w:afterAutospacing="0" w:line="220" w:lineRule="atLeast"/>
              <w:outlineLvl w:val="2"/>
              <w:rPr>
                <w:rFonts w:hint="default" w:ascii="Times New Roman" w:hAnsi="Times New Roman"/>
                <w:sz w:val="24"/>
              </w:rPr>
            </w:pPr>
            <w:r>
              <w:fldChar w:fldCharType="begin"/>
            </w:r>
            <w:r>
              <w:instrText xml:space="preserve"> HYPERLINK "http://www.baidu.com/link?url=Ogj_AWz9CPoDmiqj9JdRYTaOjBBbAhLcrz1IYZNrCVZc3i0wOIzeoGGhNsNs9lSc" \t "https://www.baidu.com/_blank" </w:instrText>
            </w:r>
            <w:r>
              <w:fldChar w:fldCharType="separate"/>
            </w:r>
            <w:r>
              <w:rPr>
                <w:rFonts w:hint="default" w:ascii="Times New Roman" w:hAnsi="Times New Roman" w:eastAsiaTheme="minorEastAsia"/>
                <w:b w:val="0"/>
                <w:bCs w:val="0"/>
                <w:kern w:val="2"/>
                <w:sz w:val="24"/>
                <w:szCs w:val="24"/>
              </w:rPr>
              <w:t>Beyotime Biotechnology</w:t>
            </w:r>
            <w:r>
              <w:rPr>
                <w:rFonts w:hint="default" w:ascii="Times New Roman" w:hAnsi="Times New Roman" w:eastAsiaTheme="minorEastAsia"/>
                <w:b w:val="0"/>
                <w:bCs w:val="0"/>
                <w:kern w:val="2"/>
                <w:sz w:val="24"/>
                <w:szCs w:val="24"/>
              </w:rPr>
              <w:fldChar w:fldCharType="end"/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S1060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Dihydroethidium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fldChar w:fldCharType="begin"/>
            </w:r>
            <w:r>
              <w:instrText xml:space="preserve"> HYPERLINK "http://www.baidu.com/link?url=Ogj_AWz9CPoDmiqj9JdRYTaOjBBbAhLcrz1IYZNrCVZc3i0wOIzeoGGhNsNs9lSc" \t "https://www.baidu.com/_blank"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</w:rPr>
              <w:t>Beyotime Biotechnology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S0063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Conanavalin A-FITC (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Con A–FITC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Sigma-Aldrich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C7642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Conanavalin A (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Con A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Sigma-Aldrich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C2272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Mannose-Cy5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Sigma-Aldrich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3458-28-4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Dextran-Cy5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LookChem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R-CD5-002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DAPI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Salarbio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9"/>
                <w:rFonts w:hint="eastAsia" w:ascii="Times New Roman" w:hAnsi="Times New Roman" w:cs="Times New Roman"/>
                <w:b w:val="0"/>
                <w:iCs/>
                <w:caps/>
                <w:sz w:val="24"/>
                <w:shd w:val="clear" w:color="auto" w:fill="FDFDFD"/>
              </w:rPr>
              <w:t>C0060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Mito-Tracker Red CMXRos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fldChar w:fldCharType="begin"/>
            </w:r>
            <w:r>
              <w:instrText xml:space="preserve"> HYPERLINK "http://www.baidu.com/link?url=Ogj_AWz9CPoDmiqj9JdRYTaOjBBbAhLcrz1IYZNrCVZc3i0wOIzeoGGhNsNs9lSc" \t "https://www.baidu.com/_blank"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</w:rPr>
              <w:t>Beyotime Biotechnology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C1049B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1,1'-dioctadecyl-3,3,3',3'-tetramethylindocarbocyanine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 perchlorate (DIL)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fldChar w:fldCharType="begin"/>
            </w:r>
            <w:r>
              <w:instrText xml:space="preserve"> HYPERLINK "http://www.baidu.com/link?url=Ogj_AWz9CPoDmiqj9JdRYTaOjBBbAhLcrz1IYZNrCVZc3i0wOIzeoGGhNsNs9lSc" \t "https://www.baidu.com/_blank"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</w:rPr>
              <w:t>Beyotime Biotechnology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Style w:val="9"/>
                <w:rFonts w:ascii="Times New Roman" w:hAnsi="Times New Roman" w:cs="Times New Roman"/>
                <w:iCs/>
                <w:caps/>
                <w:sz w:val="24"/>
                <w:shd w:val="clear" w:color="auto" w:fill="FDFDFD"/>
              </w:rPr>
            </w:pPr>
            <w:r>
              <w:rPr>
                <w:rStyle w:val="9"/>
                <w:rFonts w:hint="eastAsia" w:ascii="Times New Roman" w:hAnsi="Times New Roman" w:cs="Times New Roman"/>
                <w:b w:val="0"/>
                <w:bCs w:val="0"/>
                <w:iCs/>
                <w:sz w:val="24"/>
                <w:shd w:val="clear" w:color="auto" w:fill="FDFDFD"/>
              </w:rPr>
              <w:t>C</w:t>
            </w:r>
            <w:r>
              <w:rPr>
                <w:rStyle w:val="9"/>
                <w:rFonts w:hint="eastAsia" w:ascii="Times New Roman" w:hAnsi="Times New Roman" w:cs="Times New Roman"/>
                <w:b w:val="0"/>
                <w:bCs w:val="0"/>
                <w:iCs/>
                <w:caps/>
                <w:sz w:val="24"/>
                <w:shd w:val="clear" w:color="auto" w:fill="FDFDFD"/>
              </w:rPr>
              <w:t>1036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3,3′-dioctadecyloxacarbocyanine perchlorate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(DIO)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fldChar w:fldCharType="begin"/>
            </w:r>
            <w:r>
              <w:instrText xml:space="preserve"> HYPERLINK "http://www.baidu.com/link?url=Ogj_AWz9CPoDmiqj9JdRYTaOjBBbAhLcrz1IYZNrCVZc3i0wOIzeoGGhNsNs9lSc" \t "https://www.baidu.com/_blank"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</w:rPr>
              <w:t>Beyotime Biotechnology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Style w:val="9"/>
                <w:rFonts w:ascii="Times New Roman" w:hAnsi="Times New Roman" w:cs="Times New Roman"/>
                <w:iCs/>
                <w:caps/>
                <w:sz w:val="24"/>
                <w:shd w:val="clear" w:color="auto" w:fill="FDFDFD"/>
              </w:rPr>
            </w:pPr>
            <w:r>
              <w:rPr>
                <w:rStyle w:val="9"/>
                <w:rFonts w:hint="eastAsia" w:ascii="Times New Roman" w:hAnsi="Times New Roman" w:cs="Times New Roman"/>
                <w:b w:val="0"/>
                <w:bCs w:val="0"/>
                <w:iCs/>
                <w:sz w:val="24"/>
                <w:shd w:val="clear" w:color="auto" w:fill="FDFDFD"/>
              </w:rPr>
              <w:t>C</w:t>
            </w:r>
            <w:r>
              <w:rPr>
                <w:rStyle w:val="9"/>
                <w:rFonts w:hint="eastAsia" w:ascii="Times New Roman" w:hAnsi="Times New Roman" w:cs="Times New Roman"/>
                <w:b w:val="0"/>
                <w:bCs w:val="0"/>
                <w:iCs/>
                <w:caps/>
                <w:sz w:val="24"/>
                <w:shd w:val="clear" w:color="auto" w:fill="FDFDFD"/>
              </w:rPr>
              <w:t>1038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000000"/>
                <w:sz w:val="24"/>
              </w:rPr>
              <w:t>DiR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PerkinElmer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125964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Lyso-Tracker Red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fldChar w:fldCharType="begin"/>
            </w:r>
            <w:r>
              <w:instrText xml:space="preserve"> HYPERLINK "http://www.baidu.com/link?url=Ogj_AWz9CPoDmiqj9JdRYTaOjBBbAhLcrz1IYZNrCVZc3i0wOIzeoGGhNsNs9lSc" \t "https://www.baidu.com/_blank"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</w:rPr>
              <w:t>Beyotime Biotechnology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C1046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Cocktail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Bimake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B14002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Tetrasodium 1,2-Bis(2-aminophenoxy)ethane-N,N,N',N'-tetraacetate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(BAPTA)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Macklin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126824-24-6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Disodium 4,4'-Diisothiocyanato -2,2'-stilbenedisulfonate Hydrate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(DIDS)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Aladdin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67483-13-0 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2-Aminoethoxydiphenyl borate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(2-APB)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Macklin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126824-24-6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Paraformaldehyde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Chem-supply suppyline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FA010-P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DMEM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</w:rPr>
              <w:t>Life Technologies 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11965-092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CCK8 Kits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333333"/>
                <w:sz w:val="24"/>
              </w:rPr>
              <w:t>Biosharp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BS350A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Annexin V-FITC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 Kit</w:t>
            </w:r>
          </w:p>
        </w:tc>
        <w:tc>
          <w:tcPr>
            <w:tcW w:w="429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color w:val="333333"/>
                <w:sz w:val="24"/>
              </w:rPr>
            </w:pPr>
            <w:r>
              <w:fldChar w:fldCharType="begin"/>
            </w:r>
            <w:r>
              <w:instrText xml:space="preserve"> HYPERLINK "http://www.baidu.com/link?url=Ogj_AWz9CPoDmiqj9JdRYTaOjBBbAhLcrz1IYZNrCVZc3i0wOIzeoGGhNsNs9lSc" \t "https://www.baidu.com/_blank"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</w:rPr>
              <w:t>Beyotime Biotechnology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1751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C1062M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Cell Lines</w:t>
            </w:r>
          </w:p>
        </w:tc>
        <w:tc>
          <w:tcPr>
            <w:tcW w:w="4296" w:type="dxa"/>
            <w:tcBorders>
              <w:top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color w:val="333333"/>
                <w:sz w:val="24"/>
              </w:rPr>
            </w:pPr>
          </w:p>
        </w:tc>
        <w:tc>
          <w:tcPr>
            <w:tcW w:w="1751" w:type="dxa"/>
            <w:tcBorders>
              <w:top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HepG2 cell</w:t>
            </w:r>
          </w:p>
        </w:tc>
        <w:tc>
          <w:tcPr>
            <w:tcW w:w="4296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</w:rPr>
              <w:t>btained from the Chinese Academy of Sciences Cell Bank</w:t>
            </w:r>
          </w:p>
        </w:tc>
        <w:tc>
          <w:tcPr>
            <w:tcW w:w="1751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N/A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L02 cell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</w:rPr>
              <w:t>btained from the Chinese Academy of Sciences Cell Bank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N/A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SMMC-7721 cell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</w:rPr>
              <w:t>btained from the Chinese Academy of Sciences Cell Bank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N/A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MCF 10A cell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</w:rPr>
              <w:t>btained from the Chinese Academy of Sciences Cell Bank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N/A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 xml:space="preserve">RBC </w:t>
            </w:r>
          </w:p>
        </w:tc>
        <w:tc>
          <w:tcPr>
            <w:tcW w:w="429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Gifted by Chongqing Traditional Chinese Medicine Hospital</w:t>
            </w:r>
          </w:p>
        </w:tc>
        <w:tc>
          <w:tcPr>
            <w:tcW w:w="1751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single" w:color="7E7E7E" w:themeColor="text1" w:themeTint="80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Organisms/Strains</w:t>
            </w:r>
          </w:p>
        </w:tc>
        <w:tc>
          <w:tcPr>
            <w:tcW w:w="4296" w:type="dxa"/>
            <w:tcBorders>
              <w:top w:val="single" w:color="auto" w:sz="4" w:space="0"/>
              <w:bottom w:val="single" w:color="7E7E7E" w:themeColor="text1" w:themeTint="80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51" w:type="dxa"/>
            <w:tcBorders>
              <w:top w:val="single" w:color="auto" w:sz="4" w:space="0"/>
              <w:bottom w:val="single" w:color="7E7E7E" w:themeColor="text1" w:themeTint="80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highlight w:val="lightGray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B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ALB</w:t>
            </w: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/c</w:t>
            </w:r>
          </w:p>
        </w:tc>
        <w:tc>
          <w:tcPr>
            <w:tcW w:w="429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highlight w:val="lightGray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Animal Resources Centre, </w:t>
            </w:r>
            <w:r>
              <w:rPr>
                <w:rFonts w:hint="eastAsia" w:ascii="Times New Roman" w:hAnsi="Times New Roman" w:cs="Times New Roman"/>
                <w:sz w:val="24"/>
              </w:rPr>
              <w:t>Chongqing Medical University</w:t>
            </w:r>
          </w:p>
        </w:tc>
        <w:tc>
          <w:tcPr>
            <w:tcW w:w="175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highlight w:val="lightGray"/>
              </w:rPr>
            </w:pPr>
            <w:r>
              <w:rPr>
                <w:rFonts w:ascii="Times New Roman" w:hAnsi="Times New Roman" w:cs="Times New Roman"/>
                <w:sz w:val="24"/>
              </w:rPr>
              <w:t>N/A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7E7E7E" w:themeColor="text1" w:themeTint="80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Software and Algorithms</w:t>
            </w:r>
          </w:p>
        </w:tc>
        <w:tc>
          <w:tcPr>
            <w:tcW w:w="4296" w:type="dxa"/>
            <w:tcBorders>
              <w:top w:val="single" w:color="7E7E7E" w:themeColor="text1" w:themeTint="80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51" w:type="dxa"/>
            <w:tcBorders>
              <w:top w:val="single" w:color="7E7E7E" w:themeColor="text1" w:themeTint="80" w:sz="4" w:space="0"/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ImageJ</w:t>
            </w:r>
          </w:p>
        </w:tc>
        <w:tc>
          <w:tcPr>
            <w:tcW w:w="4296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Open source</w:t>
            </w:r>
          </w:p>
        </w:tc>
        <w:tc>
          <w:tcPr>
            <w:tcW w:w="1751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Adobe Illustrator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Adobe Illustrator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</w:rPr>
              <w:t>Origin9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GraphPad Software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LAS X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CLSM images analysis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</w:rPr>
              <w:t>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ndigo</w:t>
            </w:r>
          </w:p>
        </w:tc>
        <w:tc>
          <w:tcPr>
            <w:tcW w:w="429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Animals images analysis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CytExpert</w:t>
            </w:r>
          </w:p>
        </w:tc>
        <w:tc>
          <w:tcPr>
            <w:tcW w:w="429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Flow cytometry analysis</w:t>
            </w:r>
          </w:p>
        </w:tc>
        <w:tc>
          <w:tcPr>
            <w:tcW w:w="1751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429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51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tbl>
      <w:tblPr>
        <w:tblStyle w:val="13"/>
        <w:tblW w:w="8541" w:type="dxa"/>
        <w:tblInd w:w="0" w:type="dxa"/>
        <w:tblBorders>
          <w:top w:val="single" w:color="C8C8C8" w:themeColor="accent3" w:themeTint="99" w:sz="4" w:space="0"/>
          <w:left w:val="single" w:color="C8C8C8" w:themeColor="accent3" w:themeTint="99" w:sz="4" w:space="0"/>
          <w:bottom w:val="single" w:color="C8C8C8" w:themeColor="accent3" w:themeTint="99" w:sz="4" w:space="0"/>
          <w:right w:val="single" w:color="C8C8C8" w:themeColor="accent3" w:themeTint="99" w:sz="4" w:space="0"/>
          <w:insideH w:val="single" w:color="C8C8C8" w:themeColor="accent3" w:themeTint="99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4575"/>
        <w:gridCol w:w="1500"/>
      </w:tblGrid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2466" w:type="dxa"/>
            <w:tcBorders>
              <w:top w:val="single" w:color="A5A5A5" w:themeColor="accent3" w:sz="4" w:space="0"/>
              <w:left w:val="single" w:color="A5A5A5" w:themeColor="accent3" w:sz="4" w:space="0"/>
              <w:bottom w:val="single" w:color="auto" w:sz="4" w:space="0"/>
            </w:tcBorders>
            <w:shd w:val="clear" w:color="auto" w:fill="A5A5A5" w:themeFill="accent3"/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</w:rPr>
              <w:t>Primer name</w:t>
            </w:r>
          </w:p>
        </w:tc>
        <w:tc>
          <w:tcPr>
            <w:tcW w:w="4575" w:type="dxa"/>
            <w:tcBorders>
              <w:top w:val="single" w:color="A5A5A5" w:themeColor="accent3" w:sz="4" w:space="0"/>
              <w:bottom w:val="single" w:color="auto" w:sz="4" w:space="0"/>
            </w:tcBorders>
            <w:shd w:val="clear" w:color="auto" w:fill="A5A5A5" w:themeFill="accent3"/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</w:rPr>
              <w:t>Sequence (5’ – 3’)</w:t>
            </w:r>
          </w:p>
        </w:tc>
        <w:tc>
          <w:tcPr>
            <w:tcW w:w="1500" w:type="dxa"/>
            <w:tcBorders>
              <w:top w:val="single" w:color="A5A5A5" w:themeColor="accent3" w:sz="4" w:space="0"/>
              <w:bottom w:val="single" w:color="auto" w:sz="4" w:space="0"/>
              <w:right w:val="single" w:color="A5A5A5" w:themeColor="accent3" w:sz="4" w:space="0"/>
            </w:tcBorders>
            <w:shd w:val="clear" w:color="auto" w:fill="A5A5A5" w:themeFill="accent3"/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</w:rPr>
              <w:t>Melting temperature</w:t>
            </w:r>
          </w:p>
        </w:tc>
      </w:tr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4" w:space="0"/>
              <w:left w:val="nil"/>
              <w:bottom w:val="nil"/>
            </w:tcBorders>
            <w:shd w:val="clear" w:color="auto" w:fill="ECECEC" w:themeFill="accent3" w:themeFillTint="33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siGRP94</w:t>
            </w:r>
          </w:p>
        </w:tc>
        <w:tc>
          <w:tcPr>
            <w:tcW w:w="4575" w:type="dxa"/>
            <w:tcBorders>
              <w:top w:val="single" w:color="auto" w:sz="4" w:space="0"/>
              <w:bottom w:val="nil"/>
            </w:tcBorders>
            <w:shd w:val="clear" w:color="auto" w:fill="ECECEC" w:themeFill="accent3" w:themeFillTint="33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GAAGGAUCAAGGACGGAUGTT</w:t>
            </w:r>
            <w:r>
              <w:rPr>
                <w:rFonts w:ascii="Times New Roman" w:hAnsi="Times New Roman" w:cs="Times New Roman"/>
                <w:sz w:val="24"/>
              </w:rPr>
              <w:tab/>
            </w:r>
          </w:p>
        </w:tc>
        <w:tc>
          <w:tcPr>
            <w:tcW w:w="1500" w:type="dxa"/>
            <w:tcBorders>
              <w:top w:val="single" w:color="auto" w:sz="4" w:space="0"/>
              <w:bottom w:val="nil"/>
              <w:right w:val="nil"/>
            </w:tcBorders>
            <w:shd w:val="clear" w:color="auto" w:fill="ECECEC" w:themeFill="accent3" w:themeFillTint="33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</w:tr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antisense</w:t>
            </w:r>
          </w:p>
        </w:tc>
        <w:tc>
          <w:tcPr>
            <w:tcW w:w="4575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CAUCCGUCCUUGAUCCUUCTT</w:t>
            </w:r>
          </w:p>
        </w:tc>
        <w:tc>
          <w:tcPr>
            <w:tcW w:w="1500" w:type="dxa"/>
            <w:tcBorders>
              <w:top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</w:rPr>
              <w:t>4</w:t>
            </w:r>
          </w:p>
        </w:tc>
      </w:tr>
    </w:tbl>
    <w:p>
      <w:pPr>
        <w:spacing w:line="360" w:lineRule="auto"/>
        <w:rPr>
          <w:rFonts w:ascii="Times New Roman" w:hAnsi="Times New Roman" w:eastAsia="Times New Roman" w:cs="Times New Roman"/>
          <w:b/>
          <w:bCs/>
          <w:sz w:val="22"/>
          <w:szCs w:val="22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br w:type="page"/>
      </w:r>
    </w:p>
    <w:p>
      <w:pPr>
        <w:spacing w:line="360" w:lineRule="auto"/>
        <w:contextualSpacing/>
        <w:rPr>
          <w:rStyle w:val="14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14"/>
          <w:b/>
          <w:color w:val="000000" w:themeColor="text1"/>
          <w14:textFill>
            <w14:solidFill>
              <w14:schemeClr w14:val="tx1"/>
            </w14:solidFill>
          </w14:textFill>
        </w:rPr>
        <w:t>Supplementary Figure Legends</w:t>
      </w:r>
    </w:p>
    <w:p>
      <w:pPr>
        <w:spacing w:line="360" w:lineRule="auto"/>
        <w:contextualSpacing/>
        <w:rPr>
          <w:rStyle w:val="14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contextualSpacing/>
        <w:jc w:val="center"/>
        <w:rPr>
          <w:rStyle w:val="14"/>
          <w:rFonts w:eastAsia="宋体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eastAsia="宋体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862070" cy="1263650"/>
            <wp:effectExtent l="0" t="0" r="11430" b="6350"/>
            <wp:docPr id="5" name="图片 5" descr="补充材料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补充材料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6207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contextualSpacing/>
        <w:rPr>
          <w:rFonts w:ascii="Times New Roman" w:hAnsi="Times New Roman" w:eastAsia="宋体" w:cs="Times New Roman"/>
          <w:b w:val="0"/>
          <w:bCs w:val="0"/>
          <w:sz w:val="24"/>
          <w:lang w:bidi="ar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Fig. S1.</w:t>
      </w:r>
      <w:r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/>
          <w:bCs/>
          <w:sz w:val="24"/>
          <w:lang w:bidi="ar"/>
        </w:rPr>
        <w:t xml:space="preserve">CLSM images of mannose (green, marked by Con A–FITC) and ER (red, marked by anti–CNX) of HepG2 cells. </w:t>
      </w:r>
      <w:r>
        <w:rPr>
          <w:rFonts w:ascii="Times New Roman" w:hAnsi="Times New Roman" w:eastAsia="宋体" w:cs="Times New Roman"/>
          <w:b w:val="0"/>
          <w:bCs w:val="0"/>
          <w:sz w:val="24"/>
          <w:lang w:bidi="ar"/>
        </w:rPr>
        <w:t>Scale bar = 10 µm.</w:t>
      </w:r>
    </w:p>
    <w:p>
      <w:pPr>
        <w:rPr>
          <w:rFonts w:ascii="Times New Roman" w:hAnsi="Times New Roman" w:eastAsia="宋体" w:cs="Times New Roman"/>
          <w:szCs w:val="21"/>
          <w:lang w:bidi="ar"/>
        </w:rPr>
      </w:pPr>
      <w:r>
        <w:rPr>
          <w:rFonts w:hint="eastAsia" w:ascii="Times New Roman" w:hAnsi="Times New Roman" w:eastAsia="宋体" w:cs="Times New Roman"/>
          <w:szCs w:val="21"/>
          <w:lang w:bidi="ar"/>
        </w:rPr>
        <w:br w:type="page"/>
      </w:r>
    </w:p>
    <w:p>
      <w:pPr>
        <w:widowControl/>
        <w:jc w:val="center"/>
        <w:rPr>
          <w:rFonts w:hint="eastAsia" w:ascii="Times New Roman" w:hAnsi="Times New Roman" w:cs="Times New Roman" w:eastAsiaTheme="minorEastAsia"/>
          <w:b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0340" cy="2512060"/>
            <wp:effectExtent l="0" t="0" r="10160" b="0"/>
            <wp:docPr id="3" name="图片 3" descr="S1-改色 血清学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1-改色 血清学验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51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kern w:val="0"/>
          <w:sz w:val="24"/>
          <w:lang w:bidi="ar"/>
        </w:rPr>
      </w:pPr>
      <w:bookmarkStart w:id="2" w:name="OLE_LINK1"/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S2.</w:t>
      </w:r>
      <w:r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bookmarkEnd w:id="2"/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Protective effect of </w:t>
      </w:r>
      <w:r>
        <w:rPr>
          <w:rFonts w:ascii="Times New Roman" w:hAnsi="Times New Roman" w:cs="Times New Roman"/>
          <w:b/>
          <w:bCs/>
          <w:sz w:val="24"/>
        </w:rPr>
        <w:t>ER–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horse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 on si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GRP94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 (green, marked by FITC) in serum-containing medium.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(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>a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)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 Fluorescence intensity of si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GRP94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-FITC in HepG2 cells detected by CLSM after incubation with different treatment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s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 (PBS, si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GRP94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, </w:t>
      </w:r>
      <w:r>
        <w:rPr>
          <w:rFonts w:ascii="Times New Roman" w:hAnsi="Times New Roman" w:cs="Times New Roman"/>
          <w:sz w:val="24"/>
        </w:rPr>
        <w:t>ER–</w:t>
      </w:r>
      <w:r>
        <w:rPr>
          <w:rFonts w:hint="eastAsia" w:ascii="Times New Roman" w:hAnsi="Times New Roman" w:cs="Times New Roman"/>
          <w:sz w:val="24"/>
          <w:lang w:val="en-US" w:eastAsia="zh-CN"/>
        </w:rPr>
        <w:t>horse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).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(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>b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)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 Quantitative comparison of the CLSM images.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2405" cy="2388235"/>
            <wp:effectExtent l="0" t="0" r="10795" b="12065"/>
            <wp:docPr id="6" name="图片 6" descr="S2-改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2-改色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8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S3. 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Selectivity of ER-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horse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Quantitative comparison of the homologous targeting of ER–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horse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to different cells within 0–30 min.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Quantitative comparison of the homologous targeting of different vesicles with si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GRP94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(ER–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horse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, si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GRP94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–RBCVs, and si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GRP94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–CCVs, marked by siRNA–FITC) to HepG2 cells within 0–60 min.</w:t>
      </w:r>
    </w:p>
    <w:p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34940" cy="2168525"/>
            <wp:effectExtent l="0" t="0" r="10160" b="3175"/>
            <wp:docPr id="9" name="图片 9" descr="S3膜转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3膜转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S4. 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>Representative co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-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localization images of ERVs fused with the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PM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, ER, mitochondria and lysosomes at different times as detected by CLSM.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The yellow area represents the co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-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localization of fluorescence-labeled organelles (red, marked by the corresponding tracker dyes) and FITC-ERVs (green, marked by Con A-FITC).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2405" cy="1490980"/>
            <wp:effectExtent l="0" t="0" r="10795" b="7620"/>
            <wp:docPr id="15" name="图片 15" descr="S5改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5改色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(a)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Quantitative comparison of intracellular Ca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concentrations (upper curves) and ROS production (lower curves) in HepG2 cells after incubation with ERVs and </w:t>
      </w:r>
      <w:r>
        <w:rPr>
          <w:rFonts w:ascii="Times New Roman" w:hAnsi="Times New Roman" w:cs="Times New Roman"/>
          <w:b w:val="0"/>
          <w:bCs w:val="0"/>
          <w:sz w:val="24"/>
        </w:rPr>
        <w:t>ER–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horse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for 0, 0.5, 1, 4, 8 and 12 h. </w:t>
      </w:r>
      <w:r>
        <w:rPr>
          <w:rFonts w:hint="default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Quantitative comparison of intracellular Ca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concentration and ROS production in HepG2 cells after incubation with different treatments (PBS, free–siGRP94, ERVs, NC–ERVs, </w:t>
      </w:r>
      <w:r>
        <w:rPr>
          <w:rFonts w:ascii="Times New Roman" w:hAnsi="Times New Roman" w:cs="Times New Roman"/>
          <w:b w:val="0"/>
          <w:bCs w:val="0"/>
          <w:sz w:val="24"/>
        </w:rPr>
        <w:t>ER–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horse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). </w:t>
      </w:r>
      <w:r>
        <w:rPr>
          <w:rFonts w:hint="default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Quantitative comparison of intracellular Ca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concentration and ROS production in HepG2 cells after incubation with </w:t>
      </w:r>
      <w:r>
        <w:rPr>
          <w:rFonts w:ascii="Times New Roman" w:hAnsi="Times New Roman" w:cs="Times New Roman"/>
          <w:b w:val="0"/>
          <w:bCs w:val="0"/>
          <w:sz w:val="24"/>
        </w:rPr>
        <w:t>ER–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horse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after pretreatment with different drugs (DIDS, BAPTA, 2–APB). The data are expressed as the mean ± SD (n = 3); a single asterisk indicates p &lt; 0.05, double asterisks indicate p &lt; 0.01, and triple asterisks indicate p &lt; 0.001.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3675" cy="2567305"/>
            <wp:effectExtent l="0" t="0" r="9525" b="10795"/>
            <wp:docPr id="10" name="图片 10" descr="S6-改色不同药物处理的钙离子和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6-改色不同药物处理的钙离子和RO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b w:val="0"/>
          <w:bCs w:val="0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eastAsia="宋体" w:cs="Times New Roman"/>
          <w:b w:val="0"/>
          <w:bCs w:val="0"/>
          <w:kern w:val="0"/>
          <w:sz w:val="24"/>
          <w:lang w:bidi="ar"/>
        </w:rPr>
        <w:t xml:space="preserve">Determination of the intracellular </w:t>
      </w:r>
      <w:r>
        <w:rPr>
          <w:rFonts w:ascii="Times New Roman" w:hAnsi="Times New Roman" w:cs="Times New Roman"/>
          <w:b w:val="0"/>
          <w:bCs w:val="0"/>
          <w:sz w:val="24"/>
        </w:rPr>
        <w:t>Ca</w:t>
      </w:r>
      <w:r>
        <w:rPr>
          <w:rFonts w:ascii="Times New Roman" w:hAnsi="Times New Roman" w:cs="Times New Roman"/>
          <w:b w:val="0"/>
          <w:bCs w:val="0"/>
          <w:sz w:val="24"/>
          <w:vertAlign w:val="superscript"/>
        </w:rPr>
        <w:t>2+</w:t>
      </w:r>
      <w:r>
        <w:rPr>
          <w:rFonts w:ascii="Times New Roman" w:hAnsi="Times New Roman" w:cs="Times New Roman"/>
          <w:b w:val="0"/>
          <w:bCs w:val="0"/>
          <w:sz w:val="24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kern w:val="0"/>
          <w:sz w:val="24"/>
          <w:lang w:bidi="ar"/>
        </w:rPr>
        <w:t>concentration (marked by Fluo-4 AM) and the production of ROS (marked by DHE) in HepG2 cells incubat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lang w:bidi="ar"/>
        </w:rPr>
        <w:t>ed</w:t>
      </w:r>
      <w:r>
        <w:rPr>
          <w:rFonts w:ascii="Times New Roman" w:hAnsi="Times New Roman" w:eastAsia="宋体" w:cs="Times New Roman"/>
          <w:b w:val="0"/>
          <w:bCs w:val="0"/>
          <w:kern w:val="0"/>
          <w:sz w:val="24"/>
          <w:lang w:bidi="ar"/>
        </w:rPr>
        <w:t xml:space="preserve"> with </w:t>
      </w:r>
      <w:r>
        <w:rPr>
          <w:rFonts w:ascii="Times New Roman" w:hAnsi="Times New Roman" w:cs="Times New Roman"/>
          <w:b w:val="0"/>
          <w:bCs w:val="0"/>
          <w:sz w:val="24"/>
        </w:rPr>
        <w:t>ER–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horse</w:t>
      </w:r>
      <w:r>
        <w:rPr>
          <w:rFonts w:ascii="Times New Roman" w:hAnsi="Times New Roman" w:eastAsia="宋体" w:cs="Times New Roman"/>
          <w:b w:val="0"/>
          <w:bCs w:val="0"/>
          <w:kern w:val="0"/>
          <w:sz w:val="24"/>
          <w:lang w:bidi="ar"/>
        </w:rPr>
        <w:t xml:space="preserve"> (10 μM) for 1 h after pretreatment with different drugs (2-APB, BAPTA, DIDS) as monitored by flow cytometry.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53355" cy="2480310"/>
            <wp:effectExtent l="0" t="0" r="4445" b="8890"/>
            <wp:docPr id="7" name="图片 7" descr="S7-改色 不同囊泡及sirna进细胞钙离子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7-改色 不同囊泡及sirna进细胞钙离子RO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Specificity of siGRP94 in different biocarriers.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eastAsia="宋体" w:cs="Times New Roman"/>
          <w:b/>
          <w:bCs w:val="0"/>
          <w:kern w:val="0"/>
          <w:sz w:val="24"/>
          <w:lang w:bidi="ar"/>
        </w:rPr>
        <w:t>a</w:t>
      </w:r>
      <w:r>
        <w:rPr>
          <w:rFonts w:hint="eastAsia" w:ascii="Times New Roman" w:hAnsi="Times New Roman" w:eastAsia="宋体" w:cs="Times New Roman"/>
          <w:b/>
          <w:bCs w:val="0"/>
          <w:kern w:val="0"/>
          <w:sz w:val="24"/>
          <w:lang w:bidi="ar"/>
        </w:rPr>
        <w:t xml:space="preserve">)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Determination of the intracellular </w:t>
      </w:r>
      <w:r>
        <w:rPr>
          <w:rFonts w:ascii="Times New Roman" w:hAnsi="Times New Roman" w:cs="Times New Roman"/>
          <w:sz w:val="24"/>
        </w:rPr>
        <w:t>Ca</w:t>
      </w:r>
      <w:r>
        <w:rPr>
          <w:rFonts w:ascii="Times New Roman" w:hAnsi="Times New Roman" w:cs="Times New Roman"/>
          <w:sz w:val="24"/>
          <w:vertAlign w:val="superscript"/>
        </w:rPr>
        <w:t>2+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concentration and the production of ROS in HepG2 cells after incubation with si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GRP94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</w:rPr>
        <w:t>ER–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horse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, si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GRP94</w:t>
      </w:r>
      <w:r>
        <w:rPr>
          <w:rFonts w:ascii="Times New Roman" w:hAnsi="Times New Roman" w:cs="Times New Roman"/>
          <w:b w:val="0"/>
          <w:bCs w:val="0"/>
          <w:sz w:val="24"/>
        </w:rPr>
        <w:t>–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RBCVs, si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GRP94</w:t>
      </w:r>
      <w:r>
        <w:rPr>
          <w:rFonts w:ascii="Times New Roman" w:hAnsi="Times New Roman" w:cs="Times New Roman"/>
          <w:b w:val="0"/>
          <w:bCs w:val="0"/>
          <w:sz w:val="24"/>
        </w:rPr>
        <w:t>–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CCVs) for 1 h as detected by CLSM.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(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>b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)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Quantitative comparison of the above CLSM images.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58435" cy="2404110"/>
            <wp:effectExtent l="0" t="0" r="12065" b="8890"/>
            <wp:docPr id="13" name="图片 13" descr="S6不同细胞给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6不同细胞给药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40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Selectivity of 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ER</w:t>
      </w:r>
      <w:r>
        <w:rPr>
          <w:rFonts w:ascii="Times New Roman" w:hAnsi="Times New Roman" w:cs="Times New Roman"/>
          <w:b/>
          <w:bCs/>
          <w:sz w:val="24"/>
        </w:rPr>
        <w:t>–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horse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in different cell lines.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Determination of the intracellular </w:t>
      </w:r>
      <w:r>
        <w:rPr>
          <w:rFonts w:ascii="Times New Roman" w:hAnsi="Times New Roman" w:cs="Times New Roman"/>
          <w:sz w:val="24"/>
        </w:rPr>
        <w:t>Ca</w:t>
      </w:r>
      <w:r>
        <w:rPr>
          <w:rFonts w:ascii="Times New Roman" w:hAnsi="Times New Roman" w:cs="Times New Roman"/>
          <w:sz w:val="24"/>
          <w:vertAlign w:val="superscript"/>
        </w:rPr>
        <w:t>2+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concentration and the production of ROS in 7721 cells after incubation with </w:t>
      </w:r>
      <w:r>
        <w:rPr>
          <w:rFonts w:hint="default" w:ascii="Times New Roman" w:hAnsi="Times New Roman" w:eastAsia="宋体" w:cs="Times New Roman"/>
          <w:kern w:val="0"/>
          <w:sz w:val="24"/>
          <w:lang w:bidi="ar"/>
        </w:rPr>
        <w:t>ER–hor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se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for 0, 1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h, and 12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h.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3166110" cy="2481580"/>
            <wp:effectExtent l="0" t="0" r="8890" b="7620"/>
            <wp:docPr id="11" name="图片 11" descr="S9-改色 不同细胞柱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9-改色 不同细胞柱状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66110" cy="248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Selectivity of 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ER</w: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lang w:bidi="ar"/>
        </w:rPr>
        <w:t>–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horse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in inducing the influx of Ca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and the production of ROS.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Quantitative comparison of the intracellular </w:t>
      </w:r>
      <w:r>
        <w:rPr>
          <w:rFonts w:ascii="Times New Roman" w:hAnsi="Times New Roman" w:cs="Times New Roman"/>
          <w:sz w:val="24"/>
        </w:rPr>
        <w:t>Ca</w:t>
      </w:r>
      <w:r>
        <w:rPr>
          <w:rFonts w:ascii="Times New Roman" w:hAnsi="Times New Roman" w:cs="Times New Roman"/>
          <w:sz w:val="24"/>
          <w:vertAlign w:val="superscript"/>
        </w:rPr>
        <w:t>2+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concentration and ROS production in HepG2 cells, 7721 cells and L02 cells after incubation with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ER</w:t>
      </w:r>
      <w:r>
        <w:rPr>
          <w:rFonts w:hint="default" w:ascii="Times New Roman" w:hAnsi="Times New Roman" w:eastAsia="宋体" w:cs="Times New Roman"/>
          <w:kern w:val="0"/>
          <w:sz w:val="24"/>
          <w:lang w:bidi="ar"/>
        </w:rPr>
        <w:t>–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horse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 xml:space="preserve"> for 1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h and 12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h.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The data are expressed as the mean ± SD (n = 3); a single asterisk indicates p &lt; 0.05, double asterisks indicate p &lt; 0.01,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 xml:space="preserve"> and trip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le asterisks indicate p &lt; 0.0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0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1</w:t>
      </w:r>
      <w:r>
        <w:rPr>
          <w:rFonts w:hint="eastAsia" w:ascii="Times New Roman" w:hAnsi="Times New Roman" w:eastAsia="宋体" w:cs="Times New Roman"/>
          <w:kern w:val="0"/>
          <w:sz w:val="24"/>
          <w:lang w:bidi="ar"/>
        </w:rPr>
        <w:t>.</w:t>
      </w: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both"/>
        <w:rPr>
          <w:rFonts w:ascii="Times New Roman" w:hAnsi="Times New Roman" w:cs="Times New Roman"/>
        </w:rPr>
      </w:pP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9230" cy="2406015"/>
            <wp:effectExtent l="0" t="0" r="1270" b="6985"/>
            <wp:docPr id="12" name="图片 12" descr="S10-改色（活体荧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10-改色（活体荧光）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bCs/>
          <w:sz w:val="24"/>
        </w:rPr>
        <w:t>10.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Antitumor effect of ER–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horse</w:t>
      </w:r>
      <w:r>
        <w:rPr>
          <w:rFonts w:ascii="Times New Roman" w:hAnsi="Times New Roman" w:cs="Times New Roman"/>
          <w:b/>
          <w:bCs/>
          <w:sz w:val="24"/>
        </w:rPr>
        <w:t xml:space="preserve"> in vivo.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 xml:space="preserve">a) </w:t>
      </w:r>
      <w:r>
        <w:rPr>
          <w:rFonts w:ascii="Times New Roman" w:hAnsi="Times New Roman" w:cs="Times New Roman"/>
          <w:sz w:val="24"/>
        </w:rPr>
        <w:t>Time–lapse NIR fluorescence images of HepG2 tumor–bearing BALB/c mice in vivo. ER–</w:t>
      </w:r>
      <w:r>
        <w:rPr>
          <w:rFonts w:hint="eastAsia" w:ascii="Times New Roman" w:hAnsi="Times New Roman" w:cs="Times New Roman"/>
          <w:sz w:val="24"/>
          <w:lang w:val="en-US" w:eastAsia="zh-CN"/>
        </w:rPr>
        <w:t>horse</w:t>
      </w:r>
      <w:r>
        <w:rPr>
          <w:rFonts w:ascii="Times New Roman" w:hAnsi="Times New Roman" w:cs="Times New Roman"/>
          <w:sz w:val="24"/>
        </w:rPr>
        <w:t xml:space="preserve"> exhibited an obvious tumor–targeting effect (the red circles indicate tumor sites). </w:t>
      </w:r>
      <w:r>
        <w:rPr>
          <w:rFonts w:hint="eastAsia"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b)</w:t>
      </w:r>
      <w:r>
        <w:rPr>
          <w:rFonts w:ascii="Times New Roman" w:hAnsi="Times New Roman" w:cs="Times New Roman"/>
          <w:sz w:val="24"/>
        </w:rPr>
        <w:t xml:space="preserve"> Ex vivo NIR fluorescence images of the major organs (heart, liver, spleen, lungs, and kidneys) and tumors 48 h after the injection of ER–</w:t>
      </w:r>
      <w:r>
        <w:rPr>
          <w:rFonts w:hint="eastAsia" w:ascii="Times New Roman" w:hAnsi="Times New Roman" w:cs="Times New Roman"/>
          <w:sz w:val="24"/>
          <w:lang w:val="en-US" w:eastAsia="zh-CN"/>
        </w:rPr>
        <w:t>horse</w:t>
      </w:r>
      <w:r>
        <w:rPr>
          <w:rFonts w:ascii="Times New Roman" w:hAnsi="Times New Roman" w:cs="Times New Roman"/>
          <w:sz w:val="24"/>
        </w:rPr>
        <w:t>, siGRP94–RBCVs and siGRP94–CCVs</w:t>
      </w:r>
      <w:r>
        <w:rPr>
          <w:rFonts w:hint="eastAsia" w:ascii="Times New Roman" w:hAnsi="Times New Roman" w:cs="Times New Roman"/>
          <w:sz w:val="24"/>
        </w:rPr>
        <w:t xml:space="preserve"> and siGRP94</w:t>
      </w:r>
      <w:r>
        <w:rPr>
          <w:rFonts w:ascii="Times New Roman" w:hAnsi="Times New Roman" w:cs="Times New Roman"/>
          <w:sz w:val="24"/>
        </w:rPr>
        <w:t>. ER–</w:t>
      </w:r>
      <w:r>
        <w:rPr>
          <w:rFonts w:hint="eastAsia" w:ascii="Times New Roman" w:hAnsi="Times New Roman" w:cs="Times New Roman"/>
          <w:sz w:val="24"/>
          <w:lang w:val="en-US" w:eastAsia="zh-CN"/>
        </w:rPr>
        <w:t>horse</w:t>
      </w:r>
      <w:r>
        <w:rPr>
          <w:rFonts w:ascii="Times New Roman" w:hAnsi="Times New Roman" w:cs="Times New Roman"/>
          <w:sz w:val="24"/>
        </w:rPr>
        <w:t xml:space="preserve"> demonstrated excellent tumor accumulation. </w:t>
      </w:r>
      <w:r>
        <w:rPr>
          <w:rFonts w:hint="eastAsia"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c)</w:t>
      </w:r>
      <w:r>
        <w:rPr>
          <w:rFonts w:ascii="Times New Roman" w:hAnsi="Times New Roman" w:cs="Times New Roman"/>
          <w:sz w:val="24"/>
        </w:rPr>
        <w:t xml:space="preserve"> NIR fluorescence intensities around the tumors quantified at the indicated time points. The data are expressed as the mean ± SD (n = 3); a single asterisk indicates p &lt; 0.05, and double asterisks indicate p &lt; 0.01.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d)</w:t>
      </w:r>
      <w:r>
        <w:rPr>
          <w:rFonts w:ascii="Times New Roman" w:hAnsi="Times New Roman" w:cs="Times New Roman"/>
          <w:sz w:val="24"/>
        </w:rPr>
        <w:t xml:space="preserve"> Semiquantitative biodistribution of ER–</w:t>
      </w:r>
      <w:r>
        <w:rPr>
          <w:rFonts w:hint="eastAsia" w:ascii="Times New Roman" w:hAnsi="Times New Roman" w:cs="Times New Roman"/>
          <w:sz w:val="24"/>
          <w:lang w:val="en-US" w:eastAsia="zh-CN"/>
        </w:rPr>
        <w:t>horse</w:t>
      </w:r>
      <w:r>
        <w:rPr>
          <w:rFonts w:ascii="Times New Roman" w:hAnsi="Times New Roman" w:cs="Times New Roman"/>
          <w:sz w:val="24"/>
        </w:rPr>
        <w:t>, siGRP94–RBCVs and siGRP94–CCVs</w:t>
      </w:r>
      <w:r>
        <w:rPr>
          <w:rFonts w:hint="eastAsia" w:ascii="Times New Roman" w:hAnsi="Times New Roman" w:cs="Times New Roman"/>
          <w:sz w:val="24"/>
        </w:rPr>
        <w:t xml:space="preserve"> and siGRP94</w:t>
      </w:r>
      <w:r>
        <w:rPr>
          <w:rFonts w:ascii="Times New Roman" w:hAnsi="Times New Roman" w:cs="Times New Roman"/>
          <w:sz w:val="24"/>
        </w:rPr>
        <w:t>. ER–</w:t>
      </w:r>
      <w:r>
        <w:rPr>
          <w:rFonts w:hint="eastAsia" w:ascii="Times New Roman" w:hAnsi="Times New Roman" w:cs="Times New Roman"/>
          <w:sz w:val="24"/>
          <w:lang w:val="en-US" w:eastAsia="zh-CN"/>
        </w:rPr>
        <w:t>horse</w:t>
      </w:r>
      <w:r>
        <w:rPr>
          <w:rFonts w:ascii="Times New Roman" w:hAnsi="Times New Roman" w:cs="Times New Roman"/>
          <w:sz w:val="24"/>
        </w:rPr>
        <w:t xml:space="preserve"> in HepG2 tumor–bearing BALB/c mice as determined by the averaged fluorescence intensity in the organs and tumors.</w:t>
      </w:r>
      <w:r>
        <w:rPr>
          <w:rFonts w:ascii="Times New Roman" w:hAnsi="Times New Roman" w:cs="Times New Roman"/>
        </w:rPr>
        <w:br w:type="page"/>
      </w:r>
    </w:p>
    <w:p>
      <w:pPr>
        <w:widowControl/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6690" cy="3233420"/>
            <wp:effectExtent l="0" t="0" r="3810" b="5080"/>
            <wp:docPr id="14" name="图片 14" descr="S11-改色 HE染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11-改色 HE染色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Times New Roman" w:hAnsi="Times New Roman" w:cs="Times New Roman"/>
          <w:b/>
          <w:bCs/>
          <w:sz w:val="24"/>
        </w:rPr>
        <w:t>11.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Pharmacological evaluation of main organs.</w:t>
      </w:r>
      <w:r>
        <w:rPr>
          <w:rFonts w:ascii="Times New Roman" w:hAnsi="Times New Roman" w:cs="Times New Roman"/>
          <w:sz w:val="24"/>
        </w:rPr>
        <w:t xml:space="preserve"> H&amp;E-stained tissue sections of heart, liver, spleen, lung, and kidney tissues from untreated mice (top row) and from mice injected with ER–</w:t>
      </w:r>
      <w:r>
        <w:rPr>
          <w:rFonts w:hint="eastAsia" w:ascii="Times New Roman" w:hAnsi="Times New Roman" w:cs="Times New Roman"/>
          <w:sz w:val="24"/>
          <w:lang w:val="en-US" w:eastAsia="zh-CN"/>
        </w:rPr>
        <w:t>horse</w:t>
      </w:r>
      <w:r>
        <w:rPr>
          <w:rFonts w:ascii="Times New Roman" w:hAnsi="Times New Roman" w:cs="Times New Roman"/>
          <w:sz w:val="24"/>
        </w:rPr>
        <w:t xml:space="preserve"> (bottom row). Scale bar = </w:t>
      </w:r>
      <w:r>
        <w:rPr>
          <w:rFonts w:hint="eastAsia" w:ascii="Times New Roman" w:hAnsi="Times New Roman" w:cs="Times New Roman"/>
          <w:sz w:val="24"/>
        </w:rPr>
        <w:t>50</w:t>
      </w:r>
      <w:r>
        <w:rPr>
          <w:rFonts w:ascii="Times New Roman" w:hAnsi="Times New Roman" w:cs="Times New Roman"/>
          <w:sz w:val="24"/>
        </w:rPr>
        <w:t xml:space="preserve"> μm.</w:t>
      </w:r>
    </w:p>
    <w:p>
      <w:pPr>
        <w:rPr>
          <w:rFonts w:ascii="Times New Roman" w:hAnsi="Times New Roman" w:cs="Times New Roman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NGJiMWVmZTg4ZjFhYWZhYWFiMzBkODkwYWRkZmUifQ=="/>
  </w:docVars>
  <w:rsids>
    <w:rsidRoot w:val="31F07D88"/>
    <w:rsid w:val="00041BF7"/>
    <w:rsid w:val="0007553F"/>
    <w:rsid w:val="0022291F"/>
    <w:rsid w:val="00227E6D"/>
    <w:rsid w:val="00280CFB"/>
    <w:rsid w:val="002916EB"/>
    <w:rsid w:val="003D2CA2"/>
    <w:rsid w:val="00425DD8"/>
    <w:rsid w:val="00434805"/>
    <w:rsid w:val="004615AF"/>
    <w:rsid w:val="00490EE2"/>
    <w:rsid w:val="00594C01"/>
    <w:rsid w:val="00794E95"/>
    <w:rsid w:val="008C5299"/>
    <w:rsid w:val="00904D3F"/>
    <w:rsid w:val="00AA06ED"/>
    <w:rsid w:val="00B31F35"/>
    <w:rsid w:val="00C31310"/>
    <w:rsid w:val="00D540C2"/>
    <w:rsid w:val="00D718E9"/>
    <w:rsid w:val="00E5079D"/>
    <w:rsid w:val="00E619D6"/>
    <w:rsid w:val="00E95DB7"/>
    <w:rsid w:val="00F060BE"/>
    <w:rsid w:val="00F954B1"/>
    <w:rsid w:val="0358716E"/>
    <w:rsid w:val="0614652F"/>
    <w:rsid w:val="08866404"/>
    <w:rsid w:val="0A39612B"/>
    <w:rsid w:val="0B3A069C"/>
    <w:rsid w:val="0D7A3C4F"/>
    <w:rsid w:val="0FF70D1F"/>
    <w:rsid w:val="11643FD8"/>
    <w:rsid w:val="14C01B23"/>
    <w:rsid w:val="14C438B8"/>
    <w:rsid w:val="169F33CC"/>
    <w:rsid w:val="16B7674F"/>
    <w:rsid w:val="17F57CFF"/>
    <w:rsid w:val="246733EF"/>
    <w:rsid w:val="269F7E51"/>
    <w:rsid w:val="29912A2E"/>
    <w:rsid w:val="2B043803"/>
    <w:rsid w:val="2B802995"/>
    <w:rsid w:val="2DEC7AF3"/>
    <w:rsid w:val="2E7E13C6"/>
    <w:rsid w:val="30181C4E"/>
    <w:rsid w:val="31F07D88"/>
    <w:rsid w:val="32EA7BF5"/>
    <w:rsid w:val="356559DB"/>
    <w:rsid w:val="366D0650"/>
    <w:rsid w:val="36743D93"/>
    <w:rsid w:val="3AF75A94"/>
    <w:rsid w:val="3C4067E8"/>
    <w:rsid w:val="3EB430A9"/>
    <w:rsid w:val="3ECE7FC9"/>
    <w:rsid w:val="40210050"/>
    <w:rsid w:val="40C724E3"/>
    <w:rsid w:val="41C73BAC"/>
    <w:rsid w:val="41F30C9B"/>
    <w:rsid w:val="43280C31"/>
    <w:rsid w:val="46144026"/>
    <w:rsid w:val="4B1509B1"/>
    <w:rsid w:val="4C425F8D"/>
    <w:rsid w:val="4DBA5B8E"/>
    <w:rsid w:val="4F444F0A"/>
    <w:rsid w:val="53246691"/>
    <w:rsid w:val="546C6CA3"/>
    <w:rsid w:val="557E2BBF"/>
    <w:rsid w:val="5B5E6DFF"/>
    <w:rsid w:val="5BDC1FFC"/>
    <w:rsid w:val="5E3F46DD"/>
    <w:rsid w:val="5F2A1E23"/>
    <w:rsid w:val="6DCC27B2"/>
    <w:rsid w:val="74A512F7"/>
    <w:rsid w:val="756D1838"/>
    <w:rsid w:val="79AF1D56"/>
    <w:rsid w:val="79D618D7"/>
    <w:rsid w:val="7D054DA1"/>
    <w:rsid w:val="7EB0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  <w:rPr>
      <w:rFonts w:ascii="Tahoma" w:hAnsi="Tahoma" w:cs="Tahoma"/>
      <w:sz w:val="16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3"/>
    <w:next w:val="3"/>
    <w:link w:val="19"/>
    <w:qFormat/>
    <w:uiPriority w:val="0"/>
    <w:rPr>
      <w:rFonts w:asciiTheme="minorHAnsi" w:hAnsiTheme="minorHAnsi" w:cstheme="minorBidi"/>
      <w:b/>
      <w:bCs/>
      <w:sz w:val="21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styleId="11">
    <w:name w:val="annotation reference"/>
    <w:basedOn w:val="8"/>
    <w:qFormat/>
    <w:uiPriority w:val="0"/>
    <w:rPr>
      <w:rFonts w:ascii="Tahoma" w:hAnsi="Tahoma" w:cs="Tahoma"/>
      <w:sz w:val="16"/>
      <w:szCs w:val="21"/>
      <w:u w:val="none"/>
    </w:rPr>
  </w:style>
  <w:style w:type="table" w:customStyle="1" w:styleId="12">
    <w:name w:val="Plain Table 21"/>
    <w:basedOn w:val="7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13">
    <w:name w:val="List Table 4 - Accent 31"/>
    <w:basedOn w:val="7"/>
    <w:qFormat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character" w:customStyle="1" w:styleId="14">
    <w:name w:val="Figure Char"/>
    <w:basedOn w:val="8"/>
    <w:link w:val="15"/>
    <w:qFormat/>
    <w:uiPriority w:val="0"/>
    <w:rPr>
      <w:rFonts w:ascii="Times New Roman" w:hAnsi="Times New Roman" w:eastAsia="Calibri" w:cs="Times New Roman"/>
      <w:color w:val="333333"/>
      <w:sz w:val="24"/>
      <w:lang w:eastAsia="en-AU"/>
    </w:rPr>
  </w:style>
  <w:style w:type="paragraph" w:customStyle="1" w:styleId="15">
    <w:name w:val="Figure"/>
    <w:basedOn w:val="1"/>
    <w:link w:val="14"/>
    <w:qFormat/>
    <w:uiPriority w:val="0"/>
    <w:rPr>
      <w:rFonts w:ascii="Times New Roman" w:hAnsi="Times New Roman" w:eastAsia="Calibri" w:cs="Times New Roman"/>
      <w:color w:val="333333"/>
      <w:sz w:val="24"/>
      <w:lang w:eastAsia="en-AU"/>
    </w:rPr>
  </w:style>
  <w:style w:type="character" w:customStyle="1" w:styleId="16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文字 字符"/>
    <w:basedOn w:val="8"/>
    <w:link w:val="3"/>
    <w:qFormat/>
    <w:uiPriority w:val="99"/>
    <w:rPr>
      <w:rFonts w:ascii="Tahoma" w:hAnsi="Tahoma" w:cs="Tahoma" w:eastAsiaTheme="minorEastAsia"/>
      <w:kern w:val="2"/>
      <w:sz w:val="16"/>
      <w:szCs w:val="24"/>
    </w:rPr>
  </w:style>
  <w:style w:type="character" w:customStyle="1" w:styleId="19">
    <w:name w:val="批注主题 字符"/>
    <w:basedOn w:val="18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tif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tiff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1139</Words>
  <Characters>7329</Characters>
  <Lines>66</Lines>
  <Paragraphs>18</Paragraphs>
  <TotalTime>1</TotalTime>
  <ScaleCrop>false</ScaleCrop>
  <LinksUpToDate>false</LinksUpToDate>
  <CharactersWithSpaces>8280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2022-09-02T09:42:00Z</dcterms:created>
  <dc:creator>ASUS</dc:creator>
  <cp:lastModifiedBy>Betty</cp:lastModifiedBy>
  <dcterms:modified xsi:type="dcterms:W3CDTF">2022-10-15T01:16:55Z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DE8BDACBD4424FB0BDEA48E65056976A</vt:lpwstr>
  </property>
</Properties>
</file>