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after="160" w:line="360" w:lineRule="auto"/>
        <w:outlineLvl w:val="0"/>
        <w:rPr>
          <w:rFonts w:ascii="Times New Roman" w:hAnsi="Times New Roman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Supplemental table</w:t>
      </w:r>
      <w:r>
        <w:rPr>
          <w:rFonts w:ascii="Times New Roman" w:hAnsi="Times New Roman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1. Clinical characteristics of </w:t>
      </w:r>
      <w:bookmarkStart w:id="0" w:name="_GoBack"/>
      <w:bookmarkEnd w:id="0"/>
      <w:r>
        <w:rPr>
          <w:rFonts w:ascii="Times New Roman" w:hAnsi="Times New Roman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CHB patients with m</w:t>
      </w:r>
      <w:r>
        <w:rPr>
          <w:rFonts w:hint="eastAsia" w:ascii="Times New Roman" w:hAnsi="Times New Roman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ild steatosis</w:t>
      </w:r>
      <w:r>
        <w:rPr>
          <w:rFonts w:hint="default" w:ascii="Times New Roman" w:hAnsi="Times New Roman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color w:val="000000" w:themeColor="text1"/>
          <w:sz w:val="24"/>
          <w:lang w:val="en-US" w:eastAsia="zh-Hans"/>
          <w14:textFill>
            <w14:solidFill>
              <w14:schemeClr w14:val="tx1"/>
            </w14:solidFill>
          </w14:textFill>
        </w:rPr>
        <w:t>and</w:t>
      </w:r>
      <w:r>
        <w:rPr>
          <w:rFonts w:hint="default" w:ascii="Times New Roman" w:hAnsi="Times New Roman" w:cs="Times New Roman"/>
          <w:b/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  <w:t xml:space="preserve"> moderate-severe Steatosis</w:t>
      </w:r>
      <w:r>
        <w:rPr>
          <w:rFonts w:ascii="Times New Roman" w:hAnsi="Times New Roman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.</w:t>
      </w:r>
    </w:p>
    <w:tbl>
      <w:tblPr>
        <w:tblStyle w:val="4"/>
        <w:tblW w:w="10878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787"/>
        <w:gridCol w:w="2830"/>
        <w:gridCol w:w="3809"/>
        <w:gridCol w:w="1452"/>
      </w:tblGrid>
      <w:tr>
        <w:trPr>
          <w:trHeight w:val="310" w:hRule="atLeast"/>
        </w:trPr>
        <w:tc>
          <w:tcPr>
            <w:tcW w:w="2787" w:type="dxa"/>
            <w:tcBorders>
              <w:top w:val="single" w:color="000000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0" w:type="dxa"/>
            <w:tcBorders>
              <w:top w:val="single" w:color="000000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Mild steatosis</w:t>
            </w:r>
          </w:p>
        </w:tc>
        <w:tc>
          <w:tcPr>
            <w:tcW w:w="3809" w:type="dxa"/>
            <w:tcBorders>
              <w:top w:val="single" w:color="000000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Moderate-severe Steatosis</w:t>
            </w:r>
          </w:p>
        </w:tc>
        <w:tc>
          <w:tcPr>
            <w:tcW w:w="1452" w:type="dxa"/>
            <w:tcBorders>
              <w:top w:val="single" w:color="000000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Italic" w:hAnsi="Times New Roman Italic" w:eastAsia="宋体" w:cs="Times New Roman Italic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value</w:t>
            </w:r>
          </w:p>
        </w:tc>
      </w:tr>
      <w:tr>
        <w:trPr>
          <w:trHeight w:val="310" w:hRule="atLeast"/>
        </w:trPr>
        <w:tc>
          <w:tcPr>
            <w:tcW w:w="278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Subjects, n</w:t>
            </w:r>
          </w:p>
        </w:tc>
        <w:tc>
          <w:tcPr>
            <w:tcW w:w="283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380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90</w:t>
            </w:r>
          </w:p>
        </w:tc>
        <w:tc>
          <w:tcPr>
            <w:tcW w:w="145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>
        <w:trPr>
          <w:trHeight w:val="310" w:hRule="atLeast"/>
        </w:trPr>
        <w:tc>
          <w:tcPr>
            <w:tcW w:w="2787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Age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, y</w:t>
            </w:r>
          </w:p>
        </w:tc>
        <w:tc>
          <w:tcPr>
            <w:tcW w:w="2830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40.5 (32.3, 47.0)</w:t>
            </w:r>
          </w:p>
        </w:tc>
        <w:tc>
          <w:tcPr>
            <w:tcW w:w="3809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39.5 (33.0, 49.0)</w:t>
            </w:r>
          </w:p>
        </w:tc>
        <w:tc>
          <w:tcPr>
            <w:tcW w:w="1452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0.949</w:t>
            </w:r>
          </w:p>
        </w:tc>
      </w:tr>
      <w:tr>
        <w:trPr>
          <w:trHeight w:val="301" w:hRule="atLeast"/>
        </w:trPr>
        <w:tc>
          <w:tcPr>
            <w:tcW w:w="27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Male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, %</w:t>
            </w:r>
          </w:p>
        </w:tc>
        <w:tc>
          <w:tcPr>
            <w:tcW w:w="28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149 (74.5)</w:t>
            </w:r>
          </w:p>
        </w:tc>
        <w:tc>
          <w:tcPr>
            <w:tcW w:w="380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69 (76.6)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0.693</w:t>
            </w:r>
          </w:p>
        </w:tc>
      </w:tr>
      <w:tr>
        <w:trPr>
          <w:trHeight w:val="224" w:hRule="atLeast"/>
        </w:trPr>
        <w:tc>
          <w:tcPr>
            <w:tcW w:w="27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HBeAg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, %</w:t>
            </w:r>
          </w:p>
        </w:tc>
        <w:tc>
          <w:tcPr>
            <w:tcW w:w="28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78 (39.0)</w:t>
            </w:r>
          </w:p>
        </w:tc>
        <w:tc>
          <w:tcPr>
            <w:tcW w:w="380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30 (33.3)</w:t>
            </w:r>
          </w:p>
        </w:tc>
        <w:tc>
          <w:tcPr>
            <w:tcW w:w="1452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0.356</w:t>
            </w:r>
          </w:p>
        </w:tc>
      </w:tr>
      <w:tr>
        <w:trPr>
          <w:trHeight w:val="383" w:hRule="atLeast"/>
        </w:trPr>
        <w:tc>
          <w:tcPr>
            <w:tcW w:w="27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HBV DNA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, log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kern w:val="0"/>
                <w:sz w:val="24"/>
                <w:vertAlign w:val="subscript"/>
                <w:lang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IU/mL</w:t>
            </w:r>
          </w:p>
        </w:tc>
        <w:tc>
          <w:tcPr>
            <w:tcW w:w="28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4.5 (3.0, 7.1)</w:t>
            </w:r>
          </w:p>
        </w:tc>
        <w:tc>
          <w:tcPr>
            <w:tcW w:w="380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3.6 (2.9, 6.7)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0.418</w:t>
            </w:r>
          </w:p>
        </w:tc>
      </w:tr>
      <w:tr>
        <w:trPr>
          <w:trHeight w:val="301" w:hRule="atLeast"/>
        </w:trPr>
        <w:tc>
          <w:tcPr>
            <w:tcW w:w="27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HBV DNA range</w:t>
            </w:r>
          </w:p>
        </w:tc>
        <w:tc>
          <w:tcPr>
            <w:tcW w:w="2830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09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0.586</w:t>
            </w:r>
          </w:p>
        </w:tc>
      </w:tr>
      <w:tr>
        <w:trPr>
          <w:trHeight w:val="301" w:hRule="atLeast"/>
        </w:trPr>
        <w:tc>
          <w:tcPr>
            <w:tcW w:w="27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&lt;3</w:t>
            </w:r>
          </w:p>
        </w:tc>
        <w:tc>
          <w:tcPr>
            <w:tcW w:w="283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42 (21.9)</w:t>
            </w:r>
          </w:p>
        </w:tc>
        <w:tc>
          <w:tcPr>
            <w:tcW w:w="3809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24 (29.2)</w:t>
            </w:r>
          </w:p>
        </w:tc>
        <w:tc>
          <w:tcPr>
            <w:tcW w:w="1452" w:type="dxa"/>
            <w:shd w:val="clear" w:color="auto" w:fill="auto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301" w:hRule="atLeast"/>
        </w:trPr>
        <w:tc>
          <w:tcPr>
            <w:tcW w:w="27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3-5</w:t>
            </w:r>
          </w:p>
        </w:tc>
        <w:tc>
          <w:tcPr>
            <w:tcW w:w="283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67 (35.0)</w:t>
            </w:r>
          </w:p>
        </w:tc>
        <w:tc>
          <w:tcPr>
            <w:tcW w:w="3809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24 (29.2)</w:t>
            </w:r>
          </w:p>
        </w:tc>
        <w:tc>
          <w:tcPr>
            <w:tcW w:w="1452" w:type="dxa"/>
            <w:shd w:val="clear" w:color="auto" w:fill="auto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301" w:hRule="atLeast"/>
        </w:trPr>
        <w:tc>
          <w:tcPr>
            <w:tcW w:w="278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5-7</w:t>
            </w:r>
          </w:p>
        </w:tc>
        <w:tc>
          <w:tcPr>
            <w:tcW w:w="283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34 (17.8)</w:t>
            </w:r>
          </w:p>
        </w:tc>
        <w:tc>
          <w:tcPr>
            <w:tcW w:w="3809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15 (18.2)</w:t>
            </w:r>
          </w:p>
        </w:tc>
        <w:tc>
          <w:tcPr>
            <w:tcW w:w="1452" w:type="dxa"/>
            <w:shd w:val="clear" w:color="auto" w:fill="auto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310" w:hRule="atLeast"/>
        </w:trPr>
        <w:tc>
          <w:tcPr>
            <w:tcW w:w="2787" w:type="dxa"/>
            <w:tcBorders>
              <w:bottom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830" w:type="dxa"/>
            <w:tcBorders>
              <w:bottom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48 (25.1)</w:t>
            </w:r>
          </w:p>
        </w:tc>
        <w:tc>
          <w:tcPr>
            <w:tcW w:w="3809" w:type="dxa"/>
            <w:tcBorders>
              <w:bottom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19 (23.1)</w:t>
            </w:r>
          </w:p>
        </w:tc>
        <w:tc>
          <w:tcPr>
            <w:tcW w:w="1452" w:type="dxa"/>
            <w:tcBorders>
              <w:bottom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napToGrid w:val="0"/>
        <w:spacing w:after="160" w:line="480" w:lineRule="auto"/>
        <w:outlineLvl w:val="0"/>
        <w:rPr>
          <w:rFonts w:ascii="Times New Roman" w:hAnsi="Times New Roman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 xml:space="preserve">HBeAg: </w:t>
      </w:r>
      <w:r>
        <w:rPr>
          <w:rFonts w:ascii="Times New Roman" w:hAnsi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hepatitis B virus surface antigen; HBV: hepatitis B virus; NAFLD: nonalcoholic fatty liver diseases.</w:t>
      </w:r>
    </w:p>
    <w:p>
      <w:pPr>
        <w:snapToGrid w:val="0"/>
        <w:spacing w:after="160" w:line="480" w:lineRule="auto"/>
        <w:rPr>
          <w:rFonts w:ascii="Times New Roman" w:hAnsi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snapToGrid w:val="0"/>
        <w:spacing w:after="160" w:line="360" w:lineRule="auto"/>
        <w:outlineLvl w:val="0"/>
        <w:rPr>
          <w:rFonts w:ascii="Times New Roman" w:hAnsi="Times New Roman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Supplemental table </w:t>
      </w:r>
      <w:r>
        <w:rPr>
          <w:rFonts w:hint="default" w:ascii="Times New Roman" w:hAnsi="Times New Roman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. Univariate and multivariate analyses of factors associated with cirrhosis in CHB patients.</w:t>
      </w:r>
    </w:p>
    <w:tbl>
      <w:tblPr>
        <w:tblStyle w:val="4"/>
        <w:tblW w:w="13278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729"/>
        <w:gridCol w:w="2882"/>
        <w:gridCol w:w="2885"/>
        <w:gridCol w:w="2372"/>
        <w:gridCol w:w="2410"/>
      </w:tblGrid>
      <w:tr>
        <w:trPr>
          <w:trHeight w:val="90" w:hRule="atLeast"/>
        </w:trPr>
        <w:tc>
          <w:tcPr>
            <w:tcW w:w="2729" w:type="dxa"/>
            <w:vMerge w:val="restart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Variables</w:t>
            </w:r>
          </w:p>
        </w:tc>
        <w:tc>
          <w:tcPr>
            <w:tcW w:w="5767" w:type="dxa"/>
            <w:gridSpan w:val="2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Univariate</w:t>
            </w:r>
          </w:p>
        </w:tc>
        <w:tc>
          <w:tcPr>
            <w:tcW w:w="4782" w:type="dxa"/>
            <w:gridSpan w:val="2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Multivariate</w:t>
            </w:r>
          </w:p>
        </w:tc>
      </w:tr>
      <w:tr>
        <w:trPr>
          <w:trHeight w:val="90" w:hRule="atLeast"/>
        </w:trPr>
        <w:tc>
          <w:tcPr>
            <w:tcW w:w="2729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82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OR (95% CI)</w:t>
            </w:r>
          </w:p>
        </w:tc>
        <w:tc>
          <w:tcPr>
            <w:tcW w:w="2885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P value</w:t>
            </w:r>
          </w:p>
        </w:tc>
        <w:tc>
          <w:tcPr>
            <w:tcW w:w="2372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OR (95% CI)</w:t>
            </w:r>
          </w:p>
        </w:tc>
        <w:tc>
          <w:tcPr>
            <w:tcW w:w="2410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P value</w:t>
            </w:r>
          </w:p>
        </w:tc>
      </w:tr>
      <w:tr>
        <w:trPr>
          <w:trHeight w:val="98" w:hRule="atLeast"/>
        </w:trPr>
        <w:tc>
          <w:tcPr>
            <w:tcW w:w="272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Age, y</w:t>
            </w:r>
          </w:p>
        </w:tc>
        <w:tc>
          <w:tcPr>
            <w:tcW w:w="28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1.020 (1.007, 1.032)</w:t>
            </w:r>
          </w:p>
        </w:tc>
        <w:tc>
          <w:tcPr>
            <w:tcW w:w="28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0.002</w:t>
            </w:r>
          </w:p>
        </w:tc>
        <w:tc>
          <w:tcPr>
            <w:tcW w:w="23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1.003 (0.988, 1.019)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0.665</w:t>
            </w:r>
          </w:p>
        </w:tc>
      </w:tr>
      <w:tr>
        <w:trPr>
          <w:trHeight w:val="90" w:hRule="atLeast"/>
        </w:trPr>
        <w:tc>
          <w:tcPr>
            <w:tcW w:w="272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Gender</w:t>
            </w:r>
          </w:p>
        </w:tc>
        <w:tc>
          <w:tcPr>
            <w:tcW w:w="2882" w:type="dxa"/>
            <w:shd w:val="clear" w:color="auto" w:fill="auto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85" w:type="dxa"/>
            <w:shd w:val="clear" w:color="auto" w:fill="auto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72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90" w:hRule="atLeast"/>
        </w:trPr>
        <w:tc>
          <w:tcPr>
            <w:tcW w:w="2729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Female</w:t>
            </w:r>
          </w:p>
        </w:tc>
        <w:tc>
          <w:tcPr>
            <w:tcW w:w="2882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</w:tc>
        <w:tc>
          <w:tcPr>
            <w:tcW w:w="2885" w:type="dxa"/>
            <w:shd w:val="clear" w:color="auto" w:fill="auto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72" w:type="dxa"/>
            <w:shd w:val="clear" w:color="auto" w:fill="auto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  <w:shd w:val="clear" w:color="auto" w:fill="auto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97" w:hRule="atLeast"/>
        </w:trPr>
        <w:tc>
          <w:tcPr>
            <w:tcW w:w="2729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28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1.475 (1.100, 1.978)</w:t>
            </w:r>
          </w:p>
        </w:tc>
        <w:tc>
          <w:tcPr>
            <w:tcW w:w="28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0.009</w:t>
            </w:r>
          </w:p>
        </w:tc>
        <w:tc>
          <w:tcPr>
            <w:tcW w:w="2372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1.339 (0.939, 1.909)</w:t>
            </w:r>
          </w:p>
        </w:tc>
        <w:tc>
          <w:tcPr>
            <w:tcW w:w="241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0.107</w:t>
            </w:r>
          </w:p>
        </w:tc>
      </w:tr>
      <w:tr>
        <w:trPr>
          <w:trHeight w:val="97" w:hRule="atLeast"/>
        </w:trPr>
        <w:tc>
          <w:tcPr>
            <w:tcW w:w="272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PLT, ×10</w:t>
            </w: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vertAlign w:val="superscript"/>
                <w:lang w:bidi="ar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/L</w:t>
            </w:r>
          </w:p>
        </w:tc>
        <w:tc>
          <w:tcPr>
            <w:tcW w:w="28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0.982 (0.979, 0.985)</w:t>
            </w:r>
          </w:p>
        </w:tc>
        <w:tc>
          <w:tcPr>
            <w:tcW w:w="28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23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0.984 (0.981, 0.987)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rPr>
          <w:trHeight w:val="90" w:hRule="atLeast"/>
        </w:trPr>
        <w:tc>
          <w:tcPr>
            <w:tcW w:w="272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ALT, U/L</w:t>
            </w:r>
          </w:p>
        </w:tc>
        <w:tc>
          <w:tcPr>
            <w:tcW w:w="28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1.000 (1.000, 1.001)</w:t>
            </w:r>
          </w:p>
        </w:tc>
        <w:tc>
          <w:tcPr>
            <w:tcW w:w="28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0.300</w:t>
            </w:r>
          </w:p>
        </w:tc>
        <w:tc>
          <w:tcPr>
            <w:tcW w:w="2372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97" w:hRule="atLeast"/>
        </w:trPr>
        <w:tc>
          <w:tcPr>
            <w:tcW w:w="272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AST, U/L</w:t>
            </w:r>
          </w:p>
        </w:tc>
        <w:tc>
          <w:tcPr>
            <w:tcW w:w="28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1.002 (1.001, 1.003)</w:t>
            </w:r>
          </w:p>
        </w:tc>
        <w:tc>
          <w:tcPr>
            <w:tcW w:w="28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0.005</w:t>
            </w:r>
          </w:p>
        </w:tc>
        <w:tc>
          <w:tcPr>
            <w:tcW w:w="23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1.000 (0.998, 1.002)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0.835</w:t>
            </w:r>
          </w:p>
        </w:tc>
      </w:tr>
      <w:tr>
        <w:trPr>
          <w:trHeight w:val="97" w:hRule="atLeast"/>
        </w:trPr>
        <w:tc>
          <w:tcPr>
            <w:tcW w:w="272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GGT, U/L</w:t>
            </w:r>
          </w:p>
        </w:tc>
        <w:tc>
          <w:tcPr>
            <w:tcW w:w="28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1.007 (1.005, 1.008)</w:t>
            </w:r>
          </w:p>
        </w:tc>
        <w:tc>
          <w:tcPr>
            <w:tcW w:w="288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2372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1.006 (1.003, 1.008)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rPr>
          <w:trHeight w:val="90" w:hRule="atLeast"/>
        </w:trPr>
        <w:tc>
          <w:tcPr>
            <w:tcW w:w="272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BMI, kg/m</w:t>
            </w: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vertAlign w:val="superscript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1.024 (0.980, 1.070)</w:t>
            </w:r>
          </w:p>
        </w:tc>
        <w:tc>
          <w:tcPr>
            <w:tcW w:w="28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0.288</w:t>
            </w:r>
          </w:p>
        </w:tc>
        <w:tc>
          <w:tcPr>
            <w:tcW w:w="2372" w:type="dxa"/>
            <w:shd w:val="clear" w:color="auto" w:fill="auto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  <w:shd w:val="clear" w:color="auto" w:fill="auto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90" w:hRule="atLeast"/>
        </w:trPr>
        <w:tc>
          <w:tcPr>
            <w:tcW w:w="272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NAFLD</w:t>
            </w:r>
          </w:p>
        </w:tc>
        <w:tc>
          <w:tcPr>
            <w:tcW w:w="2882" w:type="dxa"/>
            <w:shd w:val="clear" w:color="auto" w:fill="auto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85" w:type="dxa"/>
            <w:shd w:val="clear" w:color="auto" w:fill="auto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72" w:type="dxa"/>
            <w:shd w:val="clear" w:color="auto" w:fill="auto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  <w:shd w:val="clear" w:color="auto" w:fill="auto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90" w:hRule="atLeast"/>
        </w:trPr>
        <w:tc>
          <w:tcPr>
            <w:tcW w:w="272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2882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</w:tc>
        <w:tc>
          <w:tcPr>
            <w:tcW w:w="2885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72" w:type="dxa"/>
            <w:shd w:val="clear" w:color="auto" w:fill="auto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  <w:shd w:val="clear" w:color="auto" w:fill="auto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97" w:hRule="atLeast"/>
        </w:trPr>
        <w:tc>
          <w:tcPr>
            <w:tcW w:w="272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28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0.632 (0.438, 0.911)</w:t>
            </w:r>
          </w:p>
        </w:tc>
        <w:tc>
          <w:tcPr>
            <w:tcW w:w="288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0.014</w:t>
            </w:r>
          </w:p>
        </w:tc>
        <w:tc>
          <w:tcPr>
            <w:tcW w:w="2372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0.776 (0.511, 1.180)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0.236</w:t>
            </w:r>
          </w:p>
        </w:tc>
      </w:tr>
      <w:tr>
        <w:trPr>
          <w:trHeight w:val="90" w:hRule="atLeast"/>
        </w:trPr>
        <w:tc>
          <w:tcPr>
            <w:tcW w:w="272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HBeAg state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72" w:type="dxa"/>
            <w:shd w:val="clear" w:color="auto" w:fill="auto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  <w:shd w:val="clear" w:color="auto" w:fill="auto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90" w:hRule="atLeast"/>
        </w:trPr>
        <w:tc>
          <w:tcPr>
            <w:tcW w:w="272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Negative</w:t>
            </w:r>
          </w:p>
        </w:tc>
        <w:tc>
          <w:tcPr>
            <w:tcW w:w="2882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</w:tc>
        <w:tc>
          <w:tcPr>
            <w:tcW w:w="2885" w:type="dxa"/>
            <w:shd w:val="clear" w:color="auto" w:fill="auto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72" w:type="dxa"/>
            <w:shd w:val="clear" w:color="auto" w:fill="auto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  <w:shd w:val="clear" w:color="auto" w:fill="auto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90" w:hRule="atLeast"/>
        </w:trPr>
        <w:tc>
          <w:tcPr>
            <w:tcW w:w="272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Positive</w:t>
            </w:r>
          </w:p>
        </w:tc>
        <w:tc>
          <w:tcPr>
            <w:tcW w:w="2882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1.177 (0.901, 1.536)</w:t>
            </w:r>
          </w:p>
        </w:tc>
        <w:tc>
          <w:tcPr>
            <w:tcW w:w="288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0.231</w:t>
            </w:r>
          </w:p>
        </w:tc>
        <w:tc>
          <w:tcPr>
            <w:tcW w:w="2372" w:type="dxa"/>
            <w:shd w:val="clear" w:color="auto" w:fill="auto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  <w:shd w:val="clear" w:color="auto" w:fill="auto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90" w:hRule="atLeast"/>
        </w:trPr>
        <w:tc>
          <w:tcPr>
            <w:tcW w:w="272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HBV DNA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, log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kern w:val="0"/>
                <w:sz w:val="24"/>
                <w:vertAlign w:val="subscript"/>
                <w:lang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IU/mL</w:t>
            </w:r>
          </w:p>
        </w:tc>
        <w:tc>
          <w:tcPr>
            <w:tcW w:w="2882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85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72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  <w:shd w:val="clear" w:color="auto" w:fill="auto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90" w:hRule="atLeast"/>
        </w:trPr>
        <w:tc>
          <w:tcPr>
            <w:tcW w:w="2729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&lt;3</w:t>
            </w:r>
          </w:p>
        </w:tc>
        <w:tc>
          <w:tcPr>
            <w:tcW w:w="2882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</w:tc>
        <w:tc>
          <w:tcPr>
            <w:tcW w:w="2885" w:type="dxa"/>
            <w:shd w:val="clear" w:color="auto" w:fill="auto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72" w:type="dxa"/>
            <w:shd w:val="clear" w:color="auto" w:fill="auto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  <w:shd w:val="clear" w:color="auto" w:fill="auto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97" w:hRule="atLeast"/>
        </w:trPr>
        <w:tc>
          <w:tcPr>
            <w:tcW w:w="2729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3-5</w:t>
            </w:r>
          </w:p>
        </w:tc>
        <w:tc>
          <w:tcPr>
            <w:tcW w:w="2882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1.089 (0.728, 1.627)</w:t>
            </w:r>
          </w:p>
        </w:tc>
        <w:tc>
          <w:tcPr>
            <w:tcW w:w="288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0.679</w:t>
            </w:r>
          </w:p>
        </w:tc>
        <w:tc>
          <w:tcPr>
            <w:tcW w:w="2372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1.143 (0.734, 1.780)</w:t>
            </w:r>
          </w:p>
        </w:tc>
        <w:tc>
          <w:tcPr>
            <w:tcW w:w="241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0.555</w:t>
            </w:r>
          </w:p>
        </w:tc>
      </w:tr>
      <w:tr>
        <w:trPr>
          <w:trHeight w:val="97" w:hRule="atLeast"/>
        </w:trPr>
        <w:tc>
          <w:tcPr>
            <w:tcW w:w="2729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5-7</w:t>
            </w:r>
          </w:p>
        </w:tc>
        <w:tc>
          <w:tcPr>
            <w:tcW w:w="28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1.921 (1.288, 2.866)</w:t>
            </w:r>
          </w:p>
        </w:tc>
        <w:tc>
          <w:tcPr>
            <w:tcW w:w="28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  <w:tc>
          <w:tcPr>
            <w:tcW w:w="23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1.448 (0.923, 2.271)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0.107</w:t>
            </w:r>
          </w:p>
        </w:tc>
      </w:tr>
      <w:tr>
        <w:trPr>
          <w:trHeight w:val="98" w:hRule="atLeast"/>
        </w:trPr>
        <w:tc>
          <w:tcPr>
            <w:tcW w:w="2729" w:type="dxa"/>
            <w:tcBorders>
              <w:bottom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882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0.659 (0.417, 1.041)</w:t>
            </w:r>
          </w:p>
        </w:tc>
        <w:tc>
          <w:tcPr>
            <w:tcW w:w="2885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0.074</w:t>
            </w:r>
          </w:p>
        </w:tc>
        <w:tc>
          <w:tcPr>
            <w:tcW w:w="2372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0.729 (0.428, 1.242)</w:t>
            </w:r>
          </w:p>
        </w:tc>
        <w:tc>
          <w:tcPr>
            <w:tcW w:w="2410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0.245</w:t>
            </w:r>
          </w:p>
        </w:tc>
      </w:tr>
    </w:tbl>
    <w:p>
      <w:pPr>
        <w:snapToGrid w:val="0"/>
        <w:spacing w:after="160" w:line="480" w:lineRule="auto"/>
        <w:rPr>
          <w:rFonts w:ascii="Times New Roman" w:hAnsi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ALT: alanine aminotransferase; AST: Aspartate aminotransferase; BMI: body mass index; CI: confidence interval; GGT: gamma-glutamyl transpeptidase; </w:t>
      </w:r>
      <w:r>
        <w:rPr>
          <w:rFonts w:ascii="Times New Roman" w:hAnsi="Times New Roman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 xml:space="preserve">HBeAg: </w:t>
      </w:r>
      <w:r>
        <w:rPr>
          <w:rFonts w:ascii="Times New Roman" w:hAnsi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hepatitis B virus surface antigen; HBV: hepatitis B virus; NAFLD: nonalcoholic fatty liver disease; OR: </w:t>
      </w:r>
      <w:r>
        <w:rPr>
          <w:rFonts w:hint="eastAsia" w:ascii="Times New Roman" w:hAnsi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o</w:t>
      </w:r>
      <w:r>
        <w:rPr>
          <w:rFonts w:ascii="Times New Roman" w:hAnsi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dds ratio; PLT: platelet.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Times New Roman Regular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Times New Roman Italic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4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FFDD8516"/>
    <w:rsid w:val="00201FDF"/>
    <w:rsid w:val="003D6921"/>
    <w:rsid w:val="004936D2"/>
    <w:rsid w:val="00901401"/>
    <w:rsid w:val="00935337"/>
    <w:rsid w:val="00BF20CB"/>
    <w:rsid w:val="00C60AC8"/>
    <w:rsid w:val="00D90C4A"/>
    <w:rsid w:val="00DD2630"/>
    <w:rsid w:val="1EFF7CD7"/>
    <w:rsid w:val="3FF373FE"/>
    <w:rsid w:val="67F73792"/>
    <w:rsid w:val="CD7ECE38"/>
    <w:rsid w:val="EDD77367"/>
    <w:rsid w:val="F376B1EE"/>
    <w:rsid w:val="FF5FE99B"/>
    <w:rsid w:val="FFDD8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8"/>
    <w:qFormat/>
    <w:uiPriority w:val="0"/>
    <w:pPr>
      <w:jc w:val="left"/>
    </w:pPr>
  </w:style>
  <w:style w:type="paragraph" w:styleId="3">
    <w:name w:val="annotation subject"/>
    <w:basedOn w:val="2"/>
    <w:next w:val="2"/>
    <w:link w:val="9"/>
    <w:qFormat/>
    <w:uiPriority w:val="0"/>
    <w:rPr>
      <w:b/>
      <w:bCs/>
    </w:rPr>
  </w:style>
  <w:style w:type="character" w:styleId="6">
    <w:name w:val="annotation reference"/>
    <w:basedOn w:val="5"/>
    <w:uiPriority w:val="0"/>
    <w:rPr>
      <w:sz w:val="21"/>
      <w:szCs w:val="21"/>
    </w:rPr>
  </w:style>
  <w:style w:type="paragraph" w:customStyle="1" w:styleId="7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8">
    <w:name w:val="批注文字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9">
    <w:name w:val="批注主题 字符"/>
    <w:basedOn w:val="8"/>
    <w:link w:val="3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948</Words>
  <Characters>5410</Characters>
  <Lines>45</Lines>
  <Paragraphs>12</Paragraphs>
  <TotalTime>0</TotalTime>
  <ScaleCrop>false</ScaleCrop>
  <LinksUpToDate>false</LinksUpToDate>
  <CharactersWithSpaces>6346</CharactersWithSpaces>
  <Application>WPS Office_4.2.2.6882_F1E327BC-269C-435d-A152-05C5408002CA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2021-07-12T14:40:00Z</dcterms:created>
  <dc:creator>wuliouba</dc:creator>
  <cp:lastModifiedBy>王健</cp:lastModifiedBy>
  <dcterms:modified xsi:type="dcterms:W3CDTF">2022-07-03T23:27:08Z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2052-4.2.2.6882</vt:lpwstr>
  </property>
  <property fmtid="{D5CDD505-2E9C-101B-9397-08002B2CF9AE}" pid="3" name="ICV">
    <vt:lpwstr>3796CC5B2586E0F94CB5C162DF2EEC37</vt:lpwstr>
  </property>
</Properties>
</file>