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47013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  <w:r w:rsidRPr="00B82F33">
        <w:rPr>
          <w:rFonts w:cs="Times New Roman"/>
          <w:b/>
          <w:bCs/>
          <w:color w:val="000000" w:themeColor="text1"/>
          <w:sz w:val="20"/>
          <w:szCs w:val="20"/>
        </w:rPr>
        <w:t xml:space="preserve">Table 1 </w:t>
      </w:r>
      <w:r w:rsidRPr="00B307B2">
        <w:rPr>
          <w:rFonts w:cs="Times New Roman"/>
          <w:color w:val="000000" w:themeColor="text1"/>
          <w:sz w:val="20"/>
          <w:szCs w:val="20"/>
        </w:rPr>
        <w:t>ACCROS-I Study Schema</w:t>
      </w:r>
    </w:p>
    <w:p w14:paraId="0D9C722E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tbl>
      <w:tblPr>
        <w:tblStyle w:val="TableGrid"/>
        <w:tblW w:w="11071" w:type="dxa"/>
        <w:tblInd w:w="-1221" w:type="dxa"/>
        <w:tblLook w:val="04A0" w:firstRow="1" w:lastRow="0" w:firstColumn="1" w:lastColumn="0" w:noHBand="0" w:noVBand="1"/>
      </w:tblPr>
      <w:tblGrid>
        <w:gridCol w:w="1802"/>
        <w:gridCol w:w="791"/>
        <w:gridCol w:w="791"/>
        <w:gridCol w:w="791"/>
        <w:gridCol w:w="791"/>
        <w:gridCol w:w="791"/>
        <w:gridCol w:w="791"/>
        <w:gridCol w:w="791"/>
        <w:gridCol w:w="6"/>
        <w:gridCol w:w="785"/>
        <w:gridCol w:w="6"/>
        <w:gridCol w:w="785"/>
        <w:gridCol w:w="6"/>
        <w:gridCol w:w="787"/>
        <w:gridCol w:w="9"/>
        <w:gridCol w:w="665"/>
        <w:gridCol w:w="9"/>
        <w:gridCol w:w="665"/>
        <w:gridCol w:w="9"/>
      </w:tblGrid>
      <w:tr w:rsidR="00F54CFD" w:rsidRPr="00B82F33" w14:paraId="04E8ABD5" w14:textId="77777777" w:rsidTr="005B5141">
        <w:trPr>
          <w:trHeight w:val="228"/>
        </w:trPr>
        <w:tc>
          <w:tcPr>
            <w:tcW w:w="1802" w:type="dxa"/>
          </w:tcPr>
          <w:p w14:paraId="45D50A0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2F33">
              <w:rPr>
                <w:b/>
                <w:bCs/>
                <w:color w:val="000000" w:themeColor="text1"/>
                <w:sz w:val="20"/>
                <w:szCs w:val="20"/>
              </w:rPr>
              <w:t>Activity</w:t>
            </w:r>
          </w:p>
        </w:tc>
        <w:tc>
          <w:tcPr>
            <w:tcW w:w="7921" w:type="dxa"/>
            <w:gridSpan w:val="14"/>
          </w:tcPr>
          <w:p w14:paraId="18EF8F8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2F33">
              <w:rPr>
                <w:b/>
                <w:bCs/>
                <w:color w:val="000000" w:themeColor="text1"/>
                <w:sz w:val="20"/>
                <w:szCs w:val="20"/>
              </w:rPr>
              <w:t>Treatment</w:t>
            </w:r>
          </w:p>
        </w:tc>
        <w:tc>
          <w:tcPr>
            <w:tcW w:w="1348" w:type="dxa"/>
            <w:gridSpan w:val="4"/>
          </w:tcPr>
          <w:p w14:paraId="3962231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2F33">
              <w:rPr>
                <w:b/>
                <w:bCs/>
                <w:color w:val="000000" w:themeColor="text1"/>
                <w:sz w:val="20"/>
                <w:szCs w:val="20"/>
              </w:rPr>
              <w:t>Follow-up</w:t>
            </w:r>
          </w:p>
        </w:tc>
      </w:tr>
      <w:tr w:rsidR="00F54CFD" w:rsidRPr="00B82F33" w14:paraId="5215E62D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6D14BDA1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Schedule (day)</w:t>
            </w:r>
          </w:p>
        </w:tc>
        <w:tc>
          <w:tcPr>
            <w:tcW w:w="791" w:type="dxa"/>
          </w:tcPr>
          <w:p w14:paraId="4FBBAC9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91" w:type="dxa"/>
          </w:tcPr>
          <w:p w14:paraId="6DDA0F3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91" w:type="dxa"/>
          </w:tcPr>
          <w:p w14:paraId="6186F82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91" w:type="dxa"/>
          </w:tcPr>
          <w:p w14:paraId="11EA4F6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91" w:type="dxa"/>
          </w:tcPr>
          <w:p w14:paraId="64F5D3F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91" w:type="dxa"/>
          </w:tcPr>
          <w:p w14:paraId="45D1ED5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91" w:type="dxa"/>
          </w:tcPr>
          <w:p w14:paraId="218A31E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91" w:type="dxa"/>
            <w:gridSpan w:val="2"/>
          </w:tcPr>
          <w:p w14:paraId="4DA9B0A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91" w:type="dxa"/>
            <w:gridSpan w:val="2"/>
          </w:tcPr>
          <w:p w14:paraId="01EADDE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93" w:type="dxa"/>
            <w:gridSpan w:val="2"/>
          </w:tcPr>
          <w:p w14:paraId="2A5065C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674" w:type="dxa"/>
            <w:gridSpan w:val="2"/>
          </w:tcPr>
          <w:p w14:paraId="695C475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674" w:type="dxa"/>
            <w:gridSpan w:val="2"/>
          </w:tcPr>
          <w:p w14:paraId="142B097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28</w:t>
            </w:r>
          </w:p>
        </w:tc>
      </w:tr>
      <w:tr w:rsidR="00F54CFD" w:rsidRPr="00B82F33" w14:paraId="50EDA912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2D2C3A0B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Study visits</w:t>
            </w:r>
          </w:p>
        </w:tc>
        <w:tc>
          <w:tcPr>
            <w:tcW w:w="791" w:type="dxa"/>
          </w:tcPr>
          <w:p w14:paraId="14BB8ED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91" w:type="dxa"/>
          </w:tcPr>
          <w:p w14:paraId="7A63959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596E804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F3BBCB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1C4B18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1DB15C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CDE702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91" w:type="dxa"/>
            <w:gridSpan w:val="2"/>
          </w:tcPr>
          <w:p w14:paraId="6C82006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5256670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57BA674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74" w:type="dxa"/>
            <w:gridSpan w:val="2"/>
          </w:tcPr>
          <w:p w14:paraId="251A024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74" w:type="dxa"/>
            <w:gridSpan w:val="2"/>
          </w:tcPr>
          <w:p w14:paraId="71D69A6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F54CFD" w:rsidRPr="00B82F33" w14:paraId="3755A5B7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487C00F7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Contact Study Center</w:t>
            </w:r>
          </w:p>
        </w:tc>
        <w:tc>
          <w:tcPr>
            <w:tcW w:w="791" w:type="dxa"/>
          </w:tcPr>
          <w:p w14:paraId="583DCD0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55EEB84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220E4A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2F162A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162045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84D8AD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1D4805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104D5F2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0348BBA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1853D70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636BF2F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3F54E80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6E20ED29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6BC32329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Randomization</w:t>
            </w:r>
          </w:p>
        </w:tc>
        <w:tc>
          <w:tcPr>
            <w:tcW w:w="791" w:type="dxa"/>
          </w:tcPr>
          <w:p w14:paraId="3828D94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122341B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D9DF98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07A924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594A665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645DCF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139FD9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78C357B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7909B01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03B6739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097D827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2F01AB9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147B59B4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00374345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Informed Consent</w:t>
            </w:r>
          </w:p>
        </w:tc>
        <w:tc>
          <w:tcPr>
            <w:tcW w:w="791" w:type="dxa"/>
          </w:tcPr>
          <w:p w14:paraId="631C6DD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54AE4DF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DF1A67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A8C03B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87841B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87D5A5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BFFFED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16E1722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61E4098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044F041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665DDEF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3A3EC0E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2FE3F323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5B2D0490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Inclusion &amp; Exclusion Criteria</w:t>
            </w:r>
          </w:p>
        </w:tc>
        <w:tc>
          <w:tcPr>
            <w:tcW w:w="791" w:type="dxa"/>
          </w:tcPr>
          <w:p w14:paraId="6914EEA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6314CE3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038FC3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531703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4AB202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53FD9C7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36927D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342A91C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6026CF3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4BE74D1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038621D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4BCDC3F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3AA5CD62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56F34AB9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Demographic Data</w:t>
            </w:r>
          </w:p>
        </w:tc>
        <w:tc>
          <w:tcPr>
            <w:tcW w:w="791" w:type="dxa"/>
          </w:tcPr>
          <w:p w14:paraId="4E86803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18F16BC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0BFF10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5E8D930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84F0B7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B781DA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A15D9A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534B6A3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0F362FE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2CD755D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5C047B5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32FD4DF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32171A46" w14:textId="77777777" w:rsidTr="005B5141">
        <w:trPr>
          <w:gridAfter w:val="1"/>
          <w:wAfter w:w="9" w:type="dxa"/>
          <w:trHeight w:val="456"/>
        </w:trPr>
        <w:tc>
          <w:tcPr>
            <w:tcW w:w="1802" w:type="dxa"/>
          </w:tcPr>
          <w:p w14:paraId="05C506B7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Temperature Measurement</w:t>
            </w:r>
          </w:p>
        </w:tc>
        <w:tc>
          <w:tcPr>
            <w:tcW w:w="791" w:type="dxa"/>
          </w:tcPr>
          <w:p w14:paraId="729F535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654D785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80F6B8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29C77B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7A9ED1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CF87E7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4196F0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4EC555C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0378A54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4668B96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3A9CA75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26CD6E8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65BF7B4D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3B57BD5B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Urine Pregnancy test</w:t>
            </w:r>
          </w:p>
        </w:tc>
        <w:tc>
          <w:tcPr>
            <w:tcW w:w="791" w:type="dxa"/>
          </w:tcPr>
          <w:p w14:paraId="3008224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4318C06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79B41B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A349F5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FD267C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5E3676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003944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045CD6F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78AF93C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02C50F2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5CE3780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1D80801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75887FED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7DEA1D99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Pulse Oximetry</w:t>
            </w:r>
          </w:p>
        </w:tc>
        <w:tc>
          <w:tcPr>
            <w:tcW w:w="791" w:type="dxa"/>
          </w:tcPr>
          <w:p w14:paraId="197E749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234C729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6D4F69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7305536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E5E628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75F5A38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B8FB33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02DADC9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214D225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272C024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5E60735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35360C7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7D5ABF86" w14:textId="77777777" w:rsidTr="005B5141">
        <w:trPr>
          <w:gridAfter w:val="1"/>
          <w:wAfter w:w="9" w:type="dxa"/>
          <w:trHeight w:val="699"/>
        </w:trPr>
        <w:tc>
          <w:tcPr>
            <w:tcW w:w="1802" w:type="dxa"/>
          </w:tcPr>
          <w:p w14:paraId="10A0935F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Sampling nasopharyngeal swabs</w:t>
            </w:r>
          </w:p>
        </w:tc>
        <w:tc>
          <w:tcPr>
            <w:tcW w:w="791" w:type="dxa"/>
          </w:tcPr>
          <w:p w14:paraId="7B42691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3DC79A4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D76BC0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F19679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CA8B58C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F49889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309BC5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678ADAA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54F20C7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64D5BB2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7679934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3114931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6B70A3F1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1D727B68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  <w:vertAlign w:val="superscript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Quantitative PCR measurement</w:t>
            </w:r>
            <w:r w:rsidRPr="00B82F33">
              <w:rPr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91" w:type="dxa"/>
          </w:tcPr>
          <w:p w14:paraId="4BF504D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11C7B7E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35E7B05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46446F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602E09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76E2A6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85D00A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22EE63E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2E7B63F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4EB6ECC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5AA62CF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3416D83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261D9D73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5B4E5414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  <w:vertAlign w:val="superscript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Laboratory Test</w:t>
            </w:r>
            <w:r w:rsidRPr="00B82F33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1" w:type="dxa"/>
          </w:tcPr>
          <w:p w14:paraId="66FC631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7B729C2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6DCAD5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0AF2356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8F85C3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3AF62D4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133D65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0CB2570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30C2048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1E33BBF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41BE597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3E7B955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</w:tr>
      <w:tr w:rsidR="00F54CFD" w:rsidRPr="00B82F33" w14:paraId="6A7F4FE5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592E1300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  <w:vertAlign w:val="superscript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Assessment of Subject Status</w:t>
            </w:r>
            <w:r w:rsidRPr="00B82F33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91" w:type="dxa"/>
          </w:tcPr>
          <w:p w14:paraId="579BD91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10E51FE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4104B542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6CAA797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6303D2C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24BA0DD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10B09F2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62D69D0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5E529A5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21F7C70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399C60E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3F3EE26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</w:tr>
      <w:tr w:rsidR="00F54CFD" w:rsidRPr="00B82F33" w14:paraId="1E9A9116" w14:textId="77777777" w:rsidTr="005B5141">
        <w:trPr>
          <w:gridAfter w:val="1"/>
          <w:wAfter w:w="9" w:type="dxa"/>
          <w:trHeight w:val="228"/>
        </w:trPr>
        <w:tc>
          <w:tcPr>
            <w:tcW w:w="1802" w:type="dxa"/>
          </w:tcPr>
          <w:p w14:paraId="3128E7EC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Safety assessment</w:t>
            </w:r>
          </w:p>
        </w:tc>
        <w:tc>
          <w:tcPr>
            <w:tcW w:w="791" w:type="dxa"/>
          </w:tcPr>
          <w:p w14:paraId="09561983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471D62B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4D612C85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23F5D7F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2969E21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5E124B6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7EE405E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0CC3A4C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4894ED69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1464B8CD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77125A4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161E2C6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</w:tr>
      <w:tr w:rsidR="00F54CFD" w:rsidRPr="00B82F33" w14:paraId="38AE6E56" w14:textId="77777777" w:rsidTr="005B5141">
        <w:trPr>
          <w:trHeight w:val="699"/>
        </w:trPr>
        <w:tc>
          <w:tcPr>
            <w:tcW w:w="1802" w:type="dxa"/>
          </w:tcPr>
          <w:p w14:paraId="2ABCC3C6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  <w:vertAlign w:val="superscript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Documentation of symptoms (Subject)</w:t>
            </w:r>
            <w:r w:rsidRPr="00B82F33">
              <w:rPr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543" w:type="dxa"/>
            <w:gridSpan w:val="8"/>
          </w:tcPr>
          <w:p w14:paraId="26AF410C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45E469" wp14:editId="04584E30">
                      <wp:simplePos x="0" y="0"/>
                      <wp:positionH relativeFrom="margin">
                        <wp:posOffset>93160</wp:posOffset>
                      </wp:positionH>
                      <wp:positionV relativeFrom="paragraph">
                        <wp:posOffset>197485</wp:posOffset>
                      </wp:positionV>
                      <wp:extent cx="3200400" cy="91440"/>
                      <wp:effectExtent l="12700" t="38100" r="25400" b="35560"/>
                      <wp:wrapNone/>
                      <wp:docPr id="10" name="Right Arrow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200400" cy="9144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E77E3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0" o:spid="_x0000_s1026" type="#_x0000_t13" style="position:absolute;margin-left:7.35pt;margin-top:15.55pt;width:252pt;height:7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HlyfgIAAE8FAAAOAAAAZHJzL2Uyb0RvYy54bWysVEtv2zAMvg/YfxB0X+xk6R5GnSJI0WFA&#10;0BZth55VWYqNyqJGKXGyXz9KdtzHusswHwRTJD+SH0mdnu1bw3YKfQO25NNJzpmyEqrGbkr+4+7i&#10;wxfOfBC2EgasKvlBeX62eP/utHOFmkENplLICMT6onMlr0NwRZZ5WatW+Ak4ZUmpAVsRSMRNVqHo&#10;CL012SzPP2UdYOUQpPKebs97JV8kfK2VDFdaexWYKTnlFtKJ6XyIZ7Y4FcUGhasbOaQh/iGLVjSW&#10;go5Q5yIItsXmD6i2kQgedJhIaDPQupEq1UDVTPNX1dzWwqlUC5Hj3UiT/3+w8nJ3jaypqHdEjxUt&#10;9eim2dSBLRGhY3RLFHXOF2R5664xFundGuSjJ0X2QhMFP9jsNbbRlkpk+8T3YeRb7QOTdPmROjjP&#10;Ka4k3dfpfJ6CZaI4Ojv04ZuClsWfkmNMLOWVuBa7tQ8xCVEcDYeM+iRSOuFgVMzD2BulqVAKO0ve&#10;acTUyiDbCRqO6nHaX9eiUv3VSU5fLJ8CjNZJSmARVTfGjLgDQBzdl7g9xGAb3VSazNEx/1tCveNo&#10;nSKCDaNj21jAt5xNmA6J697+SExPR2TmAaoDtR6h3wnv5EVDLK+FD9cCaQmoL7TY4YoObaArOQx/&#10;nNWAv966j/Y0m6TlrKOlKrn/uRWoODPfLU1t32MWkjA/+TyjGPhc8/BcY7ftCqg1U3pCnEy/0T6Y&#10;469GaO9p/5cxKqmElRS75DLgUViFftnpBZFquUxmtHlOhLW9dTKCR1bj/Nzt7wW6YdQCzeglHBdQ&#10;FK9mrbeNnhaW2wC6SYP4xOvAN21tGpjhhYnPwnM5WT29g4vfAAAA//8DAFBLAwQUAAYACAAAACEA&#10;+3oXyN8AAAAIAQAADwAAAGRycy9kb3ducmV2LnhtbEyPUUvDQBCE34X+h2MLvoi9pCYa0lyKCIKg&#10;aFr9AdvcNYnN7YXctU3/veuTPs7OMPtNsZ5sL05m9J0jBfEiAmGodrqjRsHX5/NtBsIHJI29I6Pg&#10;Yjysy9lVgbl2Z9qY0zY0gkvI56igDWHIpfR1ayz6hRsMsbd3o8XAcmykHvHM5baXyyi6lxY74g8t&#10;DuapNfVhe7QKqm+sqtfhLVvay0fQyeH9ZYM3Sl3Pp8cViGCm8BeGX3xGh5KZdu5I2ouedfLASQV3&#10;cQyC/TTO+LBTkKQpyLKQ/weUPwAAAP//AwBQSwECLQAUAAYACAAAACEAtoM4kv4AAADhAQAAEwAA&#10;AAAAAAAAAAAAAAAAAAAAW0NvbnRlbnRfVHlwZXNdLnhtbFBLAQItABQABgAIAAAAIQA4/SH/1gAA&#10;AJQBAAALAAAAAAAAAAAAAAAAAC8BAABfcmVscy8ucmVsc1BLAQItABQABgAIAAAAIQC4kHlyfgIA&#10;AE8FAAAOAAAAAAAAAAAAAAAAAC4CAABkcnMvZTJvRG9jLnhtbFBLAQItABQABgAIAAAAIQD7ehfI&#10;3wAAAAgBAAAPAAAAAAAAAAAAAAAAANgEAABkcnMvZG93bnJldi54bWxQSwUGAAAAAAQABADzAAAA&#10;5AUAAAAA&#10;" adj="21291" fillcolor="black [3200]" strokecolor="black [1600]" strokeweight="1pt">
                      <v:path arrowok="t"/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791" w:type="dxa"/>
            <w:gridSpan w:val="2"/>
          </w:tcPr>
          <w:p w14:paraId="2C5F3317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5B37C901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6" w:type="dxa"/>
            <w:gridSpan w:val="2"/>
          </w:tcPr>
          <w:p w14:paraId="0627086E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227B0801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64EED000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</w:tr>
      <w:tr w:rsidR="00F54CFD" w:rsidRPr="00B82F33" w14:paraId="6F60B25D" w14:textId="77777777" w:rsidTr="005B5141">
        <w:trPr>
          <w:trHeight w:val="456"/>
        </w:trPr>
        <w:tc>
          <w:tcPr>
            <w:tcW w:w="1802" w:type="dxa"/>
          </w:tcPr>
          <w:p w14:paraId="16CBA705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Study Drug Administration</w:t>
            </w:r>
          </w:p>
        </w:tc>
        <w:tc>
          <w:tcPr>
            <w:tcW w:w="7921" w:type="dxa"/>
            <w:gridSpan w:val="14"/>
          </w:tcPr>
          <w:p w14:paraId="1DD33320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BC4A33" wp14:editId="34775A4C">
                      <wp:simplePos x="0" y="0"/>
                      <wp:positionH relativeFrom="column">
                        <wp:posOffset>89985</wp:posOffset>
                      </wp:positionH>
                      <wp:positionV relativeFrom="paragraph">
                        <wp:posOffset>90170</wp:posOffset>
                      </wp:positionV>
                      <wp:extent cx="4663440" cy="91440"/>
                      <wp:effectExtent l="12700" t="38100" r="22860" b="35560"/>
                      <wp:wrapNone/>
                      <wp:docPr id="11" name="Right Arrow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663440" cy="9144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A6EF6" id="Right Arrow 11" o:spid="_x0000_s1026" type="#_x0000_t13" style="position:absolute;margin-left:7.1pt;margin-top:7.1pt;width:367.2pt;height:7.2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QVaeAIAAEAFAAAOAAAAZHJzL2Uyb0RvYy54bWysVE1PGzEQvVfqf7B8L5ukgbYRGxSBqCoh&#10;QEDL2XjtrFWvxx072dBf37G9WSill6p7WI09M2++3vj4ZNdZtlUYDLiaTw8mnCknoTFuXfOvd+fv&#10;PnIWonCNsOBUzR9V4CfLt2+Oe79QM2jBNgoZgbiw6H3N2xj9oqqCbFUnwgF45UipATsR6YjrqkHR&#10;E3pnq9lkclT1gI1HkCoEuj0rSr7M+ForGa+0DioyW3PKLeY/5v9D+lfLY7FYo/CtkUMa4h+y6IRx&#10;FHSEOhNRsA2aP6A6IxEC6HggoatAayNVroGqmU5eVHPbCq9yLdSc4Mc2hf8HKy+318hMQ7ObcuZE&#10;RzO6Mes2shUi9IxuqUW9DwuyvPXXOJwCianencaOaWv8N0LIHaCa2C43+HFssNpFJulyfnT0fj6n&#10;OUjSfZomkfCqApPgPIb4WUHHklBzTJnkRDK02F6EWBz2huSdkivpZCk+WpWgrLtRmiqjsLPsnTml&#10;Ti2yrSA2NN9LvqEVjSpXhxP6hoxG65xfBkuo2lg74g4Aiau/45YcB9vkpjIVR8fJ3xIqjqN1jggu&#10;jo6dcYCvOduYB0Wt1MV+35jSjtSZB2geadYIZQmCl+eGunwhQrwWSKynudAmxyv6aQt9zWGQOGsB&#10;f752n+yJjKTlrKctqnn4sRGoOLNfHNG0zJjFfJgffphRDHyueXiucZvuFGg0xETKLovJPtq9qBG6&#10;e1r4VYpKKuEkxa65jLg/nMay3fRkSLVaZTNaNS/ihbv1cs/SxJ+73b1AP1AtEkcvYb9xYvGCa8U2&#10;zcPBahNBm0zEp74O/aY1zYQZnpT0Djw/Z6unh2/5CwAA//8DAFBLAwQUAAYACAAAACEAnGFyq90A&#10;AAAIAQAADwAAAGRycy9kb3ducmV2LnhtbEyPUUvDQBCE3wX/w7GCL2IvPUstMZcSCqJQFK39Adfc&#10;NgnN7aW5axv/fbdQ0KdhmGH222w+uFYcsQ+NJw3jUQICqfS2oUrD+uf1cQYiREPWtJ5Qwy8GmOe3&#10;N5lJrT/RNx5XsRI8QiE1GuoYu1TKUNboTBj5Domzre+diWz7StrenHjctVIlyVQ60xBfqE2HixrL&#10;3ergNDztP7qtSsr3N1wvvx4+h2KxU4XW93dD8QIi4hD/ynDBZ3TImWnjD2SDaNlPFDevyvnzZDYF&#10;sdGgWGWeyf8P5GcAAAD//wMAUEsBAi0AFAAGAAgAAAAhALaDOJL+AAAA4QEAABMAAAAAAAAAAAAA&#10;AAAAAAAAAFtDb250ZW50X1R5cGVzXS54bWxQSwECLQAUAAYACAAAACEAOP0h/9YAAACUAQAACwAA&#10;AAAAAAAAAAAAAAAvAQAAX3JlbHMvLnJlbHNQSwECLQAUAAYACAAAACEAv/kFWngCAABABQAADgAA&#10;AAAAAAAAAAAAAAAuAgAAZHJzL2Uyb0RvYy54bWxQSwECLQAUAAYACAAAACEAnGFyq90AAAAIAQAA&#10;DwAAAAAAAAAAAAAAAADSBAAAZHJzL2Rvd25yZXYueG1sUEsFBgAAAAAEAAQA8wAAANwFAAAAAA==&#10;" adj="21388" fillcolor="black [3200]" strokecolor="black [1600]" strokeweight="1pt"/>
                  </w:pict>
                </mc:Fallback>
              </mc:AlternateContent>
            </w:r>
          </w:p>
        </w:tc>
        <w:tc>
          <w:tcPr>
            <w:tcW w:w="1348" w:type="dxa"/>
            <w:gridSpan w:val="4"/>
            <w:shd w:val="clear" w:color="auto" w:fill="000000" w:themeFill="text1"/>
          </w:tcPr>
          <w:p w14:paraId="4A5D10F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5E3B256A" w14:textId="77777777" w:rsidTr="005B5141">
        <w:trPr>
          <w:gridAfter w:val="1"/>
          <w:wAfter w:w="9" w:type="dxa"/>
          <w:trHeight w:val="470"/>
        </w:trPr>
        <w:tc>
          <w:tcPr>
            <w:tcW w:w="1802" w:type="dxa"/>
          </w:tcPr>
          <w:p w14:paraId="6BA7836F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Review Subject Compliance</w:t>
            </w:r>
          </w:p>
        </w:tc>
        <w:tc>
          <w:tcPr>
            <w:tcW w:w="791" w:type="dxa"/>
          </w:tcPr>
          <w:p w14:paraId="146A17A9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51A7C3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241D4C2A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12FFA17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73E2A45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58C710A4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7D65398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</w:tcPr>
          <w:p w14:paraId="2451DD44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73A23485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30C5C2B6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2DCB8547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73C4C15E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F54CFD" w:rsidRPr="00B82F33" w14:paraId="1107675E" w14:textId="77777777" w:rsidTr="005B5141">
        <w:trPr>
          <w:gridAfter w:val="1"/>
          <w:wAfter w:w="9" w:type="dxa"/>
          <w:trHeight w:val="271"/>
        </w:trPr>
        <w:tc>
          <w:tcPr>
            <w:tcW w:w="1802" w:type="dxa"/>
          </w:tcPr>
          <w:p w14:paraId="1E172D80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Final Assessment</w:t>
            </w:r>
          </w:p>
        </w:tc>
        <w:tc>
          <w:tcPr>
            <w:tcW w:w="791" w:type="dxa"/>
          </w:tcPr>
          <w:p w14:paraId="7A3940BE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0175B08A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1B0246D2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4163B1F8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8AF479B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675AD2A2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</w:tcPr>
          <w:p w14:paraId="224F7C13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5E57BBF8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14:paraId="66D2F57A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gridSpan w:val="2"/>
          </w:tcPr>
          <w:p w14:paraId="46204819" w14:textId="77777777" w:rsidR="00F54CFD" w:rsidRPr="00B82F33" w:rsidRDefault="00F54CFD" w:rsidP="005B5141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74" w:type="dxa"/>
            <w:gridSpan w:val="2"/>
          </w:tcPr>
          <w:p w14:paraId="5F7ACDCF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74" w:type="dxa"/>
            <w:gridSpan w:val="2"/>
          </w:tcPr>
          <w:p w14:paraId="0536592B" w14:textId="77777777" w:rsidR="00F54CFD" w:rsidRPr="00B82F33" w:rsidRDefault="00F54CFD" w:rsidP="005B51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B82F33">
              <w:rPr>
                <w:color w:val="000000" w:themeColor="text1"/>
                <w:sz w:val="20"/>
                <w:szCs w:val="20"/>
              </w:rPr>
              <w:t>x</w:t>
            </w:r>
          </w:p>
        </w:tc>
      </w:tr>
    </w:tbl>
    <w:p w14:paraId="64154315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1EBB76D7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18CAD366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381CB9DC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4113038A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117B9E13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4E6C09AE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21BC3CB1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4D711C08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074D2E8F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36FFDAA6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1073DCB6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47E6F3C1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02221174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7004368D" w14:textId="77777777" w:rsidR="00F54CFD" w:rsidRPr="00B307B2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00B82F33">
        <w:rPr>
          <w:rFonts w:cs="Times New Roman"/>
          <w:b/>
          <w:bCs/>
          <w:color w:val="000000" w:themeColor="text1"/>
          <w:sz w:val="20"/>
          <w:szCs w:val="20"/>
        </w:rPr>
        <w:t>Table 2</w:t>
      </w:r>
      <w:r w:rsidRPr="00B307B2">
        <w:rPr>
          <w:rFonts w:cs="Times New Roman"/>
          <w:color w:val="000000" w:themeColor="text1"/>
          <w:sz w:val="20"/>
          <w:szCs w:val="20"/>
        </w:rPr>
        <w:t xml:space="preserve"> Subject’s Characteristics ACCROS-I</w:t>
      </w:r>
    </w:p>
    <w:p w14:paraId="6CADADE4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B82F33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1CFF24B" wp14:editId="018F1B8A">
            <wp:extent cx="5943600" cy="3580765"/>
            <wp:effectExtent l="0" t="0" r="0" b="635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4FF89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AFC006A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0A8AD96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2182D7A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495A74B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C3FB965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3B826AA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AB032D4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49ADE83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45705DB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9887A3A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3C5CA7A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82F3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3 </w:t>
      </w:r>
      <w:r w:rsidRPr="00B82F33">
        <w:rPr>
          <w:rFonts w:ascii="Times New Roman" w:hAnsi="Times New Roman" w:cs="Times New Roman"/>
          <w:color w:val="000000" w:themeColor="text1"/>
          <w:sz w:val="20"/>
          <w:szCs w:val="20"/>
        </w:rPr>
        <w:t>COVID-19 associated symptoms as reported by patients on day1 and after 7 days of the treatment</w:t>
      </w:r>
      <w:r w:rsidRPr="00B82F33">
        <w:rPr>
          <w:rFonts w:cs="Times New Roman"/>
          <w:noProof/>
          <w:color w:val="000000" w:themeColor="text1"/>
          <w:sz w:val="20"/>
          <w:szCs w:val="20"/>
        </w:rPr>
        <w:drawing>
          <wp:inline distT="0" distB="0" distL="0" distR="0" wp14:anchorId="6A202D02" wp14:editId="6F6BA88D">
            <wp:extent cx="5943600" cy="2589530"/>
            <wp:effectExtent l="0" t="0" r="0" b="127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82F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65F58821" w14:textId="77777777" w:rsidR="00F54CFD" w:rsidRPr="00B82F33" w:rsidRDefault="00F54CFD" w:rsidP="00F54CFD">
      <w:pPr>
        <w:pStyle w:val="PNormal"/>
        <w:pBdr>
          <w:top w:val="single" w:sz="4" w:space="1" w:color="auto"/>
        </w:pBdr>
        <w:spacing w:after="0" w:line="276" w:lineRule="auto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00B82F33">
        <w:rPr>
          <w:rFonts w:cs="Times New Roman"/>
          <w:color w:val="000000" w:themeColor="text1"/>
          <w:sz w:val="20"/>
          <w:szCs w:val="20"/>
        </w:rPr>
        <w:lastRenderedPageBreak/>
        <w:t>CPM: Chlopheniramine Maleate; Placebo: PLB.</w:t>
      </w:r>
    </w:p>
    <w:p w14:paraId="177443B7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62568245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2BD07326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76DE49B9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48BF4501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6CC70882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2A9E5891" w14:textId="77777777" w:rsidR="00F54CFD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17B8778A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</w:p>
    <w:p w14:paraId="1ACE99D7" w14:textId="77777777" w:rsidR="00F54CFD" w:rsidRPr="00B307B2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00B82F33">
        <w:rPr>
          <w:rFonts w:cs="Times New Roman"/>
          <w:b/>
          <w:bCs/>
          <w:color w:val="000000" w:themeColor="text1"/>
          <w:sz w:val="20"/>
          <w:szCs w:val="20"/>
        </w:rPr>
        <w:t xml:space="preserve">Table 4 </w:t>
      </w:r>
      <w:r w:rsidRPr="00B307B2">
        <w:rPr>
          <w:rFonts w:cs="Times New Roman"/>
          <w:color w:val="000000" w:themeColor="text1"/>
          <w:sz w:val="20"/>
          <w:szCs w:val="20"/>
        </w:rPr>
        <w:t>Subject’s Characteristics ACCROS-II</w:t>
      </w:r>
    </w:p>
    <w:p w14:paraId="02F08322" w14:textId="77777777" w:rsidR="00F54CFD" w:rsidRPr="00B82F33" w:rsidRDefault="00F54CFD" w:rsidP="00F54CFD">
      <w:pPr>
        <w:pStyle w:val="PNormal"/>
        <w:spacing w:after="0" w:line="276" w:lineRule="auto"/>
        <w:contextualSpacing/>
        <w:jc w:val="both"/>
        <w:rPr>
          <w:rFonts w:cs="Times New Roman"/>
          <w:b/>
          <w:bCs/>
          <w:color w:val="000000" w:themeColor="text1"/>
          <w:sz w:val="20"/>
          <w:szCs w:val="20"/>
        </w:rPr>
      </w:pPr>
      <w:r w:rsidRPr="00B82F33">
        <w:rPr>
          <w:rFonts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102E1413" wp14:editId="52C4D147">
            <wp:extent cx="5943600" cy="3268980"/>
            <wp:effectExtent l="0" t="0" r="0" b="0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36167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11C9326" w14:textId="77777777" w:rsidR="00F54CFD" w:rsidRPr="00B82F33" w:rsidRDefault="00F54CFD" w:rsidP="00F54CF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E6884C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FD"/>
    <w:rsid w:val="00755780"/>
    <w:rsid w:val="00F54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B2475"/>
  <w15:chartTrackingRefBased/>
  <w15:docId w15:val="{029A393F-900C-4CB8-9758-D162A2FD3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CF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Alligator 2"/>
    <w:basedOn w:val="TableNormal"/>
    <w:rsid w:val="00F54C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Normal">
    <w:name w:val="P Normal"/>
    <w:link w:val="PNormalChar"/>
    <w:qFormat/>
    <w:rsid w:val="00F54CFD"/>
    <w:pPr>
      <w:keepLines/>
      <w:spacing w:line="269" w:lineRule="auto"/>
    </w:pPr>
    <w:rPr>
      <w:rFonts w:ascii="Times New Roman" w:hAnsi="Times New Roman"/>
      <w:sz w:val="24"/>
    </w:rPr>
  </w:style>
  <w:style w:type="character" w:customStyle="1" w:styleId="PNormalChar">
    <w:name w:val="P Normal Char"/>
    <w:basedOn w:val="DefaultParagraphFont"/>
    <w:link w:val="PNormal"/>
    <w:rsid w:val="00F54CFD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159</Words>
  <Characters>907</Characters>
  <Application>Microsoft Office Word</Application>
  <DocSecurity>0</DocSecurity>
  <Lines>7</Lines>
  <Paragraphs>2</Paragraphs>
  <ScaleCrop>false</ScaleCrop>
  <Company>Springer Nature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2022-10-18T16:48:00Z</dcterms:created>
  <dcterms:modified xsi:type="dcterms:W3CDTF">2022-10-18T16:49:00Z</dcterms:modified>
</cp:coreProperties>
</file>