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F5681" w14:textId="77777777" w:rsidR="00AD7DBF" w:rsidRDefault="00AD7DBF" w:rsidP="00AD7DBF">
      <w:pPr>
        <w:rPr>
          <w:b/>
          <w:bCs/>
          <w:sz w:val="32"/>
          <w:szCs w:val="32"/>
        </w:rPr>
      </w:pPr>
      <w:r>
        <w:rPr>
          <w:b/>
          <w:bCs/>
          <w:sz w:val="32"/>
          <w:szCs w:val="32"/>
        </w:rPr>
        <w:t>Supplementary Material</w:t>
      </w:r>
    </w:p>
    <w:p w14:paraId="1EB64CC9" w14:textId="77777777" w:rsidR="00AD7DBF" w:rsidRDefault="00AD7DBF" w:rsidP="00AD7DBF">
      <w:pPr>
        <w:rPr>
          <w:b/>
          <w:bCs/>
          <w:sz w:val="32"/>
          <w:szCs w:val="32"/>
        </w:rPr>
      </w:pPr>
    </w:p>
    <w:p w14:paraId="52AC7E28" w14:textId="77777777" w:rsidR="00AD7DBF" w:rsidRDefault="00AD7DBF" w:rsidP="00AD7DBF">
      <w:r>
        <w:rPr>
          <w:b/>
          <w:bCs/>
        </w:rPr>
        <w:t xml:space="preserve">Online Resource </w:t>
      </w:r>
      <w:r w:rsidRPr="00C45B2E">
        <w:rPr>
          <w:b/>
          <w:bCs/>
        </w:rPr>
        <w:t>1</w:t>
      </w:r>
      <w:r>
        <w:rPr>
          <w:b/>
          <w:bCs/>
        </w:rPr>
        <w:t xml:space="preserve">. </w:t>
      </w:r>
      <w:r>
        <w:t xml:space="preserve">Table of plant material and parentage used in the phenotyping and GWAS. There are 274 trees used in the phenotyping and 264 trees used in the GWAS. </w:t>
      </w:r>
    </w:p>
    <w:p w14:paraId="3E7094C8" w14:textId="77777777" w:rsidR="00AD7DBF" w:rsidRDefault="00AD7DBF" w:rsidP="00AD7DBF"/>
    <w:p w14:paraId="000884BE" w14:textId="77777777" w:rsidR="00AD7DBF" w:rsidRDefault="00AD7DBF" w:rsidP="00AD7DBF">
      <w:r>
        <w:rPr>
          <w:b/>
          <w:bCs/>
        </w:rPr>
        <w:t xml:space="preserve">Online Resource </w:t>
      </w:r>
      <w:r w:rsidRPr="00C45B2E">
        <w:rPr>
          <w:b/>
          <w:bCs/>
        </w:rPr>
        <w:t>2.</w:t>
      </w:r>
      <w:r>
        <w:t xml:space="preserve"> Cultivar and country of origin of validation set. 218 trees were used as a validation set from USA, Australia, and Spain. </w:t>
      </w:r>
    </w:p>
    <w:p w14:paraId="61D91675" w14:textId="77777777" w:rsidR="00AD7DBF" w:rsidRDefault="00AD7DBF" w:rsidP="00AD7DBF"/>
    <w:p w14:paraId="603F7180" w14:textId="77777777" w:rsidR="00AD7DBF" w:rsidRDefault="00AD7DBF" w:rsidP="00AD7DBF">
      <w:pPr>
        <w:rPr>
          <w:b/>
          <w:bCs/>
        </w:rPr>
      </w:pPr>
      <w:r>
        <w:rPr>
          <w:b/>
          <w:bCs/>
        </w:rPr>
        <w:t xml:space="preserve">Online Resource </w:t>
      </w:r>
      <w:r w:rsidRPr="00C45B2E">
        <w:rPr>
          <w:b/>
          <w:bCs/>
        </w:rPr>
        <w:t xml:space="preserve">3. </w:t>
      </w:r>
      <w:r w:rsidRPr="00C45B2E">
        <w:t>Statistics for each trait</w:t>
      </w:r>
      <w:r>
        <w:t xml:space="preserve"> for 264 trees</w:t>
      </w:r>
      <w:r w:rsidRPr="00C45B2E">
        <w:t xml:space="preserve">. </w:t>
      </w:r>
      <w:r>
        <w:t xml:space="preserve">Range, </w:t>
      </w:r>
      <w:r w:rsidRPr="00C45B2E">
        <w:t>Mean, Median for shell thickness</w:t>
      </w:r>
      <w:r>
        <w:t xml:space="preserve">, </w:t>
      </w:r>
      <w:r w:rsidRPr="00C45B2E">
        <w:t>log maximum force,</w:t>
      </w:r>
      <w:r>
        <w:t xml:space="preserve"> </w:t>
      </w:r>
      <w:r w:rsidRPr="00C45B2E">
        <w:t>log integral,</w:t>
      </w:r>
      <w:r>
        <w:t xml:space="preserve"> </w:t>
      </w:r>
      <w:r w:rsidRPr="00C45B2E">
        <w:t>kernel weight</w:t>
      </w:r>
      <w:r>
        <w:t xml:space="preserve">, crack-out </w:t>
      </w:r>
      <w:proofErr w:type="gramStart"/>
      <w:r>
        <w:t>percent</w:t>
      </w:r>
      <w:proofErr w:type="gramEnd"/>
      <w:r>
        <w:t xml:space="preserve"> and shell weight.</w:t>
      </w:r>
    </w:p>
    <w:p w14:paraId="7CF231A9" w14:textId="77777777" w:rsidR="00AD7DBF" w:rsidRDefault="00AD7DBF" w:rsidP="00AD7DBF">
      <w:r>
        <w:rPr>
          <w:b/>
          <w:bCs/>
        </w:rPr>
        <w:t xml:space="preserve">Online Resource </w:t>
      </w:r>
      <w:r w:rsidRPr="00E3790A">
        <w:rPr>
          <w:b/>
          <w:bCs/>
        </w:rPr>
        <w:t>4.</w:t>
      </w:r>
      <w:r>
        <w:t xml:space="preserve"> Estimated breeding values for each trait in the population. EBV measured on 264 trees for maximum force, integral, log maximum force, log integral, crack-out percent, shell weight and shell thickness. </w:t>
      </w:r>
    </w:p>
    <w:p w14:paraId="72680B64" w14:textId="77777777" w:rsidR="00AD7DBF" w:rsidRDefault="00AD7DBF" w:rsidP="00AD7DBF"/>
    <w:p w14:paraId="1C89E3DB" w14:textId="77777777" w:rsidR="00AD7DBF" w:rsidRDefault="00AD7DBF" w:rsidP="00AD7DBF">
      <w:r>
        <w:rPr>
          <w:b/>
          <w:bCs/>
        </w:rPr>
        <w:t xml:space="preserve">Online Resource </w:t>
      </w:r>
      <w:r w:rsidRPr="00E3790A">
        <w:rPr>
          <w:b/>
          <w:bCs/>
        </w:rPr>
        <w:t>5.</w:t>
      </w:r>
      <w:r>
        <w:t xml:space="preserve"> List of candidate genes in a 200 kb region around significant SNPs: maximum force, shell thickness, crack-out percent. </w:t>
      </w:r>
    </w:p>
    <w:p w14:paraId="70F70B04" w14:textId="77777777" w:rsidR="00AD7DBF" w:rsidRDefault="00AD7DBF" w:rsidP="00AD7DBF"/>
    <w:p w14:paraId="506E9D13" w14:textId="77777777" w:rsidR="00AD7DBF" w:rsidRDefault="00AD7DBF" w:rsidP="00AD7DBF">
      <w:r>
        <w:rPr>
          <w:b/>
          <w:bCs/>
        </w:rPr>
        <w:t xml:space="preserve">Online Resource </w:t>
      </w:r>
      <w:r w:rsidRPr="00E3790A">
        <w:rPr>
          <w:b/>
          <w:bCs/>
        </w:rPr>
        <w:t>6.</w:t>
      </w:r>
      <w:r>
        <w:t xml:space="preserve"> Primer sequences for KASP markers created and tested in this study. </w:t>
      </w:r>
      <w:r w:rsidRPr="00C60AFD">
        <w:t>FAM and HEX primers include tails (underlined) that are complementary to FRET cassettes in the KASP™ Master Mix.</w:t>
      </w:r>
    </w:p>
    <w:p w14:paraId="3E8CCF39" w14:textId="77777777" w:rsidR="00AD7DBF" w:rsidRDefault="00AD7DBF" w:rsidP="00AD7DBF"/>
    <w:p w14:paraId="3AF69812" w14:textId="77777777" w:rsidR="00AD7DBF" w:rsidRDefault="00AD7DBF" w:rsidP="00AD7DBF">
      <w:r>
        <w:rPr>
          <w:b/>
          <w:bCs/>
        </w:rPr>
        <w:t xml:space="preserve">Online Resource </w:t>
      </w:r>
      <w:r w:rsidRPr="00C44E1E">
        <w:rPr>
          <w:b/>
          <w:bCs/>
        </w:rPr>
        <w:t>7.</w:t>
      </w:r>
      <w:r>
        <w:t xml:space="preserve"> Results from KASP genotyping for shell hardness markers. Shell hardness genotype category is displayed along with results from trees that had phenotypic data from this study. Genotypes are displayed for five markers. </w:t>
      </w:r>
    </w:p>
    <w:p w14:paraId="2134C6A1" w14:textId="77777777" w:rsidR="00AD7DBF" w:rsidRDefault="00AD7DBF" w:rsidP="00AD7DBF"/>
    <w:p w14:paraId="00B4CB09" w14:textId="77777777" w:rsidR="00AD7DBF" w:rsidRDefault="00AD7DBF" w:rsidP="00AD7DBF">
      <w:r>
        <w:rPr>
          <w:b/>
          <w:bCs/>
        </w:rPr>
        <w:t>Online Resource 8</w:t>
      </w:r>
      <w:r w:rsidRPr="00E3790A">
        <w:rPr>
          <w:b/>
          <w:bCs/>
        </w:rPr>
        <w:t>.</w:t>
      </w:r>
      <w:r>
        <w:rPr>
          <w:b/>
          <w:bCs/>
        </w:rPr>
        <w:t xml:space="preserve"> </w:t>
      </w:r>
      <w:r w:rsidRPr="00E6283D">
        <w:t>Genotype contingency table for KASP assays.</w:t>
      </w:r>
      <w:r>
        <w:t xml:space="preserve"> Five KASP assays were developed from significant marker-trait associations revealed in GWAS and are displayed in this series of tables. Each marker assay has the total number of trees that belonged to a genotypic class for each phenotypic class. Column and row totals and ratio of hard to total and soft to total were calculated</w:t>
      </w:r>
    </w:p>
    <w:p w14:paraId="32DDC2C1" w14:textId="77777777" w:rsidR="00AD7DBF" w:rsidRDefault="00AD7DBF" w:rsidP="00AD7DBF"/>
    <w:p w14:paraId="00853F95" w14:textId="77777777" w:rsidR="00AD7DBF" w:rsidRPr="00B714F3" w:rsidRDefault="00AD7DBF" w:rsidP="00AD7DBF">
      <w:pPr>
        <w:rPr>
          <w:color w:val="000000" w:themeColor="text1"/>
        </w:rPr>
      </w:pPr>
      <w:r w:rsidRPr="00B714F3">
        <w:rPr>
          <w:b/>
          <w:bCs/>
        </w:rPr>
        <w:t>Online Resource 9</w:t>
      </w:r>
      <w:r>
        <w:t xml:space="preserve">. </w:t>
      </w:r>
      <w:r w:rsidRPr="00B714F3">
        <w:rPr>
          <w:color w:val="000000" w:themeColor="text1"/>
        </w:rPr>
        <w:t xml:space="preserve">KASP plots for five KASP assays. Black dots are for non-template control (NTC)/water, purple for the calls with </w:t>
      </w:r>
      <w:r>
        <w:rPr>
          <w:color w:val="000000" w:themeColor="text1"/>
        </w:rPr>
        <w:t>unknown</w:t>
      </w:r>
      <w:r w:rsidRPr="00B714F3">
        <w:rPr>
          <w:color w:val="000000" w:themeColor="text1"/>
        </w:rPr>
        <w:t xml:space="preserve">, red for homozygous for one allele, green is for heterozygous, blue is for homozygous </w:t>
      </w:r>
      <w:proofErr w:type="gramStart"/>
      <w:r w:rsidRPr="00B714F3">
        <w:rPr>
          <w:color w:val="000000" w:themeColor="text1"/>
        </w:rPr>
        <w:t>other</w:t>
      </w:r>
      <w:proofErr w:type="gramEnd"/>
      <w:r w:rsidRPr="00B714F3">
        <w:rPr>
          <w:color w:val="000000" w:themeColor="text1"/>
        </w:rPr>
        <w:t xml:space="preserve"> allele.</w:t>
      </w:r>
    </w:p>
    <w:p w14:paraId="12E4F177" w14:textId="77777777" w:rsidR="00AD7DBF" w:rsidRPr="00B714F3" w:rsidRDefault="00AD7DBF" w:rsidP="00AD7DBF">
      <w:pPr>
        <w:rPr>
          <w:color w:val="000000" w:themeColor="text1"/>
        </w:rPr>
      </w:pPr>
    </w:p>
    <w:p w14:paraId="74101225" w14:textId="77777777" w:rsidR="00AD7DBF" w:rsidRDefault="00AD7DBF" w:rsidP="00AD7DBF">
      <w:r>
        <w:rPr>
          <w:b/>
          <w:bCs/>
        </w:rPr>
        <w:t>Online Resource 10</w:t>
      </w:r>
      <w:r w:rsidRPr="00E3790A">
        <w:rPr>
          <w:b/>
          <w:bCs/>
        </w:rPr>
        <w:t>.</w:t>
      </w:r>
      <w:r>
        <w:t xml:space="preserve"> </w:t>
      </w:r>
      <w:r w:rsidRPr="00A05CD1">
        <w:t xml:space="preserve">Validation with existing </w:t>
      </w:r>
      <w:r>
        <w:t xml:space="preserve">KASP </w:t>
      </w:r>
      <w:r w:rsidRPr="00A05CD1">
        <w:t>markers</w:t>
      </w:r>
      <w:r>
        <w:t xml:space="preserve"> for shell hardness. Two markers from </w:t>
      </w:r>
      <w:proofErr w:type="spellStart"/>
      <w:r>
        <w:t>Goonetilleke</w:t>
      </w:r>
      <w:proofErr w:type="spellEnd"/>
      <w:r>
        <w:t xml:space="preserve"> et al. (2018) were used to successfully genotype 364 trees in the UC Davis and University of Adelaide almond breeding programs, as well as Spanish, French and Italian almond cultivars.  </w:t>
      </w:r>
    </w:p>
    <w:p w14:paraId="011ED107" w14:textId="77777777" w:rsidR="003F16C7" w:rsidRDefault="003F16C7"/>
    <w:sectPr w:rsidR="003F16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BF"/>
    <w:rsid w:val="003F16C7"/>
    <w:rsid w:val="00AD7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E9B3C"/>
  <w15:chartTrackingRefBased/>
  <w15:docId w15:val="{C4E3F7F9-4B8E-4883-A6B9-64B530C23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DB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2022-10-24T02:12:00Z</dcterms:created>
  <dcterms:modified xsi:type="dcterms:W3CDTF">2022-10-24T02:12:00Z</dcterms:modified>
</cp:coreProperties>
</file>