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970121" w14:textId="77777777" w:rsidR="004D41BE" w:rsidRDefault="004D41BE" w:rsidP="004D41BE">
      <w:pPr>
        <w:spacing w:line="480" w:lineRule="auto"/>
        <w:contextualSpacing/>
        <w:jc w:val="both"/>
        <w:rPr>
          <w:rFonts w:cstheme="minorHAnsi"/>
          <w:b/>
          <w:bCs/>
          <w:color w:val="000000" w:themeColor="text1"/>
          <w:sz w:val="22"/>
          <w:szCs w:val="22"/>
        </w:rPr>
      </w:pPr>
      <w:r w:rsidRPr="00235A61">
        <w:rPr>
          <w:rFonts w:cstheme="minorHAnsi"/>
          <w:b/>
          <w:bCs/>
          <w:color w:val="000000" w:themeColor="text1"/>
          <w:sz w:val="22"/>
          <w:szCs w:val="22"/>
        </w:rPr>
        <w:t>Extended Data</w:t>
      </w:r>
    </w:p>
    <w:p w14:paraId="5F134227" w14:textId="77777777" w:rsidR="004D41BE" w:rsidRDefault="004D41BE" w:rsidP="004D41BE">
      <w:pPr>
        <w:spacing w:line="480" w:lineRule="auto"/>
        <w:contextualSpacing/>
        <w:jc w:val="both"/>
        <w:rPr>
          <w:rFonts w:cstheme="minorHAnsi"/>
          <w:b/>
          <w:bCs/>
          <w:color w:val="000000" w:themeColor="text1"/>
          <w:sz w:val="22"/>
          <w:szCs w:val="22"/>
        </w:rPr>
      </w:pPr>
      <w:r>
        <w:rPr>
          <w:rFonts w:cstheme="minorHAnsi"/>
          <w:b/>
          <w:bCs/>
          <w:noProof/>
          <w:color w:val="000000" w:themeColor="text1"/>
          <w:sz w:val="22"/>
          <w:szCs w:val="22"/>
        </w:rPr>
        <w:drawing>
          <wp:inline distT="0" distB="0" distL="0" distR="0" wp14:anchorId="2CE79BB7" wp14:editId="4C4D8AD4">
            <wp:extent cx="5824582" cy="8523077"/>
            <wp:effectExtent l="0" t="0" r="5080" b="0"/>
            <wp:docPr id="6" name="Picture 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 application&#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53107" cy="8564817"/>
                    </a:xfrm>
                    <a:prstGeom prst="rect">
                      <a:avLst/>
                    </a:prstGeom>
                    <a:noFill/>
                  </pic:spPr>
                </pic:pic>
              </a:graphicData>
            </a:graphic>
          </wp:inline>
        </w:drawing>
      </w:r>
    </w:p>
    <w:p w14:paraId="00DDB30E" w14:textId="77777777" w:rsidR="004D41BE" w:rsidRPr="00B61009" w:rsidRDefault="004D41BE" w:rsidP="004D41BE">
      <w:pPr>
        <w:spacing w:line="480" w:lineRule="auto"/>
        <w:contextualSpacing/>
        <w:jc w:val="both"/>
        <w:rPr>
          <w:rFonts w:cstheme="minorHAnsi"/>
          <w:b/>
          <w:bCs/>
          <w:color w:val="000000" w:themeColor="text1"/>
          <w:sz w:val="22"/>
          <w:szCs w:val="22"/>
        </w:rPr>
      </w:pPr>
      <w:r w:rsidRPr="00340243">
        <w:rPr>
          <w:rFonts w:cstheme="minorHAnsi"/>
          <w:b/>
          <w:color w:val="000000" w:themeColor="text1"/>
          <w:sz w:val="22"/>
          <w:szCs w:val="22"/>
        </w:rPr>
        <w:lastRenderedPageBreak/>
        <w:t>Extended Data</w:t>
      </w:r>
      <w:r w:rsidRPr="00B61009">
        <w:rPr>
          <w:rFonts w:cstheme="minorHAnsi"/>
          <w:b/>
          <w:bCs/>
          <w:color w:val="000000" w:themeColor="text1"/>
          <w:sz w:val="22"/>
          <w:szCs w:val="22"/>
        </w:rPr>
        <w:t xml:space="preserve"> Figure 1. Quality control and analysis of GECKO screen data </w:t>
      </w:r>
    </w:p>
    <w:p w14:paraId="542ACE3E" w14:textId="77777777" w:rsidR="004D41BE" w:rsidRPr="00B61009" w:rsidRDefault="004D41BE" w:rsidP="004D41BE">
      <w:pPr>
        <w:spacing w:line="480" w:lineRule="auto"/>
        <w:contextualSpacing/>
        <w:jc w:val="both"/>
        <w:rPr>
          <w:rFonts w:cstheme="minorHAnsi"/>
          <w:color w:val="000000" w:themeColor="text1"/>
          <w:sz w:val="22"/>
          <w:szCs w:val="22"/>
        </w:rPr>
      </w:pPr>
      <w:r w:rsidRPr="00B61009">
        <w:rPr>
          <w:rFonts w:cstheme="minorHAnsi"/>
          <w:color w:val="000000" w:themeColor="text1"/>
          <w:sz w:val="22"/>
          <w:szCs w:val="22"/>
        </w:rPr>
        <w:t>(A) The distribution of per-read ‘mean base quality’ for each sample (upper plot). All samples from the GeCKO screen overlap with a peak at ~38, which is well beyond the generally acceptable threshold value of 30. (B) The lower plot shows the distribution of the mean GC content of reads per sample. An acceptable mean should be ~40-50% and samples from the same screen should have a similar GC content; the GeCKO samples satisfy those criteria. (C) Pairwise Pearson correlation analysis of all samples from</w:t>
      </w:r>
      <w:r>
        <w:rPr>
          <w:rFonts w:cstheme="minorHAnsi"/>
          <w:color w:val="000000" w:themeColor="text1"/>
          <w:sz w:val="22"/>
          <w:szCs w:val="22"/>
        </w:rPr>
        <w:t xml:space="preserve"> </w:t>
      </w:r>
      <w:r w:rsidRPr="00B61009">
        <w:rPr>
          <w:rFonts w:cstheme="minorHAnsi"/>
          <w:color w:val="000000" w:themeColor="text1"/>
          <w:sz w:val="22"/>
          <w:szCs w:val="22"/>
        </w:rPr>
        <w:t>the GeCKO screen. The analysis was performed based on the log-transformed read counts of sgRNAs in each sample.</w:t>
      </w:r>
      <w:r>
        <w:rPr>
          <w:rFonts w:cstheme="minorHAnsi"/>
          <w:color w:val="000000" w:themeColor="text1"/>
          <w:sz w:val="22"/>
          <w:szCs w:val="22"/>
        </w:rPr>
        <w:t xml:space="preserve"> (D)</w:t>
      </w:r>
      <w:r w:rsidRPr="00501856">
        <w:t xml:space="preserve"> </w:t>
      </w:r>
      <w:r w:rsidRPr="00501856">
        <w:rPr>
          <w:rFonts w:cstheme="minorHAnsi"/>
          <w:color w:val="000000" w:themeColor="text1"/>
          <w:sz w:val="22"/>
          <w:szCs w:val="22"/>
        </w:rPr>
        <w:t xml:space="preserve">Heatmap of </w:t>
      </w:r>
      <w:r>
        <w:rPr>
          <w:rFonts w:cstheme="minorHAnsi"/>
          <w:color w:val="000000" w:themeColor="text1"/>
          <w:sz w:val="22"/>
          <w:szCs w:val="22"/>
        </w:rPr>
        <w:t>protein-coding gene</w:t>
      </w:r>
      <w:r w:rsidRPr="00501856">
        <w:rPr>
          <w:rFonts w:cstheme="minorHAnsi"/>
          <w:color w:val="000000" w:themeColor="text1"/>
          <w:sz w:val="22"/>
          <w:szCs w:val="22"/>
        </w:rPr>
        <w:t xml:space="preserve"> hits identified in both brigatinib and ceritinib screens (at 300 nM and/or 750 nM of each drug)</w:t>
      </w:r>
      <w:r>
        <w:rPr>
          <w:rFonts w:cstheme="minorHAnsi"/>
          <w:color w:val="000000" w:themeColor="text1"/>
          <w:sz w:val="22"/>
          <w:szCs w:val="22"/>
        </w:rPr>
        <w:t xml:space="preserve">. </w:t>
      </w:r>
      <w:r w:rsidRPr="00501856">
        <w:rPr>
          <w:rFonts w:cstheme="minorHAnsi"/>
          <w:color w:val="000000" w:themeColor="text1"/>
          <w:sz w:val="22"/>
          <w:szCs w:val="22"/>
        </w:rPr>
        <w:t>Coloured squares represent the mean values of fold changes (ALKI TKI versus DMSO treated) of the selected sgRNAs, from lower (blue) to higher (yellow) fold changes</w:t>
      </w:r>
      <w:r>
        <w:rPr>
          <w:rFonts w:cstheme="minorHAnsi"/>
          <w:color w:val="000000" w:themeColor="text1"/>
          <w:sz w:val="22"/>
          <w:szCs w:val="22"/>
        </w:rPr>
        <w:t>.</w:t>
      </w:r>
    </w:p>
    <w:p w14:paraId="0936F62C" w14:textId="77777777" w:rsidR="004D41BE" w:rsidRDefault="004D41BE" w:rsidP="004D41BE">
      <w:pPr>
        <w:spacing w:line="480" w:lineRule="auto"/>
        <w:contextualSpacing/>
        <w:jc w:val="both"/>
        <w:rPr>
          <w:rFonts w:cstheme="minorHAnsi"/>
          <w:b/>
          <w:bCs/>
          <w:color w:val="000000" w:themeColor="text1"/>
          <w:sz w:val="22"/>
          <w:szCs w:val="22"/>
        </w:rPr>
      </w:pPr>
    </w:p>
    <w:p w14:paraId="1C8EA62A" w14:textId="77777777" w:rsidR="004D41BE" w:rsidRDefault="004D41BE" w:rsidP="004D41BE">
      <w:pPr>
        <w:spacing w:line="480" w:lineRule="auto"/>
        <w:contextualSpacing/>
        <w:jc w:val="both"/>
        <w:rPr>
          <w:rFonts w:cstheme="minorHAnsi"/>
          <w:b/>
          <w:bCs/>
          <w:color w:val="000000" w:themeColor="text1"/>
          <w:sz w:val="22"/>
          <w:szCs w:val="22"/>
        </w:rPr>
      </w:pPr>
      <w:r>
        <w:rPr>
          <w:rFonts w:cstheme="minorHAnsi"/>
          <w:b/>
          <w:bCs/>
          <w:noProof/>
          <w:color w:val="000000" w:themeColor="text1"/>
          <w:sz w:val="22"/>
          <w:szCs w:val="22"/>
        </w:rPr>
        <w:lastRenderedPageBreak/>
        <w:drawing>
          <wp:inline distT="0" distB="0" distL="0" distR="0" wp14:anchorId="55D3CE91" wp14:editId="39A86B91">
            <wp:extent cx="6075014" cy="7336097"/>
            <wp:effectExtent l="0" t="0" r="0" b="0"/>
            <wp:docPr id="2" name="Picture 2"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graphical user interface&#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83887" cy="7346812"/>
                    </a:xfrm>
                    <a:prstGeom prst="rect">
                      <a:avLst/>
                    </a:prstGeom>
                    <a:noFill/>
                  </pic:spPr>
                </pic:pic>
              </a:graphicData>
            </a:graphic>
          </wp:inline>
        </w:drawing>
      </w:r>
    </w:p>
    <w:p w14:paraId="27896B3B" w14:textId="77777777" w:rsidR="004D41BE" w:rsidRPr="00B61009" w:rsidRDefault="004D41BE" w:rsidP="004D41BE">
      <w:pPr>
        <w:spacing w:line="480" w:lineRule="auto"/>
        <w:contextualSpacing/>
        <w:jc w:val="both"/>
        <w:rPr>
          <w:rFonts w:cstheme="minorHAnsi"/>
          <w:b/>
          <w:bCs/>
          <w:color w:val="000000" w:themeColor="text1"/>
          <w:sz w:val="22"/>
          <w:szCs w:val="22"/>
        </w:rPr>
      </w:pPr>
      <w:r w:rsidRPr="00340243">
        <w:rPr>
          <w:rFonts w:cstheme="minorHAnsi"/>
          <w:b/>
          <w:color w:val="000000" w:themeColor="text1"/>
          <w:sz w:val="22"/>
          <w:szCs w:val="22"/>
        </w:rPr>
        <w:t>Extended Data</w:t>
      </w:r>
      <w:r w:rsidRPr="00B61009">
        <w:rPr>
          <w:rFonts w:cstheme="minorHAnsi"/>
          <w:b/>
          <w:bCs/>
          <w:color w:val="000000" w:themeColor="text1"/>
          <w:sz w:val="22"/>
          <w:szCs w:val="22"/>
          <w:lang w:val="en-US"/>
        </w:rPr>
        <w:t xml:space="preserve"> Figure 2. </w:t>
      </w:r>
      <w:r w:rsidRPr="00B61009">
        <w:rPr>
          <w:rFonts w:cstheme="minorHAnsi"/>
          <w:b/>
          <w:bCs/>
          <w:i/>
          <w:iCs/>
          <w:color w:val="000000" w:themeColor="text1"/>
          <w:sz w:val="22"/>
          <w:szCs w:val="22"/>
          <w:lang w:val="en-US"/>
        </w:rPr>
        <w:t>miR-1304-5p</w:t>
      </w:r>
      <w:r w:rsidRPr="00B61009">
        <w:rPr>
          <w:rFonts w:cstheme="minorHAnsi"/>
          <w:b/>
          <w:bCs/>
          <w:color w:val="000000" w:themeColor="text1"/>
          <w:sz w:val="22"/>
          <w:szCs w:val="22"/>
          <w:lang w:val="en-US"/>
        </w:rPr>
        <w:t xml:space="preserve"> </w:t>
      </w:r>
      <w:r w:rsidRPr="00B61009">
        <w:rPr>
          <w:rFonts w:cstheme="minorHAnsi"/>
          <w:b/>
          <w:bCs/>
          <w:color w:val="000000" w:themeColor="text1"/>
          <w:sz w:val="22"/>
          <w:szCs w:val="22"/>
        </w:rPr>
        <w:t>inhibits NB cell viability inducing apoptosis but not affecting cell cycle progression</w:t>
      </w:r>
    </w:p>
    <w:p w14:paraId="5DE38555" w14:textId="77777777" w:rsidR="004D41BE" w:rsidRPr="00B61009" w:rsidRDefault="004D41BE" w:rsidP="004D41BE">
      <w:pPr>
        <w:spacing w:line="480" w:lineRule="auto"/>
        <w:contextualSpacing/>
        <w:jc w:val="both"/>
        <w:rPr>
          <w:rFonts w:cstheme="minorHAnsi"/>
          <w:color w:val="000000" w:themeColor="text1"/>
          <w:sz w:val="22"/>
          <w:szCs w:val="22"/>
        </w:rPr>
      </w:pPr>
      <w:r w:rsidRPr="00B61009">
        <w:rPr>
          <w:rFonts w:cstheme="minorHAnsi"/>
          <w:color w:val="000000" w:themeColor="text1"/>
          <w:sz w:val="22"/>
          <w:szCs w:val="22"/>
        </w:rPr>
        <w:t>(</w:t>
      </w:r>
      <w:r w:rsidRPr="00B61009">
        <w:rPr>
          <w:rFonts w:cstheme="minorHAnsi"/>
          <w:color w:val="000000" w:themeColor="text1"/>
          <w:sz w:val="22"/>
          <w:szCs w:val="22"/>
          <w:lang w:val="en-US"/>
        </w:rPr>
        <w:t xml:space="preserve">A, B) </w:t>
      </w:r>
      <w:r w:rsidRPr="00B61009">
        <w:rPr>
          <w:rFonts w:cstheme="minorHAnsi"/>
          <w:color w:val="000000" w:themeColor="text1"/>
          <w:sz w:val="22"/>
          <w:szCs w:val="22"/>
        </w:rPr>
        <w:t xml:space="preserve">Confirmation of </w:t>
      </w:r>
      <w:r w:rsidRPr="00B61009">
        <w:rPr>
          <w:rFonts w:cstheme="minorHAnsi"/>
          <w:i/>
          <w:iCs/>
          <w:color w:val="000000" w:themeColor="text1"/>
          <w:sz w:val="22"/>
          <w:szCs w:val="22"/>
        </w:rPr>
        <w:t>miR-1304-5p</w:t>
      </w:r>
      <w:r w:rsidRPr="00B61009">
        <w:rPr>
          <w:rFonts w:cstheme="minorHAnsi"/>
          <w:color w:val="000000" w:themeColor="text1"/>
          <w:sz w:val="22"/>
          <w:szCs w:val="22"/>
        </w:rPr>
        <w:t xml:space="preserve"> upregulation by RT-qPCR upon transfection of the mimic (</w:t>
      </w:r>
      <w:r w:rsidRPr="00B61009">
        <w:rPr>
          <w:rFonts w:cstheme="minorHAnsi"/>
          <w:i/>
          <w:iCs/>
          <w:color w:val="000000" w:themeColor="text1"/>
          <w:sz w:val="22"/>
          <w:szCs w:val="22"/>
        </w:rPr>
        <w:t>hsa-miR-1304-5p</w:t>
      </w:r>
      <w:r w:rsidRPr="00B61009">
        <w:rPr>
          <w:rFonts w:cstheme="minorHAnsi"/>
          <w:color w:val="000000" w:themeColor="text1"/>
          <w:sz w:val="22"/>
          <w:szCs w:val="22"/>
        </w:rPr>
        <w:t xml:space="preserve">) relative to the mimic-scrambled control (Scr control) with image inserts showing their effects </w:t>
      </w:r>
      <w:r w:rsidRPr="00B61009">
        <w:rPr>
          <w:rFonts w:cstheme="minorHAnsi"/>
          <w:color w:val="000000" w:themeColor="text1"/>
          <w:sz w:val="22"/>
          <w:szCs w:val="22"/>
        </w:rPr>
        <w:lastRenderedPageBreak/>
        <w:t>on cell confluency for the indicated cell lines.</w:t>
      </w:r>
      <w:r w:rsidRPr="00B61009">
        <w:rPr>
          <w:rFonts w:cstheme="minorHAnsi"/>
          <w:color w:val="000000" w:themeColor="text1"/>
          <w:sz w:val="22"/>
          <w:szCs w:val="22"/>
          <w:lang w:val="en-US"/>
        </w:rPr>
        <w:t xml:space="preserve"> (C, D) Caspase 3/7 activity was measured by luminescence normalized for the Scr control transfected cells in the indicated cell lines 72</w:t>
      </w:r>
      <w:r>
        <w:rPr>
          <w:rFonts w:cstheme="minorHAnsi"/>
          <w:color w:val="000000" w:themeColor="text1"/>
          <w:sz w:val="22"/>
          <w:szCs w:val="22"/>
          <w:lang w:val="en-US"/>
        </w:rPr>
        <w:t xml:space="preserve"> </w:t>
      </w:r>
      <w:r w:rsidRPr="00B61009">
        <w:rPr>
          <w:rFonts w:cstheme="minorHAnsi"/>
          <w:color w:val="000000" w:themeColor="text1"/>
          <w:sz w:val="22"/>
          <w:szCs w:val="22"/>
          <w:lang w:val="en-US"/>
        </w:rPr>
        <w:t xml:space="preserve">h post-transfection. (E, F) Cell cycle analysis 72 </w:t>
      </w:r>
      <w:r>
        <w:rPr>
          <w:rFonts w:cstheme="minorHAnsi"/>
          <w:color w:val="000000" w:themeColor="text1"/>
          <w:sz w:val="22"/>
          <w:szCs w:val="22"/>
          <w:lang w:val="en-US"/>
        </w:rPr>
        <w:t>h</w:t>
      </w:r>
      <w:r w:rsidRPr="00B61009">
        <w:rPr>
          <w:rFonts w:cstheme="minorHAnsi"/>
          <w:color w:val="000000" w:themeColor="text1"/>
          <w:sz w:val="22"/>
          <w:szCs w:val="22"/>
          <w:lang w:val="en-US"/>
        </w:rPr>
        <w:t xml:space="preserve"> post-transfection of the indicated cell lines, shown as the percentage of cells in each phase of the cell cycle. Data shown represent the means ± SEM of three independent experiments. Statistical comparison was conducted using a one-way </w:t>
      </w:r>
      <w:r>
        <w:rPr>
          <w:rFonts w:cstheme="minorHAnsi"/>
          <w:color w:val="000000" w:themeColor="text1"/>
          <w:sz w:val="22"/>
          <w:szCs w:val="22"/>
          <w:lang w:val="en-US"/>
        </w:rPr>
        <w:t>A</w:t>
      </w:r>
      <w:r w:rsidRPr="00B61009">
        <w:rPr>
          <w:rFonts w:cstheme="minorHAnsi"/>
          <w:color w:val="000000" w:themeColor="text1"/>
          <w:sz w:val="22"/>
          <w:szCs w:val="22"/>
          <w:lang w:val="en-US"/>
        </w:rPr>
        <w:t>nova with Tukey`s post</w:t>
      </w:r>
      <w:r>
        <w:rPr>
          <w:rFonts w:cstheme="minorHAnsi"/>
          <w:color w:val="000000" w:themeColor="text1"/>
          <w:sz w:val="22"/>
          <w:szCs w:val="22"/>
          <w:lang w:val="en-US"/>
        </w:rPr>
        <w:t>-</w:t>
      </w:r>
      <w:r w:rsidRPr="00B61009">
        <w:rPr>
          <w:rFonts w:cstheme="minorHAnsi"/>
          <w:color w:val="000000" w:themeColor="text1"/>
          <w:sz w:val="22"/>
          <w:szCs w:val="22"/>
          <w:lang w:val="en-US"/>
        </w:rPr>
        <w:t>test in E and F and a Student`s t-test in A-D. *</w:t>
      </w:r>
      <w:r w:rsidRPr="00B61009">
        <w:rPr>
          <w:rFonts w:cstheme="minorHAnsi"/>
          <w:i/>
          <w:iCs/>
          <w:color w:val="000000" w:themeColor="text1"/>
          <w:sz w:val="22"/>
          <w:szCs w:val="22"/>
          <w:lang w:val="en-US"/>
        </w:rPr>
        <w:t>p</w:t>
      </w:r>
      <w:r w:rsidRPr="00B61009">
        <w:rPr>
          <w:rFonts w:cstheme="minorHAnsi"/>
          <w:color w:val="000000" w:themeColor="text1"/>
          <w:sz w:val="22"/>
          <w:szCs w:val="22"/>
          <w:lang w:val="en-US"/>
        </w:rPr>
        <w:t>&lt;0.05.</w:t>
      </w:r>
    </w:p>
    <w:p w14:paraId="7C7EF1FB" w14:textId="77777777" w:rsidR="004D41BE" w:rsidRDefault="004D41BE" w:rsidP="004D41BE">
      <w:pPr>
        <w:spacing w:line="480" w:lineRule="auto"/>
        <w:contextualSpacing/>
        <w:jc w:val="both"/>
        <w:rPr>
          <w:rFonts w:cstheme="minorHAnsi"/>
          <w:b/>
          <w:bCs/>
          <w:color w:val="000000" w:themeColor="text1"/>
          <w:sz w:val="22"/>
          <w:szCs w:val="22"/>
        </w:rPr>
      </w:pPr>
    </w:p>
    <w:p w14:paraId="2D161DCD" w14:textId="77777777" w:rsidR="004D41BE" w:rsidRDefault="004D41BE" w:rsidP="004D41BE">
      <w:pPr>
        <w:spacing w:line="480" w:lineRule="auto"/>
        <w:contextualSpacing/>
        <w:jc w:val="center"/>
        <w:rPr>
          <w:rFonts w:cstheme="minorHAnsi"/>
          <w:b/>
          <w:bCs/>
          <w:color w:val="000000" w:themeColor="text1"/>
          <w:sz w:val="22"/>
          <w:szCs w:val="22"/>
        </w:rPr>
      </w:pPr>
      <w:r>
        <w:rPr>
          <w:rFonts w:cstheme="minorHAnsi"/>
          <w:b/>
          <w:bCs/>
          <w:noProof/>
          <w:color w:val="000000" w:themeColor="text1"/>
          <w:sz w:val="22"/>
          <w:szCs w:val="22"/>
        </w:rPr>
        <w:lastRenderedPageBreak/>
        <w:drawing>
          <wp:inline distT="0" distB="0" distL="0" distR="0" wp14:anchorId="0D3359D1" wp14:editId="06096CFD">
            <wp:extent cx="4252722" cy="855963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65427" cy="8585202"/>
                    </a:xfrm>
                    <a:prstGeom prst="rect">
                      <a:avLst/>
                    </a:prstGeom>
                    <a:noFill/>
                  </pic:spPr>
                </pic:pic>
              </a:graphicData>
            </a:graphic>
          </wp:inline>
        </w:drawing>
      </w:r>
    </w:p>
    <w:p w14:paraId="4481FF70" w14:textId="77777777" w:rsidR="004D41BE" w:rsidRPr="00B61009" w:rsidRDefault="004D41BE" w:rsidP="004D41BE">
      <w:pPr>
        <w:spacing w:line="480" w:lineRule="auto"/>
        <w:contextualSpacing/>
        <w:jc w:val="both"/>
        <w:rPr>
          <w:rFonts w:cstheme="minorHAnsi"/>
          <w:b/>
          <w:bCs/>
          <w:color w:val="000000" w:themeColor="text1"/>
          <w:sz w:val="22"/>
          <w:szCs w:val="22"/>
        </w:rPr>
      </w:pPr>
      <w:r w:rsidRPr="00340243">
        <w:rPr>
          <w:rFonts w:cstheme="minorHAnsi"/>
          <w:b/>
          <w:color w:val="000000" w:themeColor="text1"/>
          <w:sz w:val="22"/>
          <w:szCs w:val="22"/>
        </w:rPr>
        <w:lastRenderedPageBreak/>
        <w:t>Extended Data</w:t>
      </w:r>
      <w:r w:rsidRPr="00B61009">
        <w:rPr>
          <w:rFonts w:cstheme="minorHAnsi"/>
          <w:b/>
          <w:bCs/>
          <w:color w:val="000000" w:themeColor="text1"/>
          <w:sz w:val="22"/>
          <w:szCs w:val="22"/>
          <w:lang w:val="en-US"/>
        </w:rPr>
        <w:t xml:space="preserve"> Figure 3</w:t>
      </w:r>
      <w:r>
        <w:rPr>
          <w:rFonts w:cstheme="minorHAnsi"/>
          <w:b/>
          <w:bCs/>
          <w:color w:val="000000" w:themeColor="text1"/>
          <w:sz w:val="22"/>
          <w:szCs w:val="22"/>
          <w:lang w:val="en-US"/>
        </w:rPr>
        <w:t xml:space="preserve">. </w:t>
      </w:r>
      <w:r w:rsidRPr="00AC3B27">
        <w:rPr>
          <w:rFonts w:cstheme="minorHAnsi"/>
          <w:b/>
          <w:bCs/>
          <w:color w:val="000000" w:themeColor="text1"/>
          <w:sz w:val="22"/>
          <w:szCs w:val="22"/>
          <w:lang w:val="en-US"/>
        </w:rPr>
        <w:t xml:space="preserve">Identification and validation of </w:t>
      </w:r>
      <w:r w:rsidRPr="00AC3B27">
        <w:rPr>
          <w:rFonts w:cstheme="minorHAnsi"/>
          <w:b/>
          <w:bCs/>
          <w:i/>
          <w:iCs/>
          <w:color w:val="000000" w:themeColor="text1"/>
          <w:sz w:val="22"/>
          <w:szCs w:val="22"/>
          <w:lang w:val="en-US"/>
        </w:rPr>
        <w:t>miR-1304-5p</w:t>
      </w:r>
      <w:r w:rsidRPr="00AC3B27">
        <w:rPr>
          <w:rFonts w:cstheme="minorHAnsi"/>
          <w:b/>
          <w:bCs/>
          <w:color w:val="000000" w:themeColor="text1"/>
          <w:sz w:val="22"/>
          <w:szCs w:val="22"/>
          <w:lang w:val="en-US"/>
        </w:rPr>
        <w:t xml:space="preserve"> target</w:t>
      </w:r>
      <w:r>
        <w:rPr>
          <w:rFonts w:cstheme="minorHAnsi"/>
          <w:b/>
          <w:bCs/>
          <w:color w:val="000000" w:themeColor="text1"/>
          <w:sz w:val="22"/>
          <w:szCs w:val="22"/>
          <w:lang w:val="en-US"/>
        </w:rPr>
        <w:t xml:space="preserve"> genes</w:t>
      </w:r>
      <w:r w:rsidRPr="00E05362">
        <w:rPr>
          <w:rFonts w:cstheme="minorHAnsi"/>
          <w:b/>
          <w:bCs/>
          <w:color w:val="000000" w:themeColor="text1"/>
          <w:sz w:val="22"/>
          <w:szCs w:val="22"/>
          <w:lang w:val="en-US"/>
        </w:rPr>
        <w:t xml:space="preserve"> </w:t>
      </w:r>
    </w:p>
    <w:p w14:paraId="4A314DD8" w14:textId="77777777" w:rsidR="004D41BE" w:rsidRPr="00B61009" w:rsidRDefault="004D41BE" w:rsidP="004D41BE">
      <w:pPr>
        <w:spacing w:line="480" w:lineRule="auto"/>
        <w:contextualSpacing/>
        <w:jc w:val="both"/>
        <w:rPr>
          <w:rFonts w:cstheme="minorHAnsi"/>
          <w:color w:val="000000" w:themeColor="text1"/>
          <w:sz w:val="22"/>
          <w:szCs w:val="22"/>
        </w:rPr>
      </w:pPr>
      <w:r w:rsidRPr="00B61009">
        <w:rPr>
          <w:rFonts w:cstheme="minorHAnsi"/>
          <w:color w:val="000000" w:themeColor="text1"/>
          <w:sz w:val="22"/>
          <w:szCs w:val="22"/>
          <w:lang w:val="en-US"/>
        </w:rPr>
        <w:t>(</w:t>
      </w:r>
      <w:r w:rsidRPr="00B61009">
        <w:rPr>
          <w:rFonts w:cstheme="minorHAnsi"/>
          <w:color w:val="000000" w:themeColor="text1"/>
          <w:sz w:val="22"/>
          <w:szCs w:val="22"/>
        </w:rPr>
        <w:t xml:space="preserve">A) The top-10 MSigDB’s hallmark enriched gene sets altered following </w:t>
      </w:r>
      <w:r w:rsidRPr="00B61009">
        <w:rPr>
          <w:rFonts w:cstheme="minorHAnsi"/>
          <w:i/>
          <w:iCs/>
          <w:color w:val="000000" w:themeColor="text1"/>
          <w:sz w:val="22"/>
          <w:szCs w:val="22"/>
        </w:rPr>
        <w:t>miR-1304-5p</w:t>
      </w:r>
      <w:r w:rsidRPr="00B61009">
        <w:rPr>
          <w:rFonts w:cstheme="minorHAnsi"/>
          <w:color w:val="000000" w:themeColor="text1"/>
          <w:sz w:val="22"/>
          <w:szCs w:val="22"/>
        </w:rPr>
        <w:t xml:space="preserve"> transfection, detected by genome-wide expression microarray (HT-12 v4), ranked by normalized enrichment score (NES) index for KELLY and SH-SY5Y cell lines, with common pathways highlighted in yellow. (B) TargetScan-predicted binding sites of </w:t>
      </w:r>
      <w:r w:rsidRPr="00B61009">
        <w:rPr>
          <w:rFonts w:cstheme="minorHAnsi"/>
          <w:i/>
          <w:iCs/>
          <w:color w:val="000000" w:themeColor="text1"/>
          <w:sz w:val="22"/>
          <w:szCs w:val="22"/>
        </w:rPr>
        <w:t xml:space="preserve">miR-1304-5p </w:t>
      </w:r>
      <w:r w:rsidRPr="00B61009">
        <w:rPr>
          <w:rFonts w:cstheme="minorHAnsi"/>
          <w:color w:val="000000" w:themeColor="text1"/>
          <w:sz w:val="22"/>
          <w:szCs w:val="22"/>
        </w:rPr>
        <w:t xml:space="preserve">to </w:t>
      </w:r>
      <w:r w:rsidRPr="00B61009">
        <w:rPr>
          <w:rFonts w:cstheme="minorHAnsi"/>
          <w:i/>
          <w:iCs/>
          <w:color w:val="000000" w:themeColor="text1"/>
          <w:sz w:val="22"/>
          <w:szCs w:val="22"/>
        </w:rPr>
        <w:t>NRAS</w:t>
      </w:r>
      <w:r w:rsidRPr="00B61009">
        <w:rPr>
          <w:rFonts w:cstheme="minorHAnsi"/>
          <w:color w:val="000000" w:themeColor="text1"/>
          <w:sz w:val="22"/>
          <w:szCs w:val="22"/>
        </w:rPr>
        <w:t xml:space="preserve">, </w:t>
      </w:r>
      <w:r w:rsidRPr="00B61009">
        <w:rPr>
          <w:rFonts w:cstheme="minorHAnsi"/>
          <w:i/>
          <w:iCs/>
          <w:color w:val="000000" w:themeColor="text1"/>
          <w:sz w:val="22"/>
          <w:szCs w:val="22"/>
        </w:rPr>
        <w:t>RRAS</w:t>
      </w:r>
      <w:r w:rsidRPr="00B61009">
        <w:rPr>
          <w:rFonts w:cstheme="minorHAnsi"/>
          <w:color w:val="000000" w:themeColor="text1"/>
          <w:sz w:val="22"/>
          <w:szCs w:val="22"/>
        </w:rPr>
        <w:t xml:space="preserve">, </w:t>
      </w:r>
      <w:r w:rsidRPr="00B61009">
        <w:rPr>
          <w:rFonts w:cstheme="minorHAnsi"/>
          <w:i/>
          <w:iCs/>
          <w:color w:val="000000" w:themeColor="text1"/>
          <w:sz w:val="22"/>
          <w:szCs w:val="22"/>
        </w:rPr>
        <w:t>PTPN11</w:t>
      </w:r>
      <w:r w:rsidRPr="00B61009">
        <w:rPr>
          <w:rFonts w:cstheme="minorHAnsi"/>
          <w:color w:val="000000" w:themeColor="text1"/>
          <w:sz w:val="22"/>
          <w:szCs w:val="22"/>
        </w:rPr>
        <w:t xml:space="preserve"> and </w:t>
      </w:r>
      <w:r w:rsidRPr="00B61009">
        <w:rPr>
          <w:rFonts w:cstheme="minorHAnsi"/>
          <w:i/>
          <w:iCs/>
          <w:color w:val="000000" w:themeColor="text1"/>
          <w:sz w:val="22"/>
          <w:szCs w:val="22"/>
        </w:rPr>
        <w:t xml:space="preserve">IQGAP1 </w:t>
      </w:r>
      <w:r w:rsidRPr="00B61009">
        <w:rPr>
          <w:rFonts w:cstheme="minorHAnsi"/>
          <w:color w:val="000000" w:themeColor="text1"/>
          <w:sz w:val="22"/>
          <w:szCs w:val="22"/>
        </w:rPr>
        <w:t xml:space="preserve">mRNAs. (C) RT-qPCR validation of the 28 target genes associated with cancer pathways predicted to be dysregulated by </w:t>
      </w:r>
      <w:r w:rsidRPr="00234712">
        <w:rPr>
          <w:rFonts w:cstheme="minorHAnsi"/>
          <w:i/>
          <w:iCs/>
          <w:color w:val="000000" w:themeColor="text1"/>
          <w:sz w:val="22"/>
          <w:szCs w:val="22"/>
        </w:rPr>
        <w:t>miR-1304-5p</w:t>
      </w:r>
      <w:r w:rsidRPr="00B61009">
        <w:rPr>
          <w:rFonts w:cstheme="minorHAnsi"/>
          <w:color w:val="000000" w:themeColor="text1"/>
          <w:sz w:val="22"/>
          <w:szCs w:val="22"/>
        </w:rPr>
        <w:t xml:space="preserve"> from expression microarray results and predicted to be direct targets of </w:t>
      </w:r>
      <w:r w:rsidRPr="00234712">
        <w:rPr>
          <w:rFonts w:cstheme="minorHAnsi"/>
          <w:i/>
          <w:iCs/>
          <w:color w:val="000000" w:themeColor="text1"/>
          <w:sz w:val="22"/>
          <w:szCs w:val="22"/>
        </w:rPr>
        <w:t>miR-1304-5p</w:t>
      </w:r>
      <w:r w:rsidRPr="00B61009">
        <w:rPr>
          <w:rFonts w:cstheme="minorHAnsi"/>
          <w:color w:val="000000" w:themeColor="text1"/>
          <w:sz w:val="22"/>
          <w:szCs w:val="22"/>
        </w:rPr>
        <w:t xml:space="preserve"> by TargetScan 7.1. Gene expression is represented as the knockdown efficiency compared to a scrambled negative control</w:t>
      </w:r>
      <w:r>
        <w:rPr>
          <w:rFonts w:cstheme="minorHAnsi"/>
          <w:color w:val="000000" w:themeColor="text1"/>
          <w:sz w:val="22"/>
          <w:szCs w:val="22"/>
        </w:rPr>
        <w:t xml:space="preserve"> (Scr control)</w:t>
      </w:r>
      <w:r w:rsidRPr="00B61009">
        <w:rPr>
          <w:rFonts w:cstheme="minorHAnsi"/>
          <w:color w:val="000000" w:themeColor="text1"/>
          <w:sz w:val="22"/>
          <w:szCs w:val="22"/>
        </w:rPr>
        <w:t xml:space="preserve">. The dotted line reflects the 20% knockdown level threshold applied. </w:t>
      </w:r>
      <w:r w:rsidRPr="00B61009">
        <w:rPr>
          <w:rFonts w:cstheme="minorHAnsi"/>
          <w:color w:val="000000" w:themeColor="text1"/>
          <w:sz w:val="22"/>
          <w:szCs w:val="22"/>
          <w:lang w:val="en-US"/>
        </w:rPr>
        <w:t xml:space="preserve">(D) Microarray expression of the 28 genes identified as potential targets of </w:t>
      </w:r>
      <w:r w:rsidRPr="00B61009">
        <w:rPr>
          <w:rFonts w:cstheme="minorHAnsi"/>
          <w:i/>
          <w:iCs/>
          <w:color w:val="000000" w:themeColor="text1"/>
          <w:sz w:val="22"/>
          <w:szCs w:val="22"/>
          <w:lang w:val="en-US"/>
        </w:rPr>
        <w:t>miR-1304-5p</w:t>
      </w:r>
      <w:r w:rsidRPr="00B61009">
        <w:rPr>
          <w:rFonts w:cstheme="minorHAnsi"/>
          <w:color w:val="000000" w:themeColor="text1"/>
          <w:sz w:val="22"/>
          <w:szCs w:val="22"/>
          <w:lang w:val="en-US"/>
        </w:rPr>
        <w:t xml:space="preserve"> in ceritinib resistant (n=2) versus sensitive (n=2) orthotopic </w:t>
      </w:r>
      <w:r>
        <w:rPr>
          <w:rFonts w:cstheme="minorHAnsi"/>
          <w:color w:val="000000" w:themeColor="text1"/>
          <w:sz w:val="22"/>
          <w:szCs w:val="22"/>
          <w:lang w:val="en-US"/>
        </w:rPr>
        <w:t>NB</w:t>
      </w:r>
      <w:r w:rsidRPr="00B61009">
        <w:rPr>
          <w:rFonts w:cstheme="minorHAnsi"/>
          <w:color w:val="000000" w:themeColor="text1"/>
          <w:sz w:val="22"/>
          <w:szCs w:val="22"/>
          <w:lang w:val="en-US"/>
        </w:rPr>
        <w:t xml:space="preserve"> xenograft models </w:t>
      </w:r>
      <w:r>
        <w:rPr>
          <w:rFonts w:cstheme="minorHAnsi"/>
          <w:color w:val="000000" w:themeColor="text1"/>
          <w:sz w:val="22"/>
          <w:szCs w:val="22"/>
          <w:lang w:val="en-US"/>
        </w:rPr>
        <w:fldChar w:fldCharType="begin" w:fldLock="1"/>
      </w:r>
      <w:r>
        <w:rPr>
          <w:rFonts w:cstheme="minorHAnsi"/>
          <w:color w:val="000000" w:themeColor="text1"/>
          <w:sz w:val="22"/>
          <w:szCs w:val="22"/>
          <w:lang w:val="en-US"/>
        </w:rPr>
        <w:instrText>ADDIN CSL_CITATION {"citationItems":[{"id":"ITEM-1","itemData":{"DOI":"10.7554/eLife.17137","ISSN":"2050084X","PMID":"28425916","abstract":"The efficacy of ALK inhibitors in patients with ALK-mutant neuroblastoma is limited, highlighting the need to improve their effectiveness in these patients. To this end, we sought to develop a combination strategy to enhance the antitumor activity of ALK inhibitor monotherapy in human neuroblastoma cell lines and xenograft models expressing activated ALK. Herein, we report that combined inhibition of ALK and MDM2 induced a complementary set of anti-proliferative and pro-apoptotic proteins. Consequently, this combination treatment synergistically inhibited proliferation of TP53 wild-type neuroblastoma cells harboring ALK amplification or mutations in vitro, and resulted in complete and durable responses in neuroblastoma xenografts derived from these cells. We further demonstrate that concurrent inhibition of MDM2 and ALK was able to overcome ceritinib resistance conferred by MYCN upregulation in vitro and in vivo. Together, combined inhibition of ALK and MDM2 may provide an effective treatment for TP53 wild-type neuroblastoma with ALK aberrations.","author":[{"dropping-particle":"","family":"Wang","given":"Hui Qin","non-dropping-particle":"","parse-names":false,"suffix":""},{"dropping-particle":"","family":"Halilovic","given":"Ensar","non-dropping-particle":"","parse-names":false,"suffix":""},{"dropping-particle":"","family":"Li","given":"Xiaoyan","non-dropping-particle":"","parse-names":false,"suffix":""},{"dropping-particle":"","family":"Liang","given":"Jinsheng","non-dropping-particle":"","parse-names":false,"suffix":""},{"dropping-particle":"","family":"Cao","given":"Yichen","non-dropping-particle":"","parse-names":false,"suffix":""},{"dropping-particle":"","family":"Rakiec","given":"Daniel P.","non-dropping-particle":"","parse-names":false,"suffix":""},{"dropping-particle":"","family":"Ruddy","given":"David A.","non-dropping-particle":"","parse-names":false,"suffix":""},{"dropping-particle":"","family":"Jeay","given":"Sebastien","non-dropping-particle":"","parse-names":false,"suffix":""},{"dropping-particle":"","family":"Wuerthner","given":"Jens U.","non-dropping-particle":"","parse-names":false,"suffix":""},{"dropping-particle":"","family":"Timple","given":"Noelito","non-dropping-particle":"","parse-names":false,"suffix":""},{"dropping-particle":"","family":"Kasibhatla","given":"Shailaja","non-dropping-particle":"","parse-names":false,"suffix":""},{"dropping-particle":"","family":"Li","given":"Nanxin","non-dropping-particle":"","parse-names":false,"suffix":""},{"dropping-particle":"","family":"Williams","given":"Juliet A.","non-dropping-particle":"","parse-names":false,"suffix":""},{"dropping-particle":"","family":"Sellers","given":"William R.","non-dropping-particle":"","parse-names":false,"suffix":""},{"dropping-particle":"","family":"Huang","given":"Alan","non-dropping-particle":"","parse-names":false,"suffix":""},{"dropping-particle":"","family":"Li","given":"Fang","non-dropping-particle":"","parse-names":false,"suffix":""}],"container-title":"eLife","id":"ITEM-1","issued":{"date-parts":[["2017"]]},"page":"1-19","title":"Combined ALK and MDM2 inhibition increases antitumor activity and overcomes resistance in human ALK mutant neuroblastoma cell lines and xenograft models","type":"article-journal","volume":"6"},"uris":["http://www.mendeley.com/documents/?uuid=7cf5661e-95f9-4891-bde0-b033c835233a"]}],"mendeley":{"formattedCitation":"&lt;sup&gt;34&lt;/sup&gt;","plainTextFormattedCitation":"34","previouslyFormattedCitation":"(34)"},"properties":{"noteIndex":0},"schema":"https://github.com/citation-style-language/schema/raw/master/csl-citation.json"}</w:instrText>
      </w:r>
      <w:r>
        <w:rPr>
          <w:rFonts w:cstheme="minorHAnsi"/>
          <w:color w:val="000000" w:themeColor="text1"/>
          <w:sz w:val="22"/>
          <w:szCs w:val="22"/>
          <w:lang w:val="en-US"/>
        </w:rPr>
        <w:fldChar w:fldCharType="separate"/>
      </w:r>
      <w:r w:rsidRPr="006733FD">
        <w:rPr>
          <w:rFonts w:cstheme="minorHAnsi"/>
          <w:noProof/>
          <w:color w:val="000000" w:themeColor="text1"/>
          <w:sz w:val="22"/>
          <w:szCs w:val="22"/>
          <w:vertAlign w:val="superscript"/>
          <w:lang w:val="en-US"/>
        </w:rPr>
        <w:t>34</w:t>
      </w:r>
      <w:r>
        <w:rPr>
          <w:rFonts w:cstheme="minorHAnsi"/>
          <w:color w:val="000000" w:themeColor="text1"/>
          <w:sz w:val="22"/>
          <w:szCs w:val="22"/>
          <w:lang w:val="en-US"/>
        </w:rPr>
        <w:fldChar w:fldCharType="end"/>
      </w:r>
      <w:r w:rsidRPr="00B61009">
        <w:rPr>
          <w:rFonts w:cstheme="minorHAnsi"/>
          <w:color w:val="000000" w:themeColor="text1"/>
          <w:sz w:val="22"/>
          <w:szCs w:val="22"/>
          <w:lang w:val="en-US"/>
        </w:rPr>
        <w:t>. Hits shown have a fold change&gt; 1 (log</w:t>
      </w:r>
      <w:r w:rsidRPr="00EA4DA0">
        <w:rPr>
          <w:rFonts w:cstheme="minorHAnsi"/>
          <w:color w:val="000000" w:themeColor="text1"/>
          <w:sz w:val="22"/>
          <w:szCs w:val="22"/>
          <w:vertAlign w:val="subscript"/>
          <w:lang w:val="en-US"/>
        </w:rPr>
        <w:t>2</w:t>
      </w:r>
      <w:r w:rsidRPr="00B61009">
        <w:rPr>
          <w:rFonts w:cstheme="minorHAnsi"/>
          <w:color w:val="000000" w:themeColor="text1"/>
          <w:sz w:val="22"/>
          <w:szCs w:val="22"/>
          <w:lang w:val="en-US"/>
        </w:rPr>
        <w:t xml:space="preserve">=0) and </w:t>
      </w:r>
      <w:r w:rsidRPr="00B61009">
        <w:rPr>
          <w:rFonts w:cstheme="minorHAnsi"/>
          <w:i/>
          <w:iCs/>
          <w:color w:val="000000" w:themeColor="text1"/>
          <w:sz w:val="22"/>
          <w:szCs w:val="22"/>
          <w:lang w:val="en-US"/>
        </w:rPr>
        <w:t>p</w:t>
      </w:r>
      <w:r w:rsidRPr="00B61009">
        <w:rPr>
          <w:rFonts w:cstheme="minorHAnsi"/>
          <w:color w:val="000000" w:themeColor="text1"/>
          <w:sz w:val="22"/>
          <w:szCs w:val="22"/>
          <w:lang w:val="en-US"/>
        </w:rPr>
        <w:t>&lt;0.05 (-log</w:t>
      </w:r>
      <w:r w:rsidRPr="00EA4DA0">
        <w:rPr>
          <w:rFonts w:cstheme="minorHAnsi"/>
          <w:color w:val="000000" w:themeColor="text1"/>
          <w:sz w:val="22"/>
          <w:szCs w:val="22"/>
          <w:vertAlign w:val="subscript"/>
          <w:lang w:val="en-US"/>
        </w:rPr>
        <w:t>10</w:t>
      </w:r>
      <w:r w:rsidRPr="00B61009">
        <w:rPr>
          <w:rFonts w:cstheme="minorHAnsi"/>
          <w:color w:val="000000" w:themeColor="text1"/>
          <w:sz w:val="22"/>
          <w:szCs w:val="22"/>
          <w:lang w:val="en-US"/>
        </w:rPr>
        <w:t xml:space="preserve">=1.3). </w:t>
      </w:r>
    </w:p>
    <w:p w14:paraId="60842F5C" w14:textId="77777777" w:rsidR="004D41BE" w:rsidRDefault="004D41BE" w:rsidP="004D41BE">
      <w:pPr>
        <w:spacing w:line="480" w:lineRule="auto"/>
        <w:contextualSpacing/>
        <w:jc w:val="both"/>
        <w:rPr>
          <w:rFonts w:cstheme="minorHAnsi"/>
          <w:b/>
          <w:bCs/>
          <w:color w:val="000000" w:themeColor="text1"/>
          <w:sz w:val="22"/>
          <w:szCs w:val="22"/>
        </w:rPr>
      </w:pPr>
    </w:p>
    <w:p w14:paraId="4A19B8BC" w14:textId="77777777" w:rsidR="004D41BE" w:rsidRDefault="004D41BE" w:rsidP="004D41BE">
      <w:pPr>
        <w:spacing w:line="480" w:lineRule="auto"/>
        <w:contextualSpacing/>
        <w:jc w:val="both"/>
        <w:rPr>
          <w:rFonts w:cstheme="minorHAnsi"/>
          <w:b/>
          <w:bCs/>
          <w:color w:val="000000" w:themeColor="text1"/>
          <w:sz w:val="22"/>
          <w:szCs w:val="22"/>
        </w:rPr>
      </w:pPr>
      <w:r>
        <w:rPr>
          <w:rFonts w:cstheme="minorHAnsi"/>
          <w:b/>
          <w:bCs/>
          <w:noProof/>
          <w:color w:val="000000" w:themeColor="text1"/>
          <w:sz w:val="22"/>
          <w:szCs w:val="22"/>
        </w:rPr>
        <w:lastRenderedPageBreak/>
        <w:drawing>
          <wp:inline distT="0" distB="0" distL="0" distR="0" wp14:anchorId="32A6D305" wp14:editId="44FA27A1">
            <wp:extent cx="5730362" cy="8092440"/>
            <wp:effectExtent l="0" t="0" r="3810" b="3810"/>
            <wp:docPr id="15" name="Picture 1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4353" cy="8098076"/>
                    </a:xfrm>
                    <a:prstGeom prst="rect">
                      <a:avLst/>
                    </a:prstGeom>
                    <a:noFill/>
                  </pic:spPr>
                </pic:pic>
              </a:graphicData>
            </a:graphic>
          </wp:inline>
        </w:drawing>
      </w:r>
    </w:p>
    <w:p w14:paraId="57D0D5BE" w14:textId="77777777" w:rsidR="004D41BE" w:rsidRDefault="004D41BE" w:rsidP="004D41BE">
      <w:pPr>
        <w:spacing w:line="480" w:lineRule="auto"/>
        <w:contextualSpacing/>
        <w:jc w:val="both"/>
        <w:rPr>
          <w:rFonts w:cstheme="minorHAnsi"/>
          <w:b/>
          <w:bCs/>
          <w:color w:val="000000" w:themeColor="text1"/>
          <w:sz w:val="22"/>
          <w:szCs w:val="22"/>
          <w:lang w:val="en-US"/>
        </w:rPr>
      </w:pPr>
    </w:p>
    <w:p w14:paraId="01A4C4E0" w14:textId="77777777" w:rsidR="004D41BE" w:rsidRDefault="004D41BE" w:rsidP="004D41BE">
      <w:pPr>
        <w:spacing w:line="480" w:lineRule="auto"/>
        <w:contextualSpacing/>
        <w:jc w:val="both"/>
        <w:rPr>
          <w:rFonts w:cstheme="minorHAnsi"/>
          <w:b/>
          <w:bCs/>
          <w:color w:val="000000" w:themeColor="text1"/>
          <w:sz w:val="22"/>
          <w:szCs w:val="22"/>
          <w:lang w:val="en-US"/>
        </w:rPr>
      </w:pPr>
    </w:p>
    <w:p w14:paraId="2921799A" w14:textId="77777777" w:rsidR="004D41BE" w:rsidRDefault="004D41BE" w:rsidP="004D41BE">
      <w:pPr>
        <w:spacing w:line="480" w:lineRule="auto"/>
        <w:contextualSpacing/>
        <w:jc w:val="center"/>
        <w:rPr>
          <w:rFonts w:cstheme="minorHAnsi"/>
          <w:b/>
          <w:bCs/>
          <w:color w:val="000000" w:themeColor="text1"/>
          <w:sz w:val="22"/>
          <w:szCs w:val="22"/>
          <w:lang w:val="en-US"/>
        </w:rPr>
      </w:pPr>
      <w:r>
        <w:rPr>
          <w:rFonts w:cstheme="minorHAnsi"/>
          <w:b/>
          <w:bCs/>
          <w:noProof/>
          <w:color w:val="000000" w:themeColor="text1"/>
          <w:sz w:val="22"/>
          <w:szCs w:val="22"/>
          <w:lang w:val="en-US"/>
        </w:rPr>
        <w:lastRenderedPageBreak/>
        <w:drawing>
          <wp:inline distT="0" distB="0" distL="0" distR="0" wp14:anchorId="4BCF29E6" wp14:editId="6587314C">
            <wp:extent cx="3805121" cy="8348472"/>
            <wp:effectExtent l="0" t="0" r="5080" b="0"/>
            <wp:docPr id="5" name="Picture 5" descr="Graphical user interface, 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chart, scatter chart&#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17033" cy="8374606"/>
                    </a:xfrm>
                    <a:prstGeom prst="rect">
                      <a:avLst/>
                    </a:prstGeom>
                    <a:noFill/>
                  </pic:spPr>
                </pic:pic>
              </a:graphicData>
            </a:graphic>
          </wp:inline>
        </w:drawing>
      </w:r>
    </w:p>
    <w:p w14:paraId="0442D394" w14:textId="77777777" w:rsidR="004D41BE" w:rsidRPr="00B61009" w:rsidRDefault="004D41BE" w:rsidP="004D41BE">
      <w:pPr>
        <w:spacing w:line="480" w:lineRule="auto"/>
        <w:contextualSpacing/>
        <w:jc w:val="both"/>
        <w:rPr>
          <w:rFonts w:cstheme="minorHAnsi"/>
          <w:b/>
          <w:bCs/>
          <w:color w:val="000000" w:themeColor="text1"/>
          <w:sz w:val="22"/>
          <w:szCs w:val="22"/>
        </w:rPr>
      </w:pPr>
      <w:r w:rsidRPr="00340243">
        <w:rPr>
          <w:rFonts w:cstheme="minorHAnsi"/>
          <w:b/>
          <w:color w:val="000000" w:themeColor="text1"/>
          <w:sz w:val="22"/>
          <w:szCs w:val="22"/>
        </w:rPr>
        <w:lastRenderedPageBreak/>
        <w:t xml:space="preserve">Extended Data </w:t>
      </w:r>
      <w:r w:rsidRPr="00B61009">
        <w:rPr>
          <w:rFonts w:cstheme="minorHAnsi"/>
          <w:b/>
          <w:bCs/>
          <w:color w:val="000000" w:themeColor="text1"/>
          <w:sz w:val="22"/>
          <w:szCs w:val="22"/>
          <w:lang w:val="en-US"/>
        </w:rPr>
        <w:t>Figure 4</w:t>
      </w:r>
      <w:r>
        <w:rPr>
          <w:rFonts w:cstheme="minorHAnsi"/>
          <w:b/>
          <w:bCs/>
          <w:color w:val="000000" w:themeColor="text1"/>
          <w:sz w:val="22"/>
          <w:szCs w:val="22"/>
          <w:lang w:val="en-US"/>
        </w:rPr>
        <w:t xml:space="preserve">. </w:t>
      </w:r>
      <w:r w:rsidRPr="00AC3B27">
        <w:rPr>
          <w:rFonts w:cstheme="minorHAnsi"/>
          <w:b/>
          <w:bCs/>
          <w:color w:val="000000" w:themeColor="text1"/>
          <w:sz w:val="22"/>
          <w:szCs w:val="22"/>
          <w:lang w:val="en-US"/>
        </w:rPr>
        <w:t xml:space="preserve">KEGG pathway analysis </w:t>
      </w:r>
      <w:r w:rsidRPr="00FE4FE6">
        <w:rPr>
          <w:rFonts w:cstheme="minorHAnsi"/>
          <w:b/>
          <w:bCs/>
          <w:color w:val="000000" w:themeColor="text1"/>
          <w:sz w:val="22"/>
          <w:szCs w:val="22"/>
          <w:lang w:val="en-US"/>
        </w:rPr>
        <w:t xml:space="preserve">and correlation of expression of the top </w:t>
      </w:r>
      <w:r w:rsidRPr="00FE4FE6">
        <w:rPr>
          <w:rFonts w:cstheme="minorHAnsi"/>
          <w:b/>
          <w:bCs/>
          <w:i/>
          <w:iCs/>
          <w:color w:val="000000" w:themeColor="text1"/>
          <w:sz w:val="22"/>
          <w:szCs w:val="22"/>
          <w:lang w:val="en-US"/>
        </w:rPr>
        <w:t>miR-1304-5p</w:t>
      </w:r>
      <w:r w:rsidRPr="00FE4FE6">
        <w:rPr>
          <w:rFonts w:cstheme="minorHAnsi"/>
          <w:b/>
          <w:bCs/>
          <w:color w:val="000000" w:themeColor="text1"/>
          <w:sz w:val="22"/>
          <w:szCs w:val="22"/>
          <w:lang w:val="en-US"/>
        </w:rPr>
        <w:t xml:space="preserve"> target genes in clinical samples</w:t>
      </w:r>
      <w:r w:rsidRPr="00FC64DC">
        <w:t xml:space="preserve"> </w:t>
      </w:r>
    </w:p>
    <w:p w14:paraId="12BB9073" w14:textId="77777777" w:rsidR="004D41BE" w:rsidRPr="00B61009" w:rsidRDefault="004D41BE" w:rsidP="004D41BE">
      <w:pPr>
        <w:spacing w:line="480" w:lineRule="auto"/>
        <w:contextualSpacing/>
        <w:jc w:val="both"/>
        <w:rPr>
          <w:rFonts w:cstheme="minorHAnsi"/>
          <w:color w:val="000000" w:themeColor="text1"/>
          <w:sz w:val="22"/>
          <w:szCs w:val="22"/>
        </w:rPr>
      </w:pPr>
      <w:r w:rsidRPr="00B61009">
        <w:rPr>
          <w:rFonts w:cstheme="minorHAnsi"/>
          <w:color w:val="000000" w:themeColor="text1"/>
          <w:sz w:val="22"/>
          <w:szCs w:val="22"/>
          <w:lang w:val="en-US"/>
        </w:rPr>
        <w:t>(</w:t>
      </w:r>
      <w:r w:rsidRPr="00B61009">
        <w:rPr>
          <w:rFonts w:cstheme="minorHAnsi"/>
          <w:color w:val="000000" w:themeColor="text1"/>
          <w:sz w:val="22"/>
          <w:szCs w:val="22"/>
        </w:rPr>
        <w:t xml:space="preserve">A) KEGG pathways associated with cancer as determined by the 276 genes selected from microarray and binding prediction analyses. (B-D) Correlation of </w:t>
      </w:r>
      <w:r>
        <w:rPr>
          <w:rFonts w:cstheme="minorHAnsi"/>
          <w:color w:val="000000" w:themeColor="text1"/>
          <w:sz w:val="22"/>
          <w:szCs w:val="22"/>
        </w:rPr>
        <w:t xml:space="preserve">bulk </w:t>
      </w:r>
      <w:r w:rsidRPr="00B61009">
        <w:rPr>
          <w:rFonts w:cstheme="minorHAnsi"/>
          <w:color w:val="000000" w:themeColor="text1"/>
          <w:sz w:val="22"/>
          <w:szCs w:val="22"/>
        </w:rPr>
        <w:t xml:space="preserve">RNA sequencing expression levels of </w:t>
      </w:r>
      <w:r w:rsidRPr="00B61009">
        <w:rPr>
          <w:rFonts w:cstheme="minorHAnsi"/>
          <w:i/>
          <w:iCs/>
          <w:color w:val="000000" w:themeColor="text1"/>
          <w:sz w:val="22"/>
          <w:szCs w:val="22"/>
        </w:rPr>
        <w:t xml:space="preserve">NRAS </w:t>
      </w:r>
      <w:r w:rsidRPr="00B61009">
        <w:rPr>
          <w:rFonts w:cstheme="minorHAnsi"/>
          <w:color w:val="000000" w:themeColor="text1"/>
          <w:sz w:val="22"/>
          <w:szCs w:val="22"/>
        </w:rPr>
        <w:t xml:space="preserve">with </w:t>
      </w:r>
      <w:r w:rsidRPr="00B61009">
        <w:rPr>
          <w:rFonts w:cstheme="minorHAnsi"/>
          <w:i/>
          <w:iCs/>
          <w:color w:val="000000" w:themeColor="text1"/>
          <w:sz w:val="22"/>
          <w:szCs w:val="22"/>
        </w:rPr>
        <w:t>PTPN11</w:t>
      </w:r>
      <w:r w:rsidRPr="00B61009">
        <w:rPr>
          <w:rFonts w:cstheme="minorHAnsi"/>
          <w:color w:val="000000" w:themeColor="text1"/>
          <w:sz w:val="22"/>
          <w:szCs w:val="22"/>
        </w:rPr>
        <w:t xml:space="preserve">, </w:t>
      </w:r>
      <w:r w:rsidRPr="00B61009">
        <w:rPr>
          <w:rFonts w:cstheme="minorHAnsi"/>
          <w:i/>
          <w:iCs/>
          <w:color w:val="000000" w:themeColor="text1"/>
          <w:sz w:val="22"/>
          <w:szCs w:val="22"/>
        </w:rPr>
        <w:t>RRAS</w:t>
      </w:r>
      <w:r w:rsidRPr="00B61009">
        <w:rPr>
          <w:rFonts w:cstheme="minorHAnsi"/>
          <w:color w:val="000000" w:themeColor="text1"/>
          <w:sz w:val="22"/>
          <w:szCs w:val="22"/>
        </w:rPr>
        <w:t xml:space="preserve"> or </w:t>
      </w:r>
      <w:r w:rsidRPr="00B61009">
        <w:rPr>
          <w:rFonts w:cstheme="minorHAnsi"/>
          <w:i/>
          <w:iCs/>
          <w:color w:val="000000" w:themeColor="text1"/>
          <w:sz w:val="22"/>
          <w:szCs w:val="22"/>
        </w:rPr>
        <w:t>IQGAP1</w:t>
      </w:r>
      <w:r w:rsidRPr="00B61009">
        <w:rPr>
          <w:rFonts w:cstheme="minorHAnsi"/>
          <w:color w:val="000000" w:themeColor="text1"/>
          <w:sz w:val="22"/>
          <w:szCs w:val="22"/>
        </w:rPr>
        <w:t xml:space="preserve"> in 143 NB patient tumours </w:t>
      </w:r>
      <w:r>
        <w:rPr>
          <w:rFonts w:cstheme="minorHAnsi"/>
          <w:color w:val="000000" w:themeColor="text1"/>
          <w:sz w:val="22"/>
          <w:szCs w:val="22"/>
        </w:rPr>
        <w:fldChar w:fldCharType="begin" w:fldLock="1"/>
      </w:r>
      <w:r>
        <w:rPr>
          <w:rFonts w:cstheme="minorHAnsi"/>
          <w:color w:val="000000" w:themeColor="text1"/>
          <w:sz w:val="22"/>
          <w:szCs w:val="22"/>
        </w:rPr>
        <w:instrText>ADDIN CSL_CITATION {"citationItems":[{"id":"ITEM-1","itemData":{"URL":"https://ocg.cancer.gov/programs/target available at https://portal.gdc.cancer.gov/projects","author":[{"dropping-particle":"","family":"TARGET","given":"","non-dropping-particle":"","parse-names":false,"suffix":""}],"id":"ITEM-1","issued":{"date-parts":[["2018"]]},"title":"TARGET, 2018, phs000218 (Study ID phs000467)","type":"webpage"},"uris":["http://www.mendeley.com/documents/?uuid=c047affc-f78f-48af-87f4-358219fca4fd"]}],"mendeley":{"formattedCitation":"&lt;sup&gt;33&lt;/sup&gt;","plainTextFormattedCitation":"33","previouslyFormattedCitation":"(33)"},"properties":{"noteIndex":0},"schema":"https://github.com/citation-style-language/schema/raw/master/csl-citation.json"}</w:instrText>
      </w:r>
      <w:r>
        <w:rPr>
          <w:rFonts w:cstheme="minorHAnsi"/>
          <w:color w:val="000000" w:themeColor="text1"/>
          <w:sz w:val="22"/>
          <w:szCs w:val="22"/>
        </w:rPr>
        <w:fldChar w:fldCharType="separate"/>
      </w:r>
      <w:r w:rsidRPr="006733FD">
        <w:rPr>
          <w:rFonts w:cstheme="minorHAnsi"/>
          <w:noProof/>
          <w:color w:val="000000" w:themeColor="text1"/>
          <w:sz w:val="22"/>
          <w:szCs w:val="22"/>
          <w:vertAlign w:val="superscript"/>
        </w:rPr>
        <w:t>33</w:t>
      </w:r>
      <w:r>
        <w:rPr>
          <w:rFonts w:cstheme="minorHAnsi"/>
          <w:color w:val="000000" w:themeColor="text1"/>
          <w:sz w:val="22"/>
          <w:szCs w:val="22"/>
        </w:rPr>
        <w:fldChar w:fldCharType="end"/>
      </w:r>
      <w:r w:rsidRPr="00B61009">
        <w:rPr>
          <w:rFonts w:cstheme="minorHAnsi"/>
          <w:color w:val="000000" w:themeColor="text1"/>
          <w:sz w:val="22"/>
          <w:szCs w:val="22"/>
        </w:rPr>
        <w:t>, shown as a log</w:t>
      </w:r>
      <w:r w:rsidRPr="00B61009">
        <w:rPr>
          <w:rFonts w:cstheme="minorHAnsi"/>
          <w:color w:val="000000" w:themeColor="text1"/>
          <w:sz w:val="22"/>
          <w:szCs w:val="22"/>
          <w:vertAlign w:val="subscript"/>
        </w:rPr>
        <w:t>2</w:t>
      </w:r>
      <w:r w:rsidRPr="00B61009">
        <w:rPr>
          <w:rFonts w:cstheme="minorHAnsi"/>
          <w:color w:val="000000" w:themeColor="text1"/>
          <w:sz w:val="22"/>
          <w:szCs w:val="22"/>
        </w:rPr>
        <w:t xml:space="preserve"> scale. </w:t>
      </w:r>
    </w:p>
    <w:p w14:paraId="40A14609" w14:textId="77777777" w:rsidR="004D41BE" w:rsidRDefault="004D41BE" w:rsidP="004D41BE">
      <w:pPr>
        <w:spacing w:line="480" w:lineRule="auto"/>
        <w:contextualSpacing/>
        <w:jc w:val="both"/>
        <w:rPr>
          <w:rFonts w:cstheme="minorHAnsi"/>
          <w:b/>
          <w:bCs/>
          <w:color w:val="000000" w:themeColor="text1"/>
          <w:sz w:val="22"/>
          <w:szCs w:val="22"/>
        </w:rPr>
      </w:pPr>
    </w:p>
    <w:p w14:paraId="06089696" w14:textId="77777777" w:rsidR="004D41BE" w:rsidRDefault="004D41BE" w:rsidP="004D41BE">
      <w:pPr>
        <w:spacing w:line="480" w:lineRule="auto"/>
        <w:contextualSpacing/>
        <w:jc w:val="both"/>
        <w:rPr>
          <w:rFonts w:cstheme="minorHAnsi"/>
          <w:b/>
          <w:bCs/>
          <w:color w:val="000000" w:themeColor="text1"/>
          <w:sz w:val="22"/>
          <w:szCs w:val="22"/>
        </w:rPr>
      </w:pPr>
      <w:r>
        <w:rPr>
          <w:rFonts w:cstheme="minorHAnsi"/>
          <w:b/>
          <w:bCs/>
          <w:noProof/>
          <w:color w:val="000000" w:themeColor="text1"/>
          <w:sz w:val="22"/>
          <w:szCs w:val="22"/>
        </w:rPr>
        <w:lastRenderedPageBreak/>
        <w:drawing>
          <wp:inline distT="0" distB="0" distL="0" distR="0" wp14:anchorId="0E7B1B29" wp14:editId="23CDB29D">
            <wp:extent cx="5301084" cy="8199755"/>
            <wp:effectExtent l="0" t="0" r="0" b="0"/>
            <wp:docPr id="16" name="Picture 16"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Graphical user interface&#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04245" cy="8204645"/>
                    </a:xfrm>
                    <a:prstGeom prst="rect">
                      <a:avLst/>
                    </a:prstGeom>
                    <a:noFill/>
                  </pic:spPr>
                </pic:pic>
              </a:graphicData>
            </a:graphic>
          </wp:inline>
        </w:drawing>
      </w:r>
    </w:p>
    <w:p w14:paraId="1285A30E" w14:textId="77777777" w:rsidR="004D41BE" w:rsidRDefault="004D41BE" w:rsidP="004D41BE">
      <w:pPr>
        <w:spacing w:line="480" w:lineRule="auto"/>
        <w:contextualSpacing/>
        <w:jc w:val="both"/>
        <w:rPr>
          <w:rFonts w:cstheme="minorHAnsi"/>
          <w:b/>
          <w:bCs/>
          <w:sz w:val="22"/>
          <w:szCs w:val="22"/>
          <w:lang w:val="en-US"/>
        </w:rPr>
      </w:pPr>
    </w:p>
    <w:p w14:paraId="2BCD0A28" w14:textId="77777777" w:rsidR="004D41BE" w:rsidRPr="00154CB3" w:rsidRDefault="004D41BE" w:rsidP="004D41BE">
      <w:pPr>
        <w:spacing w:line="480" w:lineRule="auto"/>
        <w:contextualSpacing/>
        <w:jc w:val="both"/>
        <w:rPr>
          <w:rFonts w:cstheme="minorHAnsi"/>
          <w:b/>
          <w:bCs/>
          <w:sz w:val="22"/>
          <w:szCs w:val="22"/>
        </w:rPr>
      </w:pPr>
      <w:r w:rsidRPr="00340243">
        <w:rPr>
          <w:rFonts w:cstheme="minorHAnsi"/>
          <w:b/>
          <w:color w:val="000000" w:themeColor="text1"/>
          <w:sz w:val="22"/>
          <w:szCs w:val="22"/>
        </w:rPr>
        <w:lastRenderedPageBreak/>
        <w:t>Extended Data</w:t>
      </w:r>
      <w:r w:rsidRPr="00154CB3">
        <w:rPr>
          <w:rFonts w:cstheme="minorHAnsi"/>
          <w:b/>
          <w:bCs/>
          <w:sz w:val="22"/>
          <w:szCs w:val="22"/>
          <w:lang w:val="en-US"/>
        </w:rPr>
        <w:t xml:space="preserve"> Figure 5. </w:t>
      </w:r>
      <w:r w:rsidRPr="00154CB3">
        <w:rPr>
          <w:rFonts w:cstheme="minorHAnsi"/>
          <w:b/>
          <w:bCs/>
          <w:i/>
          <w:iCs/>
          <w:sz w:val="22"/>
          <w:szCs w:val="22"/>
          <w:lang w:val="en-US"/>
        </w:rPr>
        <w:t>NRAS</w:t>
      </w:r>
      <w:r w:rsidRPr="00154CB3">
        <w:rPr>
          <w:rFonts w:cstheme="minorHAnsi"/>
          <w:b/>
          <w:bCs/>
          <w:sz w:val="22"/>
          <w:szCs w:val="22"/>
          <w:lang w:val="en-US"/>
        </w:rPr>
        <w:t xml:space="preserve"> knockdown increases NB sensitivity to ALK TKIs.</w:t>
      </w:r>
    </w:p>
    <w:p w14:paraId="740B719A" w14:textId="77777777" w:rsidR="004D41BE" w:rsidRPr="00154CB3" w:rsidRDefault="004D41BE" w:rsidP="004D41BE">
      <w:pPr>
        <w:spacing w:line="480" w:lineRule="auto"/>
        <w:contextualSpacing/>
        <w:jc w:val="both"/>
        <w:rPr>
          <w:rFonts w:cstheme="minorHAnsi"/>
          <w:sz w:val="22"/>
          <w:szCs w:val="22"/>
        </w:rPr>
      </w:pPr>
      <w:r w:rsidRPr="00154CB3">
        <w:rPr>
          <w:rFonts w:cstheme="minorHAnsi"/>
          <w:sz w:val="22"/>
          <w:szCs w:val="22"/>
        </w:rPr>
        <w:t>(</w:t>
      </w:r>
      <w:r w:rsidRPr="00154CB3">
        <w:rPr>
          <w:rFonts w:cstheme="minorHAnsi"/>
          <w:sz w:val="22"/>
          <w:szCs w:val="22"/>
          <w:lang w:val="en-US"/>
        </w:rPr>
        <w:t xml:space="preserve">A) </w:t>
      </w:r>
      <w:r w:rsidRPr="00154CB3">
        <w:rPr>
          <w:rFonts w:cstheme="minorHAnsi"/>
          <w:sz w:val="22"/>
          <w:szCs w:val="22"/>
        </w:rPr>
        <w:t xml:space="preserve">Transcript levels of </w:t>
      </w:r>
      <w:r w:rsidRPr="00154CB3">
        <w:rPr>
          <w:rFonts w:cstheme="minorHAnsi"/>
          <w:i/>
          <w:iCs/>
          <w:sz w:val="22"/>
          <w:szCs w:val="22"/>
        </w:rPr>
        <w:t>NRAS</w:t>
      </w:r>
      <w:r w:rsidRPr="00154CB3">
        <w:rPr>
          <w:rFonts w:cstheme="minorHAnsi"/>
          <w:sz w:val="22"/>
          <w:szCs w:val="22"/>
        </w:rPr>
        <w:t xml:space="preserve"> following siRNA-mediated knockdown in SHSY-5Y cells detected by RT-qPCR relative to the siRNA-scrambled control (Scr siRNA). (B) Western blot of the indicated proteins in SHSY5Y cells upon NRAS knockdown. (C-D)</w:t>
      </w:r>
      <w:r w:rsidRPr="00154CB3">
        <w:t xml:space="preserve"> </w:t>
      </w:r>
      <w:r w:rsidRPr="00154CB3">
        <w:rPr>
          <w:rFonts w:cstheme="minorHAnsi"/>
          <w:sz w:val="22"/>
          <w:szCs w:val="22"/>
        </w:rPr>
        <w:t>SH-SY5Y cell viability (measured via CTG) and ED</w:t>
      </w:r>
      <w:r w:rsidRPr="00154CB3">
        <w:rPr>
          <w:rFonts w:cstheme="minorHAnsi"/>
          <w:sz w:val="22"/>
          <w:szCs w:val="22"/>
          <w:vertAlign w:val="subscript"/>
        </w:rPr>
        <w:t>50</w:t>
      </w:r>
      <w:r w:rsidRPr="00154CB3">
        <w:rPr>
          <w:rFonts w:cstheme="minorHAnsi"/>
          <w:sz w:val="22"/>
          <w:szCs w:val="22"/>
        </w:rPr>
        <w:t xml:space="preserve"> on a combination of NRAS siRNA transfection and brigatinib (C) or ceritinib (D) treatment for 72 h at the indicated doses. ED</w:t>
      </w:r>
      <w:r w:rsidRPr="00154CB3">
        <w:rPr>
          <w:rFonts w:cstheme="minorHAnsi"/>
          <w:sz w:val="22"/>
          <w:szCs w:val="22"/>
          <w:vertAlign w:val="subscript"/>
        </w:rPr>
        <w:t>50</w:t>
      </w:r>
      <w:r w:rsidRPr="00154CB3">
        <w:rPr>
          <w:rFonts w:cstheme="minorHAnsi"/>
          <w:sz w:val="22"/>
          <w:szCs w:val="22"/>
        </w:rPr>
        <w:t xml:space="preserve"> values shown in the graphs on the right were calculated from the non-linear fit curves shown on the left. Data shown are representative of three independent experiments. Statistical comparisons were conducted with a two-way ANOVA with Sidak`s post-test and Student`s t-test of means ± SEM. *p&lt;0.05, **p&lt;0.01. </w:t>
      </w:r>
      <w:r w:rsidRPr="00154CB3">
        <w:rPr>
          <w:sz w:val="22"/>
          <w:szCs w:val="22"/>
        </w:rPr>
        <w:t xml:space="preserve"> (E) </w:t>
      </w:r>
      <w:r w:rsidRPr="00154CB3">
        <w:rPr>
          <w:rFonts w:cstheme="minorHAnsi"/>
          <w:sz w:val="22"/>
          <w:szCs w:val="22"/>
        </w:rPr>
        <w:t>Apoptosis determined by caspase 3/7 activity in SH-SY5Y cells treated with a combination of a NRAS siRNA and brigatinib (1000nM) or ceritinib (1000nM). Results shown are representative of three independent experiments. Significance was determined using a one-way ANOVA with Tukey`s post-test of the means ± SEM. ***p&lt;0.001, ****p&lt;0.0001.</w:t>
      </w:r>
    </w:p>
    <w:p w14:paraId="76120F50" w14:textId="77777777" w:rsidR="004D41BE" w:rsidRDefault="004D41BE" w:rsidP="004D41BE">
      <w:pPr>
        <w:spacing w:line="480" w:lineRule="auto"/>
        <w:contextualSpacing/>
        <w:jc w:val="both"/>
        <w:rPr>
          <w:rFonts w:cstheme="minorHAnsi"/>
          <w:b/>
          <w:bCs/>
          <w:color w:val="000000" w:themeColor="text1"/>
          <w:sz w:val="22"/>
          <w:szCs w:val="22"/>
        </w:rPr>
      </w:pPr>
    </w:p>
    <w:p w14:paraId="2DE25F55" w14:textId="77777777" w:rsidR="004D41BE" w:rsidRDefault="004D41BE" w:rsidP="004D41BE">
      <w:pPr>
        <w:spacing w:line="480" w:lineRule="auto"/>
        <w:contextualSpacing/>
        <w:jc w:val="both"/>
        <w:rPr>
          <w:rFonts w:cstheme="minorHAnsi"/>
          <w:b/>
          <w:bCs/>
          <w:color w:val="000000" w:themeColor="text1"/>
          <w:sz w:val="22"/>
          <w:szCs w:val="22"/>
        </w:rPr>
      </w:pPr>
      <w:r>
        <w:rPr>
          <w:rFonts w:cstheme="minorHAnsi"/>
          <w:b/>
          <w:bCs/>
          <w:noProof/>
          <w:color w:val="000000" w:themeColor="text1"/>
          <w:sz w:val="22"/>
          <w:szCs w:val="22"/>
        </w:rPr>
        <w:lastRenderedPageBreak/>
        <w:drawing>
          <wp:inline distT="0" distB="0" distL="0" distR="0" wp14:anchorId="2549E5C9" wp14:editId="1F012511">
            <wp:extent cx="5624653" cy="4700270"/>
            <wp:effectExtent l="0" t="0" r="0" b="5080"/>
            <wp:docPr id="17" name="Picture 17" descr="A picture containing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timeline&#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31223" cy="4705760"/>
                    </a:xfrm>
                    <a:prstGeom prst="rect">
                      <a:avLst/>
                    </a:prstGeom>
                    <a:noFill/>
                  </pic:spPr>
                </pic:pic>
              </a:graphicData>
            </a:graphic>
          </wp:inline>
        </w:drawing>
      </w:r>
    </w:p>
    <w:p w14:paraId="60700FAD" w14:textId="77777777" w:rsidR="004D41BE" w:rsidRPr="00B61009" w:rsidRDefault="004D41BE" w:rsidP="004D41BE">
      <w:pPr>
        <w:spacing w:line="480" w:lineRule="auto"/>
        <w:contextualSpacing/>
        <w:jc w:val="both"/>
        <w:rPr>
          <w:rFonts w:cstheme="minorHAnsi"/>
          <w:b/>
          <w:bCs/>
          <w:color w:val="000000" w:themeColor="text1"/>
          <w:sz w:val="22"/>
          <w:szCs w:val="22"/>
        </w:rPr>
      </w:pPr>
      <w:r w:rsidRPr="00340243">
        <w:rPr>
          <w:rFonts w:cstheme="minorHAnsi"/>
          <w:b/>
          <w:color w:val="000000" w:themeColor="text1"/>
          <w:sz w:val="22"/>
          <w:szCs w:val="22"/>
        </w:rPr>
        <w:t>Extended Data</w:t>
      </w:r>
      <w:r w:rsidRPr="00B61009">
        <w:rPr>
          <w:rFonts w:cstheme="minorHAnsi"/>
          <w:b/>
          <w:bCs/>
          <w:color w:val="000000" w:themeColor="text1"/>
          <w:sz w:val="22"/>
          <w:szCs w:val="22"/>
          <w:lang w:val="en-US"/>
        </w:rPr>
        <w:t xml:space="preserve"> Figure </w:t>
      </w:r>
      <w:r>
        <w:rPr>
          <w:rFonts w:cstheme="minorHAnsi"/>
          <w:b/>
          <w:bCs/>
          <w:color w:val="000000" w:themeColor="text1"/>
          <w:sz w:val="22"/>
          <w:szCs w:val="22"/>
          <w:lang w:val="en-US"/>
        </w:rPr>
        <w:t xml:space="preserve">6. </w:t>
      </w:r>
      <w:r w:rsidRPr="00AC3B27">
        <w:rPr>
          <w:rFonts w:cstheme="minorHAnsi"/>
          <w:b/>
          <w:bCs/>
          <w:color w:val="000000" w:themeColor="text1"/>
          <w:sz w:val="22"/>
          <w:szCs w:val="22"/>
          <w:lang w:val="en-US"/>
        </w:rPr>
        <w:t>Two-dimensional and three-dimensional representation of ALK TKI and lonafarnib synergism NB cells</w:t>
      </w:r>
    </w:p>
    <w:p w14:paraId="46164AD8" w14:textId="77777777" w:rsidR="004D41BE" w:rsidRDefault="004D41BE" w:rsidP="004D41BE">
      <w:pPr>
        <w:spacing w:line="480" w:lineRule="auto"/>
        <w:contextualSpacing/>
        <w:jc w:val="both"/>
        <w:rPr>
          <w:rFonts w:cstheme="minorHAnsi"/>
          <w:color w:val="000000" w:themeColor="text1"/>
          <w:sz w:val="22"/>
          <w:szCs w:val="22"/>
          <w:lang w:val="en-US"/>
        </w:rPr>
      </w:pPr>
      <w:r w:rsidRPr="00B61009">
        <w:rPr>
          <w:rFonts w:cstheme="minorHAnsi"/>
          <w:color w:val="000000" w:themeColor="text1"/>
          <w:sz w:val="22"/>
          <w:szCs w:val="22"/>
          <w:lang w:val="en-US"/>
        </w:rPr>
        <w:t xml:space="preserve">Loewe synergy scores calculated with the Synergy Finder tool </w:t>
      </w:r>
      <w:r>
        <w:rPr>
          <w:rFonts w:cstheme="minorHAnsi"/>
          <w:color w:val="000000" w:themeColor="text1"/>
          <w:sz w:val="22"/>
          <w:szCs w:val="22"/>
          <w:lang w:val="en-US"/>
        </w:rPr>
        <w:fldChar w:fldCharType="begin" w:fldLock="1"/>
      </w:r>
      <w:r>
        <w:rPr>
          <w:rFonts w:cstheme="minorHAnsi"/>
          <w:color w:val="000000" w:themeColor="text1"/>
          <w:sz w:val="22"/>
          <w:szCs w:val="22"/>
          <w:lang w:val="en-US"/>
        </w:rPr>
        <w:instrText>ADDIN CSL_CITATION {"citationItems":[{"id":"ITEM-1","itemData":{"id":"ITEM-1","issued":{"date-parts":[["0"]]},"title":"Synergy Finder","type":"article"},"uris":["http://www.mendeley.com/documents/?uuid=b3a1f6a3-5ba9-4827-bffe-bd11f67d3bf9"]}],"mendeley":{"formattedCitation":"&lt;sup&gt;84&lt;/sup&gt;","plainTextFormattedCitation":"84","previouslyFormattedCitation":"(26)"},"properties":{"noteIndex":0},"schema":"https://github.com/citation-style-language/schema/raw/master/csl-citation.json"}</w:instrText>
      </w:r>
      <w:r>
        <w:rPr>
          <w:rFonts w:cstheme="minorHAnsi"/>
          <w:color w:val="000000" w:themeColor="text1"/>
          <w:sz w:val="22"/>
          <w:szCs w:val="22"/>
          <w:lang w:val="en-US"/>
        </w:rPr>
        <w:fldChar w:fldCharType="separate"/>
      </w:r>
      <w:r w:rsidRPr="006733FD">
        <w:rPr>
          <w:rFonts w:cstheme="minorHAnsi"/>
          <w:noProof/>
          <w:color w:val="000000" w:themeColor="text1"/>
          <w:sz w:val="22"/>
          <w:szCs w:val="22"/>
          <w:vertAlign w:val="superscript"/>
          <w:lang w:val="en-US"/>
        </w:rPr>
        <w:t>84</w:t>
      </w:r>
      <w:r>
        <w:rPr>
          <w:rFonts w:cstheme="minorHAnsi"/>
          <w:color w:val="000000" w:themeColor="text1"/>
          <w:sz w:val="22"/>
          <w:szCs w:val="22"/>
          <w:lang w:val="en-US"/>
        </w:rPr>
        <w:fldChar w:fldCharType="end"/>
      </w:r>
      <w:r>
        <w:rPr>
          <w:rFonts w:cstheme="minorHAnsi"/>
          <w:color w:val="000000" w:themeColor="text1"/>
          <w:sz w:val="22"/>
          <w:szCs w:val="22"/>
          <w:lang w:val="en-US"/>
        </w:rPr>
        <w:t xml:space="preserve"> </w:t>
      </w:r>
      <w:r w:rsidRPr="00B61009">
        <w:rPr>
          <w:rFonts w:cstheme="minorHAnsi"/>
          <w:color w:val="000000" w:themeColor="text1"/>
          <w:sz w:val="22"/>
          <w:szCs w:val="22"/>
          <w:lang w:val="en-US"/>
        </w:rPr>
        <w:t xml:space="preserve">for SH-SY5Y cells treated with a combination of lonafarnib and brigatinib (A) or lonafarnib and ceritinib (B) </w:t>
      </w:r>
      <w:r>
        <w:rPr>
          <w:rFonts w:cstheme="minorHAnsi"/>
          <w:color w:val="000000" w:themeColor="text1"/>
          <w:sz w:val="22"/>
          <w:szCs w:val="22"/>
          <w:lang w:val="en-US"/>
        </w:rPr>
        <w:t xml:space="preserve">and </w:t>
      </w:r>
      <w:r w:rsidRPr="00B61009">
        <w:rPr>
          <w:rFonts w:cstheme="minorHAnsi"/>
          <w:color w:val="000000" w:themeColor="text1"/>
          <w:sz w:val="22"/>
          <w:szCs w:val="22"/>
          <w:lang w:val="en-US"/>
        </w:rPr>
        <w:t>for KELLY cells treated with lonafarnib and brigatinib (C) or lonafarnib and ceritinib (D). Data are shown as both 2D and 3D models and are represented as color gradients from antagonistic (darker green, loewe score &lt;-10) to synergistic (darker red, loewe score &gt;10). Synergy scores &gt;- 10 and &lt;10 are considered additive.</w:t>
      </w:r>
    </w:p>
    <w:p w14:paraId="604228FE" w14:textId="77777777" w:rsidR="004D41BE" w:rsidRDefault="004D41BE" w:rsidP="004D41BE">
      <w:pPr>
        <w:spacing w:line="480" w:lineRule="auto"/>
        <w:contextualSpacing/>
        <w:jc w:val="both"/>
        <w:rPr>
          <w:rFonts w:cstheme="minorHAnsi"/>
          <w:color w:val="000000" w:themeColor="text1"/>
          <w:sz w:val="22"/>
          <w:szCs w:val="22"/>
          <w:lang w:val="en-US"/>
        </w:rPr>
      </w:pPr>
    </w:p>
    <w:p w14:paraId="652B8105" w14:textId="77777777" w:rsidR="004D41BE" w:rsidRDefault="004D41BE" w:rsidP="004D41BE">
      <w:pPr>
        <w:spacing w:line="480" w:lineRule="auto"/>
        <w:contextualSpacing/>
        <w:jc w:val="center"/>
        <w:rPr>
          <w:rFonts w:cstheme="minorHAnsi"/>
          <w:color w:val="000000" w:themeColor="text1"/>
          <w:sz w:val="22"/>
          <w:szCs w:val="22"/>
          <w:lang w:val="en-US"/>
        </w:rPr>
      </w:pPr>
      <w:r>
        <w:rPr>
          <w:rFonts w:cstheme="minorHAnsi"/>
          <w:noProof/>
          <w:color w:val="000000" w:themeColor="text1"/>
          <w:sz w:val="22"/>
          <w:szCs w:val="22"/>
          <w:lang w:val="en-US"/>
        </w:rPr>
        <w:lastRenderedPageBreak/>
        <w:drawing>
          <wp:inline distT="0" distB="0" distL="0" distR="0" wp14:anchorId="09F7B6E0" wp14:editId="7F2F5D9A">
            <wp:extent cx="4662846" cy="8177530"/>
            <wp:effectExtent l="0" t="0" r="4445" b="0"/>
            <wp:docPr id="10" name="Picture 10"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imeline&#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79556" cy="8206836"/>
                    </a:xfrm>
                    <a:prstGeom prst="rect">
                      <a:avLst/>
                    </a:prstGeom>
                    <a:noFill/>
                  </pic:spPr>
                </pic:pic>
              </a:graphicData>
            </a:graphic>
          </wp:inline>
        </w:drawing>
      </w:r>
    </w:p>
    <w:p w14:paraId="51019A78" w14:textId="77777777" w:rsidR="004D41BE" w:rsidRDefault="004D41BE" w:rsidP="004D41BE">
      <w:pPr>
        <w:spacing w:line="480" w:lineRule="auto"/>
        <w:contextualSpacing/>
        <w:jc w:val="both"/>
        <w:rPr>
          <w:rFonts w:cstheme="minorHAnsi"/>
          <w:b/>
          <w:bCs/>
          <w:sz w:val="22"/>
          <w:szCs w:val="22"/>
          <w:lang w:val="en-US"/>
        </w:rPr>
      </w:pPr>
      <w:r w:rsidRPr="00340243">
        <w:rPr>
          <w:rFonts w:cstheme="minorHAnsi"/>
          <w:b/>
          <w:color w:val="000000" w:themeColor="text1"/>
          <w:sz w:val="22"/>
          <w:szCs w:val="22"/>
        </w:rPr>
        <w:t>Extended Data</w:t>
      </w:r>
      <w:r w:rsidRPr="00154CB3">
        <w:rPr>
          <w:rFonts w:cstheme="minorHAnsi"/>
          <w:b/>
          <w:bCs/>
          <w:sz w:val="22"/>
          <w:szCs w:val="22"/>
          <w:lang w:val="en-US"/>
        </w:rPr>
        <w:t xml:space="preserve"> Figure </w:t>
      </w:r>
      <w:r>
        <w:rPr>
          <w:rFonts w:cstheme="minorHAnsi"/>
          <w:b/>
          <w:bCs/>
          <w:sz w:val="22"/>
          <w:szCs w:val="22"/>
          <w:lang w:val="en-US"/>
        </w:rPr>
        <w:t>7</w:t>
      </w:r>
      <w:r w:rsidRPr="00154CB3">
        <w:rPr>
          <w:rFonts w:cstheme="minorHAnsi"/>
          <w:b/>
          <w:bCs/>
          <w:sz w:val="22"/>
          <w:szCs w:val="22"/>
          <w:lang w:val="en-US"/>
        </w:rPr>
        <w:t xml:space="preserve"> Two-dimensional and three-dimensional representation of ALK TKI and lonafarnib synergism in NB PDX cells</w:t>
      </w:r>
    </w:p>
    <w:p w14:paraId="458FDEE3" w14:textId="77777777" w:rsidR="004D41BE" w:rsidRPr="00723593" w:rsidRDefault="004D41BE" w:rsidP="004D41BE">
      <w:pPr>
        <w:spacing w:line="480" w:lineRule="auto"/>
        <w:contextualSpacing/>
        <w:jc w:val="both"/>
        <w:rPr>
          <w:rFonts w:cstheme="minorHAnsi"/>
          <w:b/>
          <w:bCs/>
          <w:sz w:val="22"/>
          <w:szCs w:val="22"/>
        </w:rPr>
      </w:pPr>
      <w:r w:rsidRPr="00154CB3">
        <w:rPr>
          <w:rFonts w:cstheme="minorHAnsi"/>
          <w:sz w:val="22"/>
          <w:szCs w:val="22"/>
          <w:lang w:val="en-US"/>
        </w:rPr>
        <w:lastRenderedPageBreak/>
        <w:t xml:space="preserve">Loewe synergy scores calculated with the Synergy Finder tool </w:t>
      </w:r>
      <w:r w:rsidRPr="00154CB3">
        <w:rPr>
          <w:rFonts w:cstheme="minorHAnsi"/>
          <w:sz w:val="22"/>
          <w:szCs w:val="22"/>
          <w:lang w:val="en-US"/>
        </w:rPr>
        <w:fldChar w:fldCharType="begin" w:fldLock="1"/>
      </w:r>
      <w:r>
        <w:rPr>
          <w:rFonts w:cstheme="minorHAnsi"/>
          <w:sz w:val="22"/>
          <w:szCs w:val="22"/>
          <w:lang w:val="en-US"/>
        </w:rPr>
        <w:instrText>ADDIN CSL_CITATION {"citationItems":[{"id":"ITEM-1","itemData":{"id":"ITEM-1","issued":{"date-parts":[["0"]]},"title":"Synergy Finder","type":"article"},"uris":["http://www.mendeley.com/documents/?uuid=b3a1f6a3-5ba9-4827-bffe-bd11f67d3bf9"]}],"mendeley":{"formattedCitation":"&lt;sup&gt;84&lt;/sup&gt;","plainTextFormattedCitation":"84","previouslyFormattedCitation":"(26)"},"properties":{"noteIndex":0},"schema":"https://github.com/citation-style-language/schema/raw/master/csl-citation.json"}</w:instrText>
      </w:r>
      <w:r w:rsidRPr="00154CB3">
        <w:rPr>
          <w:rFonts w:cstheme="minorHAnsi"/>
          <w:sz w:val="22"/>
          <w:szCs w:val="22"/>
          <w:lang w:val="en-US"/>
        </w:rPr>
        <w:fldChar w:fldCharType="separate"/>
      </w:r>
      <w:r w:rsidRPr="006733FD">
        <w:rPr>
          <w:rFonts w:cstheme="minorHAnsi"/>
          <w:noProof/>
          <w:sz w:val="22"/>
          <w:szCs w:val="22"/>
          <w:vertAlign w:val="superscript"/>
          <w:lang w:val="en-US"/>
        </w:rPr>
        <w:t>84</w:t>
      </w:r>
      <w:r w:rsidRPr="00154CB3">
        <w:rPr>
          <w:rFonts w:cstheme="minorHAnsi"/>
          <w:sz w:val="22"/>
          <w:szCs w:val="22"/>
          <w:lang w:val="en-US"/>
        </w:rPr>
        <w:fldChar w:fldCharType="end"/>
      </w:r>
      <w:r w:rsidRPr="00154CB3">
        <w:rPr>
          <w:rFonts w:cstheme="minorHAnsi"/>
          <w:sz w:val="22"/>
          <w:szCs w:val="22"/>
          <w:lang w:val="en-US"/>
        </w:rPr>
        <w:t xml:space="preserve"> for </w:t>
      </w:r>
      <w:r w:rsidRPr="00B61009">
        <w:rPr>
          <w:rFonts w:cstheme="minorHAnsi"/>
          <w:color w:val="000000" w:themeColor="text1"/>
          <w:sz w:val="22"/>
          <w:szCs w:val="22"/>
          <w:lang w:val="en-US"/>
        </w:rPr>
        <w:t xml:space="preserve">FELIX (COG-N-426) </w:t>
      </w:r>
      <w:r>
        <w:rPr>
          <w:rFonts w:cstheme="minorHAnsi"/>
          <w:color w:val="000000" w:themeColor="text1"/>
          <w:sz w:val="22"/>
          <w:szCs w:val="22"/>
          <w:lang w:val="en-US"/>
        </w:rPr>
        <w:t>(A)</w:t>
      </w:r>
      <w:r>
        <w:rPr>
          <w:rFonts w:cstheme="minorHAnsi"/>
          <w:b/>
          <w:bCs/>
          <w:sz w:val="22"/>
          <w:szCs w:val="22"/>
        </w:rPr>
        <w:t xml:space="preserve">, </w:t>
      </w:r>
      <w:r w:rsidRPr="00154CB3">
        <w:rPr>
          <w:rFonts w:cstheme="minorHAnsi"/>
          <w:sz w:val="22"/>
          <w:szCs w:val="22"/>
          <w:lang w:val="en-US"/>
        </w:rPr>
        <w:t>COG-N-557</w:t>
      </w:r>
      <w:r>
        <w:rPr>
          <w:rFonts w:cstheme="minorHAnsi"/>
          <w:sz w:val="22"/>
          <w:szCs w:val="22"/>
          <w:lang w:val="en-US"/>
        </w:rPr>
        <w:t xml:space="preserve"> (B)</w:t>
      </w:r>
      <w:r w:rsidRPr="00154CB3">
        <w:rPr>
          <w:rFonts w:cstheme="minorHAnsi"/>
          <w:sz w:val="22"/>
          <w:szCs w:val="22"/>
          <w:lang w:val="en-US"/>
        </w:rPr>
        <w:t xml:space="preserve"> and for COG-N-415 </w:t>
      </w:r>
      <w:r>
        <w:rPr>
          <w:rFonts w:cstheme="minorHAnsi"/>
          <w:sz w:val="22"/>
          <w:szCs w:val="22"/>
          <w:lang w:val="en-US"/>
        </w:rPr>
        <w:t xml:space="preserve">(C) </w:t>
      </w:r>
      <w:r w:rsidRPr="00154CB3">
        <w:rPr>
          <w:rFonts w:cstheme="minorHAnsi"/>
          <w:sz w:val="22"/>
          <w:szCs w:val="22"/>
          <w:lang w:val="en-US"/>
        </w:rPr>
        <w:t>cells treated with lonafarnib and ceritinib for 72 h. Data are shown as both 2D and 3D models and are represented as color gradients from antagonistic (darker green, loewe score &lt;-10) to synergistic (darker red, loewe score &gt;10). Synergy scores &gt;- 10 and &lt;10 are considered additive.</w:t>
      </w:r>
    </w:p>
    <w:p w14:paraId="3B667685" w14:textId="77777777" w:rsidR="004D41BE" w:rsidRDefault="004D41BE" w:rsidP="004D41BE">
      <w:pPr>
        <w:spacing w:line="480" w:lineRule="auto"/>
        <w:contextualSpacing/>
        <w:jc w:val="both"/>
        <w:rPr>
          <w:rFonts w:cstheme="minorHAnsi"/>
          <w:b/>
          <w:bCs/>
          <w:color w:val="000000" w:themeColor="text1"/>
          <w:sz w:val="22"/>
          <w:szCs w:val="22"/>
        </w:rPr>
      </w:pPr>
    </w:p>
    <w:p w14:paraId="64DD8DCD" w14:textId="77777777" w:rsidR="004D41BE" w:rsidRDefault="004D41BE" w:rsidP="004D41BE">
      <w:pPr>
        <w:spacing w:line="480" w:lineRule="auto"/>
        <w:contextualSpacing/>
        <w:jc w:val="both"/>
        <w:rPr>
          <w:rFonts w:cstheme="minorHAnsi"/>
          <w:b/>
          <w:bCs/>
          <w:color w:val="000000" w:themeColor="text1"/>
          <w:sz w:val="22"/>
          <w:szCs w:val="22"/>
        </w:rPr>
      </w:pPr>
      <w:r w:rsidRPr="000462DB">
        <w:rPr>
          <w:rFonts w:cstheme="minorHAnsi"/>
          <w:b/>
          <w:bCs/>
          <w:noProof/>
          <w:color w:val="000000" w:themeColor="text1"/>
          <w:sz w:val="22"/>
          <w:szCs w:val="22"/>
        </w:rPr>
        <w:drawing>
          <wp:inline distT="0" distB="0" distL="0" distR="0" wp14:anchorId="5726DFEB" wp14:editId="096927B2">
            <wp:extent cx="5727700" cy="1215390"/>
            <wp:effectExtent l="0" t="0" r="6350" b="3810"/>
            <wp:docPr id="7" name="Picture 1" descr="Diagram&#10;&#10;Description automatically generated with medium confidence">
              <a:extLst xmlns:a="http://schemas.openxmlformats.org/drawingml/2006/main">
                <a:ext uri="{FF2B5EF4-FFF2-40B4-BE49-F238E27FC236}">
                  <a16:creationId xmlns:a16="http://schemas.microsoft.com/office/drawing/2014/main" id="{D61A6DB5-1FC4-4E4B-B231-4D172066787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descr="Diagram&#10;&#10;Description automatically generated with medium confidence">
                      <a:extLst>
                        <a:ext uri="{FF2B5EF4-FFF2-40B4-BE49-F238E27FC236}">
                          <a16:creationId xmlns:a16="http://schemas.microsoft.com/office/drawing/2014/main" id="{D61A6DB5-1FC4-4E4B-B231-4D172066787E}"/>
                        </a:ext>
                      </a:extLst>
                    </pic:cNvPr>
                    <pic:cNvPicPr>
                      <a:picLocks noChangeAspect="1"/>
                    </pic:cNvPicPr>
                  </pic:nvPicPr>
                  <pic:blipFill>
                    <a:blip r:embed="rId13"/>
                    <a:stretch>
                      <a:fillRect/>
                    </a:stretch>
                  </pic:blipFill>
                  <pic:spPr>
                    <a:xfrm>
                      <a:off x="0" y="0"/>
                      <a:ext cx="5727700" cy="1215390"/>
                    </a:xfrm>
                    <a:prstGeom prst="rect">
                      <a:avLst/>
                    </a:prstGeom>
                  </pic:spPr>
                </pic:pic>
              </a:graphicData>
            </a:graphic>
          </wp:inline>
        </w:drawing>
      </w:r>
    </w:p>
    <w:p w14:paraId="2295E83C" w14:textId="77777777" w:rsidR="004D41BE" w:rsidRDefault="004D41BE" w:rsidP="004D41BE">
      <w:pPr>
        <w:spacing w:line="480" w:lineRule="auto"/>
        <w:contextualSpacing/>
        <w:jc w:val="both"/>
        <w:rPr>
          <w:rFonts w:cstheme="minorHAnsi"/>
          <w:b/>
          <w:bCs/>
          <w:color w:val="000000" w:themeColor="text1"/>
          <w:sz w:val="22"/>
          <w:szCs w:val="22"/>
          <w:lang w:val="en-US"/>
        </w:rPr>
      </w:pPr>
      <w:r w:rsidRPr="00340243">
        <w:rPr>
          <w:rFonts w:cstheme="minorHAnsi"/>
          <w:b/>
          <w:color w:val="000000" w:themeColor="text1"/>
          <w:sz w:val="22"/>
          <w:szCs w:val="22"/>
        </w:rPr>
        <w:t>Extended Data</w:t>
      </w:r>
      <w:r w:rsidRPr="00C95FB9">
        <w:rPr>
          <w:rFonts w:cstheme="minorHAnsi"/>
          <w:b/>
          <w:bCs/>
          <w:color w:val="000000" w:themeColor="text1"/>
          <w:sz w:val="22"/>
          <w:szCs w:val="22"/>
          <w:lang w:val="en-US"/>
        </w:rPr>
        <w:t xml:space="preserve"> Figure </w:t>
      </w:r>
      <w:r>
        <w:rPr>
          <w:rFonts w:cstheme="minorHAnsi"/>
          <w:b/>
          <w:bCs/>
          <w:color w:val="000000" w:themeColor="text1"/>
          <w:sz w:val="22"/>
          <w:szCs w:val="22"/>
          <w:lang w:val="en-US"/>
        </w:rPr>
        <w:t xml:space="preserve">8. </w:t>
      </w:r>
      <w:r w:rsidRPr="00AC3B27">
        <w:rPr>
          <w:rFonts w:cstheme="minorHAnsi"/>
          <w:b/>
          <w:bCs/>
          <w:color w:val="000000" w:themeColor="text1"/>
          <w:sz w:val="22"/>
          <w:szCs w:val="22"/>
          <w:lang w:val="en-US"/>
        </w:rPr>
        <w:t>Flowchart of the</w:t>
      </w:r>
      <w:r w:rsidRPr="00AC3B27">
        <w:rPr>
          <w:rFonts w:cstheme="minorHAnsi"/>
          <w:b/>
          <w:bCs/>
          <w:i/>
          <w:iCs/>
          <w:color w:val="000000" w:themeColor="text1"/>
          <w:sz w:val="22"/>
          <w:szCs w:val="22"/>
          <w:lang w:val="en-US"/>
        </w:rPr>
        <w:t xml:space="preserve"> in vivo</w:t>
      </w:r>
      <w:r w:rsidRPr="00AC3B27">
        <w:rPr>
          <w:rFonts w:cstheme="minorHAnsi"/>
          <w:b/>
          <w:bCs/>
          <w:color w:val="000000" w:themeColor="text1"/>
          <w:sz w:val="22"/>
          <w:szCs w:val="22"/>
          <w:lang w:val="en-US"/>
        </w:rPr>
        <w:t xml:space="preserve"> study</w:t>
      </w:r>
      <w:r w:rsidRPr="00C95FB9">
        <w:rPr>
          <w:rFonts w:cstheme="minorHAnsi"/>
          <w:b/>
          <w:bCs/>
          <w:color w:val="000000" w:themeColor="text1"/>
          <w:sz w:val="22"/>
          <w:szCs w:val="22"/>
          <w:lang w:val="en-US"/>
        </w:rPr>
        <w:t xml:space="preserve"> </w:t>
      </w:r>
    </w:p>
    <w:p w14:paraId="6BFB1BD0" w14:textId="77777777" w:rsidR="004D41BE" w:rsidRPr="00C95FB9" w:rsidRDefault="004D41BE" w:rsidP="004D41BE">
      <w:pPr>
        <w:spacing w:line="480" w:lineRule="auto"/>
        <w:contextualSpacing/>
        <w:jc w:val="both"/>
        <w:rPr>
          <w:rFonts w:cstheme="minorHAnsi"/>
          <w:color w:val="000000" w:themeColor="text1"/>
          <w:sz w:val="22"/>
          <w:szCs w:val="22"/>
        </w:rPr>
      </w:pPr>
      <w:r w:rsidRPr="00C95FB9">
        <w:rPr>
          <w:rFonts w:cstheme="minorHAnsi"/>
          <w:color w:val="000000" w:themeColor="text1"/>
          <w:sz w:val="22"/>
          <w:szCs w:val="22"/>
          <w:lang w:val="en-US"/>
        </w:rPr>
        <w:t xml:space="preserve">Flowchart of the </w:t>
      </w:r>
      <w:r w:rsidRPr="009162FE">
        <w:rPr>
          <w:rFonts w:cstheme="minorHAnsi"/>
          <w:i/>
          <w:iCs/>
          <w:color w:val="000000" w:themeColor="text1"/>
          <w:sz w:val="22"/>
          <w:szCs w:val="22"/>
          <w:lang w:val="en-US"/>
        </w:rPr>
        <w:t>in vivo</w:t>
      </w:r>
      <w:r w:rsidRPr="00C95FB9">
        <w:rPr>
          <w:rFonts w:cstheme="minorHAnsi"/>
          <w:color w:val="000000" w:themeColor="text1"/>
          <w:sz w:val="22"/>
          <w:szCs w:val="22"/>
          <w:lang w:val="en-US"/>
        </w:rPr>
        <w:t xml:space="preserve"> study of ceritinib and lonafarnib treatment of </w:t>
      </w:r>
      <w:r w:rsidRPr="00C95FB9">
        <w:rPr>
          <w:rFonts w:cstheme="minorHAnsi"/>
          <w:color w:val="000000" w:themeColor="text1"/>
          <w:sz w:val="22"/>
          <w:szCs w:val="22"/>
        </w:rPr>
        <w:t>FELIX (COG-N-426x) PDX models. PO = oral gavage administration. MRI = magnetic resonance imaging.</w:t>
      </w:r>
    </w:p>
    <w:p w14:paraId="1B66E87C" w14:textId="77777777" w:rsidR="004D41BE" w:rsidRDefault="004D41BE" w:rsidP="004D41BE">
      <w:pPr>
        <w:spacing w:line="480" w:lineRule="auto"/>
        <w:contextualSpacing/>
        <w:jc w:val="both"/>
        <w:rPr>
          <w:rFonts w:cstheme="minorHAnsi"/>
          <w:color w:val="000000" w:themeColor="text1"/>
          <w:sz w:val="22"/>
          <w:szCs w:val="22"/>
        </w:rPr>
      </w:pPr>
    </w:p>
    <w:p w14:paraId="55F1A281" w14:textId="77777777" w:rsidR="004D41BE" w:rsidRDefault="004D41BE" w:rsidP="004D41BE">
      <w:pPr>
        <w:spacing w:line="480" w:lineRule="auto"/>
        <w:contextualSpacing/>
        <w:jc w:val="center"/>
        <w:rPr>
          <w:rFonts w:cstheme="minorHAnsi"/>
          <w:color w:val="000000" w:themeColor="text1"/>
          <w:sz w:val="22"/>
          <w:szCs w:val="22"/>
        </w:rPr>
      </w:pPr>
      <w:r>
        <w:rPr>
          <w:rFonts w:cstheme="minorHAnsi"/>
          <w:noProof/>
          <w:color w:val="000000" w:themeColor="text1"/>
          <w:sz w:val="22"/>
          <w:szCs w:val="22"/>
        </w:rPr>
        <w:lastRenderedPageBreak/>
        <w:drawing>
          <wp:inline distT="0" distB="0" distL="0" distR="0" wp14:anchorId="22248BAB" wp14:editId="6F0ED4D8">
            <wp:extent cx="4888002" cy="8450287"/>
            <wp:effectExtent l="0" t="0" r="8255" b="8255"/>
            <wp:docPr id="8" name="Picture 8"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98190" cy="8467900"/>
                    </a:xfrm>
                    <a:prstGeom prst="rect">
                      <a:avLst/>
                    </a:prstGeom>
                    <a:noFill/>
                  </pic:spPr>
                </pic:pic>
              </a:graphicData>
            </a:graphic>
          </wp:inline>
        </w:drawing>
      </w:r>
    </w:p>
    <w:p w14:paraId="31F41751" w14:textId="77777777" w:rsidR="004D41BE" w:rsidRPr="00C95FB9" w:rsidRDefault="004D41BE" w:rsidP="004D41BE">
      <w:pPr>
        <w:spacing w:line="480" w:lineRule="auto"/>
        <w:contextualSpacing/>
        <w:jc w:val="both"/>
        <w:rPr>
          <w:rFonts w:cstheme="minorHAnsi"/>
          <w:color w:val="000000" w:themeColor="text1"/>
          <w:sz w:val="22"/>
          <w:szCs w:val="22"/>
        </w:rPr>
      </w:pPr>
      <w:r w:rsidRPr="00340243">
        <w:rPr>
          <w:rFonts w:cstheme="minorHAnsi"/>
          <w:b/>
          <w:color w:val="000000" w:themeColor="text1"/>
          <w:sz w:val="22"/>
          <w:szCs w:val="22"/>
        </w:rPr>
        <w:lastRenderedPageBreak/>
        <w:t>Extended Data</w:t>
      </w:r>
      <w:r w:rsidRPr="00C95FB9">
        <w:rPr>
          <w:rFonts w:cstheme="minorHAnsi"/>
          <w:b/>
          <w:bCs/>
          <w:color w:val="000000" w:themeColor="text1"/>
          <w:sz w:val="22"/>
          <w:szCs w:val="22"/>
          <w:lang w:val="en-US"/>
        </w:rPr>
        <w:t xml:space="preserve"> Figure </w:t>
      </w:r>
      <w:r>
        <w:rPr>
          <w:rFonts w:cstheme="minorHAnsi"/>
          <w:b/>
          <w:bCs/>
          <w:color w:val="000000" w:themeColor="text1"/>
          <w:sz w:val="22"/>
          <w:szCs w:val="22"/>
          <w:lang w:val="en-US"/>
        </w:rPr>
        <w:t xml:space="preserve">9. </w:t>
      </w:r>
      <w:r w:rsidRPr="00AC3B27">
        <w:rPr>
          <w:rFonts w:cstheme="minorHAnsi"/>
          <w:b/>
          <w:bCs/>
          <w:color w:val="000000" w:themeColor="text1"/>
          <w:sz w:val="22"/>
          <w:szCs w:val="22"/>
          <w:lang w:val="en-US"/>
        </w:rPr>
        <w:t xml:space="preserve">Combining the ALK inhibitor (ceritinib) with the farnesyltransferase inhibitor (lonafarnib) significantly reduces tumour growth </w:t>
      </w:r>
      <w:r w:rsidRPr="00AC3B27">
        <w:rPr>
          <w:rFonts w:cstheme="minorHAnsi"/>
          <w:b/>
          <w:bCs/>
          <w:i/>
          <w:iCs/>
          <w:color w:val="000000" w:themeColor="text1"/>
          <w:sz w:val="22"/>
          <w:szCs w:val="22"/>
          <w:lang w:val="en-US"/>
        </w:rPr>
        <w:t>in vivo</w:t>
      </w:r>
      <w:r w:rsidRPr="00AC3B27">
        <w:rPr>
          <w:rFonts w:cstheme="minorHAnsi"/>
          <w:b/>
          <w:bCs/>
          <w:color w:val="000000" w:themeColor="text1"/>
          <w:sz w:val="22"/>
          <w:szCs w:val="22"/>
          <w:lang w:val="en-US"/>
        </w:rPr>
        <w:t xml:space="preserve"> and lonafarnib effectively inhibits ALK and pERK expression</w:t>
      </w:r>
    </w:p>
    <w:p w14:paraId="7C2F39D7" w14:textId="77777777" w:rsidR="004D41BE" w:rsidRDefault="004D41BE" w:rsidP="004D41BE">
      <w:pPr>
        <w:spacing w:line="480" w:lineRule="auto"/>
        <w:contextualSpacing/>
        <w:jc w:val="both"/>
        <w:rPr>
          <w:rFonts w:cstheme="minorHAnsi"/>
          <w:color w:val="000000" w:themeColor="text1"/>
          <w:sz w:val="22"/>
          <w:szCs w:val="22"/>
        </w:rPr>
      </w:pPr>
      <w:r w:rsidRPr="00C95FB9">
        <w:rPr>
          <w:rFonts w:cstheme="minorHAnsi"/>
          <w:color w:val="000000" w:themeColor="text1"/>
          <w:sz w:val="22"/>
          <w:szCs w:val="22"/>
        </w:rPr>
        <w:t>(A) MRI scan from axial (top-left) coronal (bottom-left) sagittal (top-right) and 3D (bottom-right) sections of animals treated with a combination of lonafarnib and ceritinib at the end of treatment (day 30) (1) compared to relapses after 9 (2) and 10 (3) days following the end of treatment (days 30+9 and 30+10 respectively). The green shading identifies bladder, testes (mouse 1 is male), vasculature and tumours. (B) Tumo</w:t>
      </w:r>
      <w:r>
        <w:rPr>
          <w:rFonts w:cstheme="minorHAnsi"/>
          <w:color w:val="000000" w:themeColor="text1"/>
          <w:sz w:val="22"/>
          <w:szCs w:val="22"/>
        </w:rPr>
        <w:t>u</w:t>
      </w:r>
      <w:r w:rsidRPr="00C95FB9">
        <w:rPr>
          <w:rFonts w:cstheme="minorHAnsi"/>
          <w:color w:val="000000" w:themeColor="text1"/>
          <w:sz w:val="22"/>
          <w:szCs w:val="22"/>
        </w:rPr>
        <w:t>r volume over time of NSG mice injected sub-cutaneously with COG-N-426x primary NB cells which reached 75mm</w:t>
      </w:r>
      <w:r w:rsidRPr="00C95FB9">
        <w:rPr>
          <w:rFonts w:cstheme="minorHAnsi"/>
          <w:color w:val="000000" w:themeColor="text1"/>
          <w:sz w:val="22"/>
          <w:szCs w:val="22"/>
          <w:vertAlign w:val="superscript"/>
        </w:rPr>
        <w:t xml:space="preserve">3 </w:t>
      </w:r>
      <w:r w:rsidRPr="00C95FB9">
        <w:rPr>
          <w:rFonts w:cstheme="minorHAnsi"/>
          <w:color w:val="000000" w:themeColor="text1"/>
          <w:sz w:val="22"/>
          <w:szCs w:val="22"/>
        </w:rPr>
        <w:t>before daily administration of ceritinib and lonafarnib (combo), where the new study endpoint is defined as the time taken for tumo</w:t>
      </w:r>
      <w:r>
        <w:rPr>
          <w:rFonts w:cstheme="minorHAnsi"/>
          <w:color w:val="000000" w:themeColor="text1"/>
          <w:sz w:val="22"/>
          <w:szCs w:val="22"/>
        </w:rPr>
        <w:t>u</w:t>
      </w:r>
      <w:r w:rsidRPr="00C95FB9">
        <w:rPr>
          <w:rFonts w:cstheme="minorHAnsi"/>
          <w:color w:val="000000" w:themeColor="text1"/>
          <w:sz w:val="22"/>
          <w:szCs w:val="22"/>
        </w:rPr>
        <w:t>rs to reach 15 mm diameter. Each data point represents one animal. (C) Immunohistochemistry of H&amp;E, ALK and pERK protein of vehicle (20% hydroxypropyl beta cyclodextrin), ceritinib (30 mg/kg) and lonafarnib (40 mg/kg) treated COG-N-426 (FELIX) PDX tumours at the study endpoint (day 30). Magnification bar = 100µm, inserts = 200x magnification.</w:t>
      </w:r>
    </w:p>
    <w:p w14:paraId="3ACAEEE2" w14:textId="77777777" w:rsidR="004D41BE" w:rsidRDefault="004D41BE" w:rsidP="004D41BE">
      <w:pPr>
        <w:spacing w:line="480" w:lineRule="auto"/>
        <w:contextualSpacing/>
        <w:jc w:val="both"/>
        <w:rPr>
          <w:rFonts w:cstheme="minorHAnsi"/>
          <w:color w:val="000000" w:themeColor="text1"/>
          <w:sz w:val="22"/>
          <w:szCs w:val="22"/>
        </w:rPr>
      </w:pPr>
    </w:p>
    <w:p w14:paraId="163B1EA8" w14:textId="77777777" w:rsidR="004D41BE" w:rsidRDefault="004D41BE" w:rsidP="004D41BE">
      <w:pPr>
        <w:spacing w:line="480" w:lineRule="auto"/>
        <w:contextualSpacing/>
        <w:jc w:val="center"/>
        <w:rPr>
          <w:rFonts w:cstheme="minorHAnsi"/>
          <w:color w:val="000000" w:themeColor="text1"/>
          <w:sz w:val="22"/>
          <w:szCs w:val="22"/>
        </w:rPr>
      </w:pPr>
      <w:r>
        <w:rPr>
          <w:rFonts w:cstheme="minorHAnsi"/>
          <w:noProof/>
          <w:color w:val="000000" w:themeColor="text1"/>
          <w:sz w:val="22"/>
          <w:szCs w:val="22"/>
        </w:rPr>
        <w:lastRenderedPageBreak/>
        <w:drawing>
          <wp:inline distT="0" distB="0" distL="0" distR="0" wp14:anchorId="27084560" wp14:editId="035A44BA">
            <wp:extent cx="4188631" cy="3831590"/>
            <wp:effectExtent l="0" t="0" r="2540" b="0"/>
            <wp:docPr id="12" name="Picture 12"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Graphical user interface&#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92687" cy="3835300"/>
                    </a:xfrm>
                    <a:prstGeom prst="rect">
                      <a:avLst/>
                    </a:prstGeom>
                    <a:noFill/>
                  </pic:spPr>
                </pic:pic>
              </a:graphicData>
            </a:graphic>
          </wp:inline>
        </w:drawing>
      </w:r>
    </w:p>
    <w:p w14:paraId="7513E29A" w14:textId="77777777" w:rsidR="004D41BE" w:rsidRPr="00154CB3" w:rsidRDefault="004D41BE" w:rsidP="004D41BE">
      <w:pPr>
        <w:spacing w:line="480" w:lineRule="auto"/>
        <w:contextualSpacing/>
        <w:jc w:val="both"/>
        <w:rPr>
          <w:rFonts w:cstheme="minorHAnsi"/>
          <w:b/>
          <w:bCs/>
          <w:sz w:val="22"/>
          <w:szCs w:val="22"/>
        </w:rPr>
      </w:pPr>
      <w:r w:rsidRPr="00340243">
        <w:rPr>
          <w:rFonts w:cstheme="minorHAnsi"/>
          <w:b/>
          <w:color w:val="000000" w:themeColor="text1"/>
          <w:sz w:val="22"/>
          <w:szCs w:val="22"/>
        </w:rPr>
        <w:t>Extended Data</w:t>
      </w:r>
      <w:r w:rsidRPr="00C95FB9">
        <w:rPr>
          <w:rFonts w:cstheme="minorHAnsi"/>
          <w:b/>
          <w:bCs/>
          <w:color w:val="000000" w:themeColor="text1"/>
          <w:sz w:val="22"/>
          <w:szCs w:val="22"/>
          <w:lang w:val="en-US"/>
        </w:rPr>
        <w:t xml:space="preserve"> Figure </w:t>
      </w:r>
      <w:r>
        <w:rPr>
          <w:rFonts w:cstheme="minorHAnsi"/>
          <w:b/>
          <w:bCs/>
          <w:color w:val="000000" w:themeColor="text1"/>
          <w:sz w:val="22"/>
          <w:szCs w:val="22"/>
          <w:lang w:val="en-US"/>
        </w:rPr>
        <w:t xml:space="preserve">10. </w:t>
      </w:r>
      <w:r w:rsidRPr="00154CB3">
        <w:rPr>
          <w:rFonts w:cstheme="minorHAnsi"/>
          <w:b/>
          <w:bCs/>
          <w:i/>
          <w:iCs/>
          <w:sz w:val="22"/>
          <w:szCs w:val="22"/>
          <w:lang w:val="en-US"/>
        </w:rPr>
        <w:t>NRAS</w:t>
      </w:r>
      <w:r w:rsidRPr="00154CB3">
        <w:rPr>
          <w:rFonts w:cstheme="minorHAnsi"/>
          <w:b/>
          <w:bCs/>
          <w:sz w:val="22"/>
          <w:szCs w:val="22"/>
          <w:lang w:val="en-US"/>
        </w:rPr>
        <w:t xml:space="preserve"> </w:t>
      </w:r>
      <w:r>
        <w:rPr>
          <w:rFonts w:cstheme="minorHAnsi"/>
          <w:b/>
          <w:bCs/>
          <w:sz w:val="22"/>
          <w:szCs w:val="22"/>
          <w:lang w:val="en-US"/>
        </w:rPr>
        <w:t xml:space="preserve">targeting via </w:t>
      </w:r>
      <w:r w:rsidRPr="00154CB3">
        <w:rPr>
          <w:rFonts w:cstheme="minorHAnsi"/>
          <w:b/>
          <w:bCs/>
          <w:sz w:val="22"/>
          <w:szCs w:val="22"/>
          <w:lang w:val="en-US"/>
        </w:rPr>
        <w:t>knockdown</w:t>
      </w:r>
      <w:r>
        <w:rPr>
          <w:rFonts w:cstheme="minorHAnsi"/>
          <w:b/>
          <w:bCs/>
          <w:sz w:val="22"/>
          <w:szCs w:val="22"/>
          <w:lang w:val="en-US"/>
        </w:rPr>
        <w:t xml:space="preserve"> of pharmacological inhibition</w:t>
      </w:r>
      <w:r w:rsidRPr="00154CB3">
        <w:rPr>
          <w:rFonts w:cstheme="minorHAnsi"/>
          <w:b/>
          <w:bCs/>
          <w:sz w:val="22"/>
          <w:szCs w:val="22"/>
          <w:lang w:val="en-US"/>
        </w:rPr>
        <w:t xml:space="preserve"> </w:t>
      </w:r>
      <w:r>
        <w:rPr>
          <w:rFonts w:cstheme="minorHAnsi"/>
          <w:b/>
          <w:bCs/>
          <w:sz w:val="22"/>
          <w:szCs w:val="22"/>
          <w:lang w:val="en-US"/>
        </w:rPr>
        <w:t>does not affect pAKT expression.</w:t>
      </w:r>
    </w:p>
    <w:p w14:paraId="16E92A67" w14:textId="77777777" w:rsidR="004D41BE" w:rsidRDefault="004D41BE" w:rsidP="004D41BE">
      <w:pPr>
        <w:spacing w:line="480" w:lineRule="auto"/>
        <w:contextualSpacing/>
        <w:jc w:val="both"/>
        <w:rPr>
          <w:rFonts w:cstheme="minorHAnsi"/>
          <w:color w:val="000000" w:themeColor="text1"/>
          <w:sz w:val="22"/>
          <w:szCs w:val="22"/>
        </w:rPr>
      </w:pPr>
      <w:r w:rsidRPr="00154CB3">
        <w:rPr>
          <w:rFonts w:cstheme="minorHAnsi"/>
          <w:sz w:val="22"/>
          <w:szCs w:val="22"/>
        </w:rPr>
        <w:t>(</w:t>
      </w:r>
      <w:r>
        <w:rPr>
          <w:rFonts w:cstheme="minorHAnsi"/>
          <w:sz w:val="22"/>
          <w:szCs w:val="22"/>
        </w:rPr>
        <w:t>A</w:t>
      </w:r>
      <w:r w:rsidRPr="00154CB3">
        <w:rPr>
          <w:rFonts w:cstheme="minorHAnsi"/>
          <w:sz w:val="22"/>
          <w:szCs w:val="22"/>
        </w:rPr>
        <w:t>) Western blot of the indicated proteins in SHSY5Y cells upon NRAS knockdown.</w:t>
      </w:r>
      <w:r w:rsidRPr="00C95FB9">
        <w:rPr>
          <w:rFonts w:cstheme="minorHAnsi"/>
          <w:color w:val="000000" w:themeColor="text1"/>
          <w:sz w:val="22"/>
          <w:szCs w:val="22"/>
        </w:rPr>
        <w:t xml:space="preserve"> (</w:t>
      </w:r>
      <w:r>
        <w:rPr>
          <w:rFonts w:cstheme="minorHAnsi"/>
          <w:color w:val="000000" w:themeColor="text1"/>
          <w:sz w:val="22"/>
          <w:szCs w:val="22"/>
        </w:rPr>
        <w:t>B</w:t>
      </w:r>
      <w:r w:rsidRPr="00C95FB9">
        <w:rPr>
          <w:rFonts w:cstheme="minorHAnsi"/>
          <w:color w:val="000000" w:themeColor="text1"/>
          <w:sz w:val="22"/>
          <w:szCs w:val="22"/>
        </w:rPr>
        <w:t xml:space="preserve">) Immunohistochemistry of H&amp;E, ALK and </w:t>
      </w:r>
      <w:r>
        <w:rPr>
          <w:rFonts w:cstheme="minorHAnsi"/>
          <w:color w:val="000000" w:themeColor="text1"/>
          <w:sz w:val="22"/>
          <w:szCs w:val="22"/>
        </w:rPr>
        <w:t>pAKT</w:t>
      </w:r>
      <w:r w:rsidRPr="00C95FB9">
        <w:rPr>
          <w:rFonts w:cstheme="minorHAnsi"/>
          <w:color w:val="000000" w:themeColor="text1"/>
          <w:sz w:val="22"/>
          <w:szCs w:val="22"/>
        </w:rPr>
        <w:t xml:space="preserve"> protein of vehicle (20% hydroxypropyl beta cyclodextrin), ceritinib (30 mg/kg) and lonafarnib (40 mg/kg) treated COG-N-426 (FELIX) PDX tumours at the study endpoint (day 30). Magnification bar = </w:t>
      </w:r>
      <w:r>
        <w:rPr>
          <w:rFonts w:cstheme="minorHAnsi"/>
          <w:color w:val="000000" w:themeColor="text1"/>
          <w:sz w:val="22"/>
          <w:szCs w:val="22"/>
        </w:rPr>
        <w:t>50</w:t>
      </w:r>
      <w:r w:rsidRPr="00C95FB9">
        <w:rPr>
          <w:rFonts w:cstheme="minorHAnsi"/>
          <w:color w:val="000000" w:themeColor="text1"/>
          <w:sz w:val="22"/>
          <w:szCs w:val="22"/>
        </w:rPr>
        <w:t>µm, inserts = 200x magnification.</w:t>
      </w:r>
    </w:p>
    <w:tbl>
      <w:tblPr>
        <w:tblStyle w:val="TableGrid"/>
        <w:tblpPr w:leftFromText="180" w:rightFromText="180" w:vertAnchor="page" w:horzAnchor="margin" w:tblpXSpec="center" w:tblpY="2689"/>
        <w:tblW w:w="9985" w:type="dxa"/>
        <w:tblLayout w:type="fixed"/>
        <w:tblCellMar>
          <w:top w:w="86" w:type="dxa"/>
          <w:left w:w="115" w:type="dxa"/>
          <w:right w:w="115" w:type="dxa"/>
        </w:tblCellMar>
        <w:tblLook w:val="04A0" w:firstRow="1" w:lastRow="0" w:firstColumn="1" w:lastColumn="0" w:noHBand="0" w:noVBand="1"/>
      </w:tblPr>
      <w:tblGrid>
        <w:gridCol w:w="1345"/>
        <w:gridCol w:w="990"/>
        <w:gridCol w:w="2520"/>
        <w:gridCol w:w="2070"/>
        <w:gridCol w:w="1530"/>
        <w:gridCol w:w="1530"/>
      </w:tblGrid>
      <w:tr w:rsidR="004D41BE" w:rsidRPr="00D01EDF" w14:paraId="2B53AA86" w14:textId="77777777" w:rsidTr="00BA1535">
        <w:trPr>
          <w:trHeight w:val="84"/>
        </w:trPr>
        <w:tc>
          <w:tcPr>
            <w:tcW w:w="1345" w:type="dxa"/>
            <w:vMerge w:val="restart"/>
            <w:vAlign w:val="center"/>
          </w:tcPr>
          <w:p w14:paraId="0A0C8005" w14:textId="77777777" w:rsidR="004D41BE" w:rsidRPr="00D01EDF" w:rsidRDefault="004D41BE" w:rsidP="00BA1535">
            <w:pPr>
              <w:spacing w:line="480" w:lineRule="auto"/>
              <w:jc w:val="center"/>
              <w:rPr>
                <w:rFonts w:cstheme="minorHAnsi"/>
                <w:b/>
              </w:rPr>
            </w:pPr>
            <w:r w:rsidRPr="00D01EDF">
              <w:rPr>
                <w:rFonts w:cstheme="minorHAnsi"/>
                <w:b/>
              </w:rPr>
              <w:lastRenderedPageBreak/>
              <w:t>Cell line</w:t>
            </w:r>
          </w:p>
        </w:tc>
        <w:tc>
          <w:tcPr>
            <w:tcW w:w="990" w:type="dxa"/>
            <w:vMerge w:val="restart"/>
            <w:vAlign w:val="center"/>
          </w:tcPr>
          <w:p w14:paraId="1C98080D" w14:textId="77777777" w:rsidR="004D41BE" w:rsidRPr="00D01EDF" w:rsidRDefault="004D41BE" w:rsidP="00BA1535">
            <w:pPr>
              <w:spacing w:line="480" w:lineRule="auto"/>
              <w:jc w:val="center"/>
              <w:rPr>
                <w:rFonts w:cstheme="minorHAnsi"/>
                <w:b/>
              </w:rPr>
            </w:pPr>
            <w:r w:rsidRPr="00D01EDF">
              <w:rPr>
                <w:rFonts w:cstheme="minorHAnsi"/>
                <w:b/>
              </w:rPr>
              <w:t>Source</w:t>
            </w:r>
          </w:p>
        </w:tc>
        <w:tc>
          <w:tcPr>
            <w:tcW w:w="4590" w:type="dxa"/>
            <w:gridSpan w:val="2"/>
            <w:vAlign w:val="center"/>
          </w:tcPr>
          <w:p w14:paraId="0F799219" w14:textId="77777777" w:rsidR="004D41BE" w:rsidRPr="00D01EDF" w:rsidRDefault="004D41BE" w:rsidP="00BA1535">
            <w:pPr>
              <w:spacing w:line="480" w:lineRule="auto"/>
              <w:jc w:val="center"/>
              <w:rPr>
                <w:rFonts w:cstheme="minorHAnsi"/>
                <w:b/>
              </w:rPr>
            </w:pPr>
            <w:r w:rsidRPr="00D01EDF">
              <w:rPr>
                <w:rFonts w:cstheme="minorHAnsi"/>
                <w:b/>
              </w:rPr>
              <w:t>ALK</w:t>
            </w:r>
          </w:p>
        </w:tc>
        <w:tc>
          <w:tcPr>
            <w:tcW w:w="1530" w:type="dxa"/>
            <w:vMerge w:val="restart"/>
            <w:vAlign w:val="center"/>
          </w:tcPr>
          <w:p w14:paraId="45E68579" w14:textId="77777777" w:rsidR="004D41BE" w:rsidRPr="00D01EDF" w:rsidRDefault="004D41BE" w:rsidP="00BA1535">
            <w:pPr>
              <w:spacing w:line="480" w:lineRule="auto"/>
              <w:jc w:val="center"/>
              <w:rPr>
                <w:rFonts w:cstheme="minorHAnsi"/>
                <w:b/>
                <w:i/>
              </w:rPr>
            </w:pPr>
            <w:r w:rsidRPr="00D01EDF">
              <w:rPr>
                <w:rFonts w:cstheme="minorHAnsi"/>
                <w:b/>
                <w:i/>
              </w:rPr>
              <w:t>MYCN</w:t>
            </w:r>
          </w:p>
          <w:p w14:paraId="379B5C3B" w14:textId="77777777" w:rsidR="004D41BE" w:rsidRPr="00D01EDF" w:rsidRDefault="004D41BE" w:rsidP="00BA1535">
            <w:pPr>
              <w:spacing w:line="480" w:lineRule="auto"/>
              <w:jc w:val="center"/>
              <w:rPr>
                <w:rFonts w:cstheme="minorHAnsi"/>
                <w:b/>
              </w:rPr>
            </w:pPr>
            <w:r w:rsidRPr="00D01EDF">
              <w:rPr>
                <w:rFonts w:cstheme="minorHAnsi"/>
                <w:b/>
              </w:rPr>
              <w:t>copy number</w:t>
            </w:r>
          </w:p>
        </w:tc>
        <w:tc>
          <w:tcPr>
            <w:tcW w:w="1530" w:type="dxa"/>
            <w:vMerge w:val="restart"/>
            <w:vAlign w:val="center"/>
          </w:tcPr>
          <w:p w14:paraId="5E2E2523" w14:textId="77777777" w:rsidR="004D41BE" w:rsidRPr="00D01EDF" w:rsidRDefault="004D41BE" w:rsidP="00BA1535">
            <w:pPr>
              <w:spacing w:line="480" w:lineRule="auto"/>
              <w:jc w:val="center"/>
              <w:rPr>
                <w:rFonts w:cstheme="minorHAnsi"/>
                <w:b/>
              </w:rPr>
            </w:pPr>
            <w:r w:rsidRPr="00D01EDF">
              <w:rPr>
                <w:rFonts w:cstheme="minorHAnsi"/>
                <w:b/>
              </w:rPr>
              <w:t>p53</w:t>
            </w:r>
          </w:p>
        </w:tc>
      </w:tr>
      <w:tr w:rsidR="004D41BE" w:rsidRPr="00D01EDF" w14:paraId="372E7E38" w14:textId="77777777" w:rsidTr="00BA1535">
        <w:trPr>
          <w:trHeight w:val="126"/>
        </w:trPr>
        <w:tc>
          <w:tcPr>
            <w:tcW w:w="1345" w:type="dxa"/>
            <w:vMerge/>
            <w:vAlign w:val="center"/>
          </w:tcPr>
          <w:p w14:paraId="43C1A55B" w14:textId="77777777" w:rsidR="004D41BE" w:rsidRPr="00D01EDF" w:rsidRDefault="004D41BE" w:rsidP="00BA1535">
            <w:pPr>
              <w:spacing w:line="480" w:lineRule="auto"/>
              <w:rPr>
                <w:rFonts w:cstheme="minorHAnsi"/>
                <w:b/>
              </w:rPr>
            </w:pPr>
          </w:p>
        </w:tc>
        <w:tc>
          <w:tcPr>
            <w:tcW w:w="990" w:type="dxa"/>
            <w:vMerge/>
            <w:vAlign w:val="center"/>
          </w:tcPr>
          <w:p w14:paraId="76F16341" w14:textId="77777777" w:rsidR="004D41BE" w:rsidRPr="00D01EDF" w:rsidRDefault="004D41BE" w:rsidP="00BA1535">
            <w:pPr>
              <w:spacing w:line="480" w:lineRule="auto"/>
              <w:rPr>
                <w:rFonts w:cstheme="minorHAnsi"/>
                <w:b/>
              </w:rPr>
            </w:pPr>
          </w:p>
        </w:tc>
        <w:tc>
          <w:tcPr>
            <w:tcW w:w="2520" w:type="dxa"/>
            <w:vAlign w:val="center"/>
          </w:tcPr>
          <w:p w14:paraId="2579B498" w14:textId="77777777" w:rsidR="004D41BE" w:rsidRPr="00D01EDF" w:rsidRDefault="004D41BE" w:rsidP="00BA1535">
            <w:pPr>
              <w:spacing w:line="480" w:lineRule="auto"/>
              <w:rPr>
                <w:rFonts w:cstheme="minorHAnsi"/>
                <w:b/>
              </w:rPr>
            </w:pPr>
            <w:r w:rsidRPr="00D01EDF">
              <w:rPr>
                <w:rFonts w:cstheme="minorHAnsi"/>
                <w:b/>
              </w:rPr>
              <w:t>Nucleotide substitution</w:t>
            </w:r>
          </w:p>
        </w:tc>
        <w:tc>
          <w:tcPr>
            <w:tcW w:w="2070" w:type="dxa"/>
            <w:vAlign w:val="center"/>
          </w:tcPr>
          <w:p w14:paraId="4911E7FC" w14:textId="77777777" w:rsidR="004D41BE" w:rsidRPr="00D01EDF" w:rsidRDefault="004D41BE" w:rsidP="00BA1535">
            <w:pPr>
              <w:spacing w:line="480" w:lineRule="auto"/>
              <w:rPr>
                <w:rFonts w:cstheme="minorHAnsi"/>
                <w:b/>
              </w:rPr>
            </w:pPr>
            <w:r w:rsidRPr="00D01EDF">
              <w:rPr>
                <w:rFonts w:cstheme="minorHAnsi"/>
                <w:b/>
              </w:rPr>
              <w:t>Amino acid change</w:t>
            </w:r>
          </w:p>
        </w:tc>
        <w:tc>
          <w:tcPr>
            <w:tcW w:w="1530" w:type="dxa"/>
            <w:vMerge/>
            <w:vAlign w:val="center"/>
          </w:tcPr>
          <w:p w14:paraId="4EFD944D" w14:textId="77777777" w:rsidR="004D41BE" w:rsidRPr="00D01EDF" w:rsidRDefault="004D41BE" w:rsidP="00BA1535">
            <w:pPr>
              <w:spacing w:line="480" w:lineRule="auto"/>
              <w:rPr>
                <w:rFonts w:cstheme="minorHAnsi"/>
                <w:b/>
              </w:rPr>
            </w:pPr>
          </w:p>
        </w:tc>
        <w:tc>
          <w:tcPr>
            <w:tcW w:w="1530" w:type="dxa"/>
            <w:vMerge/>
            <w:vAlign w:val="center"/>
          </w:tcPr>
          <w:p w14:paraId="712F1B12" w14:textId="77777777" w:rsidR="004D41BE" w:rsidRPr="00D01EDF" w:rsidRDefault="004D41BE" w:rsidP="00BA1535">
            <w:pPr>
              <w:spacing w:line="480" w:lineRule="auto"/>
              <w:rPr>
                <w:rFonts w:cstheme="minorHAnsi"/>
                <w:b/>
              </w:rPr>
            </w:pPr>
          </w:p>
        </w:tc>
      </w:tr>
      <w:tr w:rsidR="004D41BE" w:rsidRPr="00D01EDF" w14:paraId="3FE9B49B" w14:textId="77777777" w:rsidTr="00BA1535">
        <w:tc>
          <w:tcPr>
            <w:tcW w:w="1345" w:type="dxa"/>
            <w:vAlign w:val="center"/>
          </w:tcPr>
          <w:p w14:paraId="0DAD0DC7" w14:textId="77777777" w:rsidR="004D41BE" w:rsidRPr="00D01EDF" w:rsidRDefault="004D41BE" w:rsidP="00BA1535">
            <w:pPr>
              <w:spacing w:line="480" w:lineRule="auto"/>
              <w:rPr>
                <w:rFonts w:cstheme="minorHAnsi"/>
              </w:rPr>
            </w:pPr>
            <w:r w:rsidRPr="00D01EDF">
              <w:rPr>
                <w:rFonts w:cstheme="minorHAnsi"/>
              </w:rPr>
              <w:t>CHLA-15</w:t>
            </w:r>
          </w:p>
        </w:tc>
        <w:tc>
          <w:tcPr>
            <w:tcW w:w="990" w:type="dxa"/>
            <w:vAlign w:val="center"/>
          </w:tcPr>
          <w:p w14:paraId="42F64031" w14:textId="77777777" w:rsidR="004D41BE" w:rsidRPr="00D01EDF" w:rsidRDefault="004D41BE" w:rsidP="00BA1535">
            <w:pPr>
              <w:spacing w:line="480" w:lineRule="auto"/>
              <w:rPr>
                <w:rFonts w:cstheme="minorHAnsi"/>
              </w:rPr>
            </w:pPr>
            <w:r w:rsidRPr="00D01EDF">
              <w:rPr>
                <w:rFonts w:cstheme="minorHAnsi"/>
              </w:rPr>
              <w:t>COG</w:t>
            </w:r>
          </w:p>
        </w:tc>
        <w:tc>
          <w:tcPr>
            <w:tcW w:w="2520" w:type="dxa"/>
            <w:vAlign w:val="center"/>
          </w:tcPr>
          <w:p w14:paraId="7C097AC7" w14:textId="77777777" w:rsidR="004D41BE" w:rsidRPr="00D01EDF" w:rsidRDefault="004D41BE" w:rsidP="00BA1535">
            <w:pPr>
              <w:spacing w:line="480" w:lineRule="auto"/>
              <w:rPr>
                <w:rFonts w:cstheme="minorHAnsi"/>
              </w:rPr>
            </w:pPr>
            <w:r w:rsidRPr="00D01EDF">
              <w:rPr>
                <w:rFonts w:cstheme="minorHAnsi"/>
              </w:rPr>
              <w:t>3824G&gt;A</w:t>
            </w:r>
          </w:p>
        </w:tc>
        <w:tc>
          <w:tcPr>
            <w:tcW w:w="2070" w:type="dxa"/>
            <w:vAlign w:val="center"/>
          </w:tcPr>
          <w:p w14:paraId="12B8227A" w14:textId="77777777" w:rsidR="004D41BE" w:rsidRPr="00D01EDF" w:rsidRDefault="004D41BE" w:rsidP="00BA1535">
            <w:pPr>
              <w:spacing w:line="480" w:lineRule="auto"/>
              <w:rPr>
                <w:rFonts w:cstheme="minorHAnsi"/>
              </w:rPr>
            </w:pPr>
            <w:r w:rsidRPr="00D01EDF">
              <w:rPr>
                <w:rFonts w:cstheme="minorHAnsi"/>
              </w:rPr>
              <w:t>1275R&gt;Q</w:t>
            </w:r>
          </w:p>
        </w:tc>
        <w:tc>
          <w:tcPr>
            <w:tcW w:w="1530" w:type="dxa"/>
            <w:vAlign w:val="center"/>
          </w:tcPr>
          <w:p w14:paraId="3D0F514D" w14:textId="77777777" w:rsidR="004D41BE" w:rsidRPr="00D01EDF" w:rsidRDefault="004D41BE" w:rsidP="00BA1535">
            <w:pPr>
              <w:spacing w:line="480" w:lineRule="auto"/>
              <w:rPr>
                <w:rFonts w:cstheme="minorHAnsi"/>
              </w:rPr>
            </w:pPr>
            <w:r w:rsidRPr="00D01EDF">
              <w:rPr>
                <w:rFonts w:cstheme="minorHAnsi"/>
              </w:rPr>
              <w:t>Non-amplified</w:t>
            </w:r>
          </w:p>
        </w:tc>
        <w:tc>
          <w:tcPr>
            <w:tcW w:w="1530" w:type="dxa"/>
            <w:vAlign w:val="center"/>
          </w:tcPr>
          <w:p w14:paraId="0FAECC8B" w14:textId="77777777" w:rsidR="004D41BE" w:rsidRPr="00D01EDF" w:rsidRDefault="004D41BE" w:rsidP="00BA1535">
            <w:pPr>
              <w:spacing w:line="480" w:lineRule="auto"/>
              <w:rPr>
                <w:rFonts w:cstheme="minorHAnsi"/>
              </w:rPr>
            </w:pPr>
            <w:r w:rsidRPr="00D01EDF">
              <w:rPr>
                <w:rFonts w:cstheme="minorHAnsi"/>
              </w:rPr>
              <w:t xml:space="preserve">Functional </w:t>
            </w:r>
          </w:p>
        </w:tc>
      </w:tr>
      <w:tr w:rsidR="004D41BE" w:rsidRPr="00D01EDF" w14:paraId="26CC6CC3" w14:textId="77777777" w:rsidTr="00BA1535">
        <w:tc>
          <w:tcPr>
            <w:tcW w:w="1345" w:type="dxa"/>
            <w:vAlign w:val="center"/>
          </w:tcPr>
          <w:p w14:paraId="03C27C6C" w14:textId="77777777" w:rsidR="004D41BE" w:rsidRPr="00D01EDF" w:rsidRDefault="004D41BE" w:rsidP="00BA1535">
            <w:pPr>
              <w:spacing w:line="480" w:lineRule="auto"/>
              <w:rPr>
                <w:rFonts w:cstheme="minorHAnsi"/>
              </w:rPr>
            </w:pPr>
            <w:r w:rsidRPr="00D01EDF">
              <w:rPr>
                <w:rFonts w:cstheme="minorHAnsi"/>
              </w:rPr>
              <w:t>CHLA-20</w:t>
            </w:r>
          </w:p>
        </w:tc>
        <w:tc>
          <w:tcPr>
            <w:tcW w:w="990" w:type="dxa"/>
            <w:vAlign w:val="center"/>
          </w:tcPr>
          <w:p w14:paraId="572BF41B" w14:textId="77777777" w:rsidR="004D41BE" w:rsidRPr="00D01EDF" w:rsidRDefault="004D41BE" w:rsidP="00BA1535">
            <w:pPr>
              <w:spacing w:line="480" w:lineRule="auto"/>
              <w:rPr>
                <w:rFonts w:cstheme="minorHAnsi"/>
              </w:rPr>
            </w:pPr>
            <w:r w:rsidRPr="00D01EDF">
              <w:rPr>
                <w:rFonts w:cstheme="minorHAnsi"/>
              </w:rPr>
              <w:t>COG</w:t>
            </w:r>
          </w:p>
        </w:tc>
        <w:tc>
          <w:tcPr>
            <w:tcW w:w="2520" w:type="dxa"/>
            <w:vAlign w:val="center"/>
          </w:tcPr>
          <w:p w14:paraId="4C40847A" w14:textId="77777777" w:rsidR="004D41BE" w:rsidRPr="00D01EDF" w:rsidRDefault="004D41BE" w:rsidP="00BA1535">
            <w:pPr>
              <w:spacing w:line="480" w:lineRule="auto"/>
              <w:rPr>
                <w:rFonts w:cstheme="minorHAnsi"/>
              </w:rPr>
            </w:pPr>
            <w:r w:rsidRPr="00D01EDF">
              <w:rPr>
                <w:rFonts w:cstheme="minorHAnsi"/>
              </w:rPr>
              <w:t>3824G&gt;A</w:t>
            </w:r>
          </w:p>
        </w:tc>
        <w:tc>
          <w:tcPr>
            <w:tcW w:w="2070" w:type="dxa"/>
            <w:vAlign w:val="center"/>
          </w:tcPr>
          <w:p w14:paraId="62271FE6" w14:textId="77777777" w:rsidR="004D41BE" w:rsidRPr="00D01EDF" w:rsidRDefault="004D41BE" w:rsidP="00BA1535">
            <w:pPr>
              <w:spacing w:line="480" w:lineRule="auto"/>
              <w:rPr>
                <w:rFonts w:cstheme="minorHAnsi"/>
              </w:rPr>
            </w:pPr>
            <w:r w:rsidRPr="00D01EDF">
              <w:rPr>
                <w:rFonts w:cstheme="minorHAnsi"/>
              </w:rPr>
              <w:t>1275R&gt;Q</w:t>
            </w:r>
          </w:p>
        </w:tc>
        <w:tc>
          <w:tcPr>
            <w:tcW w:w="1530" w:type="dxa"/>
            <w:vAlign w:val="center"/>
          </w:tcPr>
          <w:p w14:paraId="11FFA3C2" w14:textId="77777777" w:rsidR="004D41BE" w:rsidRPr="00D01EDF" w:rsidRDefault="004D41BE" w:rsidP="00BA1535">
            <w:pPr>
              <w:spacing w:line="480" w:lineRule="auto"/>
              <w:rPr>
                <w:rFonts w:cstheme="minorHAnsi"/>
              </w:rPr>
            </w:pPr>
            <w:r w:rsidRPr="00D01EDF">
              <w:rPr>
                <w:rFonts w:cstheme="minorHAnsi"/>
              </w:rPr>
              <w:t>Non-amplified</w:t>
            </w:r>
          </w:p>
        </w:tc>
        <w:tc>
          <w:tcPr>
            <w:tcW w:w="1530" w:type="dxa"/>
            <w:vAlign w:val="center"/>
          </w:tcPr>
          <w:p w14:paraId="1739FDDB" w14:textId="77777777" w:rsidR="004D41BE" w:rsidRPr="00D01EDF" w:rsidRDefault="004D41BE" w:rsidP="00BA1535">
            <w:pPr>
              <w:spacing w:line="480" w:lineRule="auto"/>
              <w:rPr>
                <w:rFonts w:cstheme="minorHAnsi"/>
              </w:rPr>
            </w:pPr>
            <w:r w:rsidRPr="00D01EDF">
              <w:rPr>
                <w:rFonts w:cstheme="minorHAnsi"/>
              </w:rPr>
              <w:t xml:space="preserve">Functional </w:t>
            </w:r>
          </w:p>
        </w:tc>
      </w:tr>
      <w:tr w:rsidR="004D41BE" w:rsidRPr="00D01EDF" w14:paraId="181F7F74" w14:textId="77777777" w:rsidTr="00BA1535">
        <w:tc>
          <w:tcPr>
            <w:tcW w:w="1345" w:type="dxa"/>
            <w:vAlign w:val="center"/>
          </w:tcPr>
          <w:p w14:paraId="0B754325" w14:textId="77777777" w:rsidR="004D41BE" w:rsidRPr="00D01EDF" w:rsidRDefault="004D41BE" w:rsidP="00BA1535">
            <w:pPr>
              <w:spacing w:line="480" w:lineRule="auto"/>
              <w:rPr>
                <w:rFonts w:cstheme="minorHAnsi"/>
              </w:rPr>
            </w:pPr>
            <w:r w:rsidRPr="00D01EDF">
              <w:rPr>
                <w:rFonts w:cstheme="minorHAnsi"/>
              </w:rPr>
              <w:t>CHLA-90</w:t>
            </w:r>
          </w:p>
        </w:tc>
        <w:tc>
          <w:tcPr>
            <w:tcW w:w="990" w:type="dxa"/>
            <w:vAlign w:val="center"/>
          </w:tcPr>
          <w:p w14:paraId="2C9D8ECD" w14:textId="77777777" w:rsidR="004D41BE" w:rsidRPr="00D01EDF" w:rsidRDefault="004D41BE" w:rsidP="00BA1535">
            <w:pPr>
              <w:spacing w:line="480" w:lineRule="auto"/>
              <w:rPr>
                <w:rFonts w:cstheme="minorHAnsi"/>
              </w:rPr>
            </w:pPr>
            <w:r w:rsidRPr="00D01EDF">
              <w:rPr>
                <w:rFonts w:cstheme="minorHAnsi"/>
              </w:rPr>
              <w:t>COG</w:t>
            </w:r>
          </w:p>
        </w:tc>
        <w:tc>
          <w:tcPr>
            <w:tcW w:w="2520" w:type="dxa"/>
            <w:vAlign w:val="center"/>
          </w:tcPr>
          <w:p w14:paraId="337C1654" w14:textId="77777777" w:rsidR="004D41BE" w:rsidRPr="00D01EDF" w:rsidRDefault="004D41BE" w:rsidP="00BA1535">
            <w:pPr>
              <w:spacing w:line="480" w:lineRule="auto"/>
              <w:rPr>
                <w:rFonts w:cstheme="minorHAnsi"/>
              </w:rPr>
            </w:pPr>
            <w:r w:rsidRPr="00D01EDF">
              <w:rPr>
                <w:rFonts w:cstheme="minorHAnsi"/>
              </w:rPr>
              <w:t>3733T&gt;G (het)</w:t>
            </w:r>
          </w:p>
        </w:tc>
        <w:tc>
          <w:tcPr>
            <w:tcW w:w="2070" w:type="dxa"/>
            <w:vAlign w:val="center"/>
          </w:tcPr>
          <w:p w14:paraId="3A7175C6" w14:textId="77777777" w:rsidR="004D41BE" w:rsidRPr="00D01EDF" w:rsidRDefault="004D41BE" w:rsidP="00BA1535">
            <w:pPr>
              <w:spacing w:line="480" w:lineRule="auto"/>
              <w:rPr>
                <w:rFonts w:cstheme="minorHAnsi"/>
              </w:rPr>
            </w:pPr>
            <w:r w:rsidRPr="00D01EDF">
              <w:rPr>
                <w:rFonts w:cstheme="minorHAnsi"/>
              </w:rPr>
              <w:t>1245F&gt;V</w:t>
            </w:r>
          </w:p>
        </w:tc>
        <w:tc>
          <w:tcPr>
            <w:tcW w:w="1530" w:type="dxa"/>
            <w:vAlign w:val="center"/>
          </w:tcPr>
          <w:p w14:paraId="2DBFFDEE" w14:textId="77777777" w:rsidR="004D41BE" w:rsidRPr="00D01EDF" w:rsidRDefault="004D41BE" w:rsidP="00BA1535">
            <w:pPr>
              <w:spacing w:line="480" w:lineRule="auto"/>
              <w:rPr>
                <w:rFonts w:cstheme="minorHAnsi"/>
              </w:rPr>
            </w:pPr>
            <w:r w:rsidRPr="00D01EDF">
              <w:rPr>
                <w:rFonts w:cstheme="minorHAnsi"/>
              </w:rPr>
              <w:t>Non-amplified</w:t>
            </w:r>
          </w:p>
        </w:tc>
        <w:tc>
          <w:tcPr>
            <w:tcW w:w="1530" w:type="dxa"/>
            <w:vAlign w:val="center"/>
          </w:tcPr>
          <w:p w14:paraId="397D5480" w14:textId="77777777" w:rsidR="004D41BE" w:rsidRPr="00D01EDF" w:rsidRDefault="004D41BE" w:rsidP="00BA1535">
            <w:pPr>
              <w:spacing w:line="480" w:lineRule="auto"/>
              <w:rPr>
                <w:rFonts w:cstheme="minorHAnsi"/>
              </w:rPr>
            </w:pPr>
            <w:r w:rsidRPr="00D01EDF">
              <w:rPr>
                <w:rFonts w:cstheme="minorHAnsi"/>
              </w:rPr>
              <w:t xml:space="preserve">Non-functional </w:t>
            </w:r>
          </w:p>
        </w:tc>
      </w:tr>
      <w:tr w:rsidR="004D41BE" w:rsidRPr="00D01EDF" w14:paraId="1EB2C402" w14:textId="77777777" w:rsidTr="00BA1535">
        <w:tc>
          <w:tcPr>
            <w:tcW w:w="1345" w:type="dxa"/>
            <w:vAlign w:val="center"/>
          </w:tcPr>
          <w:p w14:paraId="0B694D86" w14:textId="77777777" w:rsidR="004D41BE" w:rsidRPr="00D01EDF" w:rsidRDefault="004D41BE" w:rsidP="00BA1535">
            <w:pPr>
              <w:spacing w:line="480" w:lineRule="auto"/>
              <w:rPr>
                <w:rFonts w:cstheme="minorHAnsi"/>
              </w:rPr>
            </w:pPr>
            <w:r w:rsidRPr="00D01EDF">
              <w:rPr>
                <w:rFonts w:cstheme="minorHAnsi"/>
              </w:rPr>
              <w:t>CHLA-95</w:t>
            </w:r>
          </w:p>
        </w:tc>
        <w:tc>
          <w:tcPr>
            <w:tcW w:w="990" w:type="dxa"/>
            <w:vAlign w:val="center"/>
          </w:tcPr>
          <w:p w14:paraId="61CFD2FD" w14:textId="77777777" w:rsidR="004D41BE" w:rsidRPr="00D01EDF" w:rsidRDefault="004D41BE" w:rsidP="00BA1535">
            <w:pPr>
              <w:spacing w:line="480" w:lineRule="auto"/>
              <w:rPr>
                <w:rFonts w:cstheme="minorHAnsi"/>
              </w:rPr>
            </w:pPr>
            <w:r w:rsidRPr="00D01EDF">
              <w:rPr>
                <w:rFonts w:cstheme="minorHAnsi"/>
              </w:rPr>
              <w:t>COG</w:t>
            </w:r>
          </w:p>
        </w:tc>
        <w:tc>
          <w:tcPr>
            <w:tcW w:w="2520" w:type="dxa"/>
            <w:vAlign w:val="center"/>
          </w:tcPr>
          <w:p w14:paraId="7CDE0E6C" w14:textId="77777777" w:rsidR="004D41BE" w:rsidRPr="00D01EDF" w:rsidRDefault="004D41BE" w:rsidP="00BA1535">
            <w:pPr>
              <w:spacing w:line="480" w:lineRule="auto"/>
              <w:rPr>
                <w:rFonts w:cstheme="minorHAnsi"/>
              </w:rPr>
            </w:pPr>
            <w:r w:rsidRPr="00D01EDF">
              <w:rPr>
                <w:rFonts w:cstheme="minorHAnsi"/>
              </w:rPr>
              <w:t xml:space="preserve">3375C&gt;A (het; syn); </w:t>
            </w:r>
          </w:p>
          <w:p w14:paraId="6DDC2F41" w14:textId="77777777" w:rsidR="004D41BE" w:rsidRPr="00D01EDF" w:rsidRDefault="004D41BE" w:rsidP="00BA1535">
            <w:pPr>
              <w:spacing w:line="480" w:lineRule="auto"/>
              <w:rPr>
                <w:rFonts w:cstheme="minorHAnsi"/>
              </w:rPr>
            </w:pPr>
            <w:r w:rsidRPr="00D01EDF">
              <w:rPr>
                <w:rFonts w:cstheme="minorHAnsi"/>
              </w:rPr>
              <w:t>3824G&gt;A (het)</w:t>
            </w:r>
          </w:p>
        </w:tc>
        <w:tc>
          <w:tcPr>
            <w:tcW w:w="2070" w:type="dxa"/>
            <w:vAlign w:val="center"/>
          </w:tcPr>
          <w:p w14:paraId="330DD1B7" w14:textId="77777777" w:rsidR="004D41BE" w:rsidRPr="00D01EDF" w:rsidRDefault="004D41BE" w:rsidP="00BA1535">
            <w:pPr>
              <w:spacing w:line="480" w:lineRule="auto"/>
              <w:rPr>
                <w:rFonts w:cstheme="minorHAnsi"/>
              </w:rPr>
            </w:pPr>
            <w:r w:rsidRPr="00D01EDF">
              <w:rPr>
                <w:rFonts w:cstheme="minorHAnsi"/>
              </w:rPr>
              <w:t>1275R&gt;Q</w:t>
            </w:r>
          </w:p>
        </w:tc>
        <w:tc>
          <w:tcPr>
            <w:tcW w:w="1530" w:type="dxa"/>
            <w:vAlign w:val="center"/>
          </w:tcPr>
          <w:p w14:paraId="3433321F" w14:textId="77777777" w:rsidR="004D41BE" w:rsidRPr="00D01EDF" w:rsidRDefault="004D41BE" w:rsidP="00BA1535">
            <w:pPr>
              <w:spacing w:line="480" w:lineRule="auto"/>
              <w:rPr>
                <w:rFonts w:cstheme="minorHAnsi"/>
              </w:rPr>
            </w:pPr>
            <w:r w:rsidRPr="00D01EDF">
              <w:rPr>
                <w:rFonts w:cstheme="minorHAnsi"/>
              </w:rPr>
              <w:t xml:space="preserve">Amplified </w:t>
            </w:r>
          </w:p>
        </w:tc>
        <w:tc>
          <w:tcPr>
            <w:tcW w:w="1530" w:type="dxa"/>
            <w:vAlign w:val="center"/>
          </w:tcPr>
          <w:p w14:paraId="2B16A488" w14:textId="77777777" w:rsidR="004D41BE" w:rsidRPr="00D01EDF" w:rsidRDefault="004D41BE" w:rsidP="00BA1535">
            <w:pPr>
              <w:spacing w:line="480" w:lineRule="auto"/>
              <w:rPr>
                <w:rFonts w:cstheme="minorHAnsi"/>
              </w:rPr>
            </w:pPr>
            <w:r w:rsidRPr="00D01EDF">
              <w:rPr>
                <w:rFonts w:cstheme="minorHAnsi"/>
              </w:rPr>
              <w:t xml:space="preserve">Unknown </w:t>
            </w:r>
          </w:p>
        </w:tc>
      </w:tr>
      <w:tr w:rsidR="004D41BE" w:rsidRPr="00D01EDF" w14:paraId="3626B600" w14:textId="77777777" w:rsidTr="00BA1535">
        <w:tc>
          <w:tcPr>
            <w:tcW w:w="1345" w:type="dxa"/>
            <w:vAlign w:val="center"/>
          </w:tcPr>
          <w:p w14:paraId="4B1648F5" w14:textId="77777777" w:rsidR="004D41BE" w:rsidRPr="00D01EDF" w:rsidRDefault="004D41BE" w:rsidP="00BA1535">
            <w:pPr>
              <w:spacing w:line="480" w:lineRule="auto"/>
              <w:rPr>
                <w:rFonts w:cstheme="minorHAnsi"/>
              </w:rPr>
            </w:pPr>
            <w:r w:rsidRPr="00D01EDF">
              <w:rPr>
                <w:rFonts w:cstheme="minorHAnsi"/>
              </w:rPr>
              <w:t>CHLA-171</w:t>
            </w:r>
          </w:p>
        </w:tc>
        <w:tc>
          <w:tcPr>
            <w:tcW w:w="990" w:type="dxa"/>
            <w:vAlign w:val="center"/>
          </w:tcPr>
          <w:p w14:paraId="30F9BCBE" w14:textId="77777777" w:rsidR="004D41BE" w:rsidRPr="00D01EDF" w:rsidRDefault="004D41BE" w:rsidP="00BA1535">
            <w:pPr>
              <w:spacing w:line="480" w:lineRule="auto"/>
              <w:rPr>
                <w:rFonts w:cstheme="minorHAnsi"/>
              </w:rPr>
            </w:pPr>
            <w:r w:rsidRPr="00D01EDF">
              <w:rPr>
                <w:rFonts w:cstheme="minorHAnsi"/>
              </w:rPr>
              <w:t>COG</w:t>
            </w:r>
          </w:p>
        </w:tc>
        <w:tc>
          <w:tcPr>
            <w:tcW w:w="2520" w:type="dxa"/>
            <w:vAlign w:val="center"/>
          </w:tcPr>
          <w:p w14:paraId="77CA816A" w14:textId="77777777" w:rsidR="004D41BE" w:rsidRPr="00D01EDF" w:rsidRDefault="004D41BE" w:rsidP="00BA1535">
            <w:pPr>
              <w:spacing w:line="480" w:lineRule="auto"/>
              <w:rPr>
                <w:rFonts w:cstheme="minorHAnsi"/>
              </w:rPr>
            </w:pPr>
            <w:r w:rsidRPr="00D01EDF">
              <w:rPr>
                <w:rFonts w:cstheme="minorHAnsi"/>
              </w:rPr>
              <w:t>3375C&gt;A (het; syn)</w:t>
            </w:r>
          </w:p>
        </w:tc>
        <w:tc>
          <w:tcPr>
            <w:tcW w:w="2070" w:type="dxa"/>
            <w:vAlign w:val="center"/>
          </w:tcPr>
          <w:p w14:paraId="2ED3A8C9" w14:textId="77777777" w:rsidR="004D41BE" w:rsidRPr="00D01EDF" w:rsidRDefault="004D41BE" w:rsidP="00BA1535">
            <w:pPr>
              <w:spacing w:line="480" w:lineRule="auto"/>
              <w:rPr>
                <w:rFonts w:cstheme="minorHAnsi"/>
              </w:rPr>
            </w:pPr>
          </w:p>
        </w:tc>
        <w:tc>
          <w:tcPr>
            <w:tcW w:w="1530" w:type="dxa"/>
            <w:vAlign w:val="center"/>
          </w:tcPr>
          <w:p w14:paraId="08FEE271" w14:textId="77777777" w:rsidR="004D41BE" w:rsidRPr="00D01EDF" w:rsidRDefault="004D41BE" w:rsidP="00BA1535">
            <w:pPr>
              <w:spacing w:line="480" w:lineRule="auto"/>
              <w:rPr>
                <w:rFonts w:cstheme="minorHAnsi"/>
              </w:rPr>
            </w:pPr>
            <w:r w:rsidRPr="00D01EDF">
              <w:rPr>
                <w:rFonts w:cstheme="minorHAnsi"/>
              </w:rPr>
              <w:t>Non-amplified</w:t>
            </w:r>
          </w:p>
        </w:tc>
        <w:tc>
          <w:tcPr>
            <w:tcW w:w="1530" w:type="dxa"/>
            <w:vAlign w:val="center"/>
          </w:tcPr>
          <w:p w14:paraId="3541BE1A" w14:textId="77777777" w:rsidR="004D41BE" w:rsidRPr="00D01EDF" w:rsidRDefault="004D41BE" w:rsidP="00BA1535">
            <w:pPr>
              <w:spacing w:line="480" w:lineRule="auto"/>
              <w:rPr>
                <w:rFonts w:cstheme="minorHAnsi"/>
              </w:rPr>
            </w:pPr>
            <w:r w:rsidRPr="00D01EDF">
              <w:rPr>
                <w:rFonts w:cstheme="minorHAnsi"/>
              </w:rPr>
              <w:t xml:space="preserve">Non-functional </w:t>
            </w:r>
          </w:p>
        </w:tc>
      </w:tr>
      <w:tr w:rsidR="004D41BE" w:rsidRPr="00D01EDF" w14:paraId="47021715" w14:textId="77777777" w:rsidTr="00BA1535">
        <w:tc>
          <w:tcPr>
            <w:tcW w:w="1345" w:type="dxa"/>
            <w:vAlign w:val="center"/>
          </w:tcPr>
          <w:p w14:paraId="0620ED94" w14:textId="77777777" w:rsidR="004D41BE" w:rsidRPr="00D01EDF" w:rsidRDefault="004D41BE" w:rsidP="00BA1535">
            <w:pPr>
              <w:spacing w:line="480" w:lineRule="auto"/>
              <w:rPr>
                <w:rFonts w:cstheme="minorHAnsi"/>
              </w:rPr>
            </w:pPr>
            <w:r w:rsidRPr="00D01EDF">
              <w:rPr>
                <w:rFonts w:cstheme="minorHAnsi"/>
              </w:rPr>
              <w:t>CHP-134</w:t>
            </w:r>
          </w:p>
        </w:tc>
        <w:tc>
          <w:tcPr>
            <w:tcW w:w="990" w:type="dxa"/>
            <w:vAlign w:val="center"/>
          </w:tcPr>
          <w:p w14:paraId="3846F67F" w14:textId="77777777" w:rsidR="004D41BE" w:rsidRPr="00D01EDF" w:rsidRDefault="004D41BE" w:rsidP="00BA1535">
            <w:pPr>
              <w:spacing w:line="480" w:lineRule="auto"/>
              <w:rPr>
                <w:rFonts w:cstheme="minorHAnsi"/>
              </w:rPr>
            </w:pPr>
            <w:r w:rsidRPr="00D01EDF">
              <w:rPr>
                <w:rFonts w:cstheme="minorHAnsi"/>
              </w:rPr>
              <w:t>ECACC</w:t>
            </w:r>
          </w:p>
        </w:tc>
        <w:tc>
          <w:tcPr>
            <w:tcW w:w="2520" w:type="dxa"/>
            <w:vAlign w:val="center"/>
          </w:tcPr>
          <w:p w14:paraId="156B34AA" w14:textId="77777777" w:rsidR="004D41BE" w:rsidRPr="00D01EDF" w:rsidRDefault="004D41BE" w:rsidP="00BA1535">
            <w:pPr>
              <w:spacing w:line="480" w:lineRule="auto"/>
              <w:rPr>
                <w:rFonts w:cstheme="minorHAnsi"/>
              </w:rPr>
            </w:pPr>
          </w:p>
        </w:tc>
        <w:tc>
          <w:tcPr>
            <w:tcW w:w="2070" w:type="dxa"/>
            <w:vAlign w:val="center"/>
          </w:tcPr>
          <w:p w14:paraId="4CD01F05" w14:textId="77777777" w:rsidR="004D41BE" w:rsidRPr="00D01EDF" w:rsidRDefault="004D41BE" w:rsidP="00BA1535">
            <w:pPr>
              <w:spacing w:line="480" w:lineRule="auto"/>
              <w:rPr>
                <w:rFonts w:cstheme="minorHAnsi"/>
              </w:rPr>
            </w:pPr>
          </w:p>
        </w:tc>
        <w:tc>
          <w:tcPr>
            <w:tcW w:w="1530" w:type="dxa"/>
            <w:vAlign w:val="center"/>
          </w:tcPr>
          <w:p w14:paraId="6742E4AC" w14:textId="77777777" w:rsidR="004D41BE" w:rsidRPr="00D01EDF" w:rsidRDefault="004D41BE" w:rsidP="00BA1535">
            <w:pPr>
              <w:spacing w:line="480" w:lineRule="auto"/>
              <w:rPr>
                <w:rFonts w:cstheme="minorHAnsi"/>
              </w:rPr>
            </w:pPr>
            <w:r w:rsidRPr="00D01EDF">
              <w:rPr>
                <w:rFonts w:cstheme="minorHAnsi"/>
              </w:rPr>
              <w:t>Amplified</w:t>
            </w:r>
          </w:p>
        </w:tc>
        <w:tc>
          <w:tcPr>
            <w:tcW w:w="1530" w:type="dxa"/>
            <w:vAlign w:val="center"/>
          </w:tcPr>
          <w:p w14:paraId="0C4B7CDE" w14:textId="77777777" w:rsidR="004D41BE" w:rsidRPr="00D01EDF" w:rsidRDefault="004D41BE" w:rsidP="00BA1535">
            <w:pPr>
              <w:spacing w:line="480" w:lineRule="auto"/>
              <w:rPr>
                <w:rFonts w:cstheme="minorHAnsi"/>
              </w:rPr>
            </w:pPr>
            <w:r w:rsidRPr="00D01EDF">
              <w:rPr>
                <w:rFonts w:cstheme="minorHAnsi"/>
              </w:rPr>
              <w:t>Functional</w:t>
            </w:r>
          </w:p>
        </w:tc>
      </w:tr>
      <w:tr w:rsidR="004D41BE" w:rsidRPr="00D01EDF" w14:paraId="2ADE4994" w14:textId="77777777" w:rsidTr="00BA1535">
        <w:tc>
          <w:tcPr>
            <w:tcW w:w="1345" w:type="dxa"/>
            <w:vAlign w:val="center"/>
          </w:tcPr>
          <w:p w14:paraId="363C5094" w14:textId="77777777" w:rsidR="004D41BE" w:rsidRPr="00D01EDF" w:rsidRDefault="004D41BE" w:rsidP="00BA1535">
            <w:pPr>
              <w:spacing w:line="480" w:lineRule="auto"/>
              <w:rPr>
                <w:rFonts w:cstheme="minorHAnsi"/>
              </w:rPr>
            </w:pPr>
            <w:r w:rsidRPr="00D01EDF">
              <w:rPr>
                <w:rFonts w:cstheme="minorHAnsi"/>
              </w:rPr>
              <w:t>GIMEN</w:t>
            </w:r>
          </w:p>
        </w:tc>
        <w:tc>
          <w:tcPr>
            <w:tcW w:w="990" w:type="dxa"/>
            <w:vAlign w:val="center"/>
          </w:tcPr>
          <w:p w14:paraId="42EC1056" w14:textId="77777777" w:rsidR="004D41BE" w:rsidRPr="00D01EDF" w:rsidRDefault="004D41BE" w:rsidP="00BA1535">
            <w:pPr>
              <w:spacing w:line="480" w:lineRule="auto"/>
              <w:rPr>
                <w:rFonts w:cstheme="minorHAnsi"/>
              </w:rPr>
            </w:pPr>
            <w:r w:rsidRPr="00D01EDF">
              <w:rPr>
                <w:rFonts w:cstheme="minorHAnsi"/>
              </w:rPr>
              <w:t>DSMZ</w:t>
            </w:r>
          </w:p>
        </w:tc>
        <w:tc>
          <w:tcPr>
            <w:tcW w:w="2520" w:type="dxa"/>
            <w:vAlign w:val="center"/>
          </w:tcPr>
          <w:p w14:paraId="753B9386" w14:textId="77777777" w:rsidR="004D41BE" w:rsidRPr="00D01EDF" w:rsidRDefault="004D41BE" w:rsidP="00BA1535">
            <w:pPr>
              <w:spacing w:line="480" w:lineRule="auto"/>
              <w:rPr>
                <w:rFonts w:cstheme="minorHAnsi"/>
              </w:rPr>
            </w:pPr>
          </w:p>
        </w:tc>
        <w:tc>
          <w:tcPr>
            <w:tcW w:w="2070" w:type="dxa"/>
            <w:vAlign w:val="center"/>
          </w:tcPr>
          <w:p w14:paraId="0997652F" w14:textId="77777777" w:rsidR="004D41BE" w:rsidRPr="00D01EDF" w:rsidRDefault="004D41BE" w:rsidP="00BA1535">
            <w:pPr>
              <w:spacing w:line="480" w:lineRule="auto"/>
              <w:rPr>
                <w:rFonts w:cstheme="minorHAnsi"/>
              </w:rPr>
            </w:pPr>
          </w:p>
        </w:tc>
        <w:tc>
          <w:tcPr>
            <w:tcW w:w="1530" w:type="dxa"/>
            <w:vAlign w:val="center"/>
          </w:tcPr>
          <w:p w14:paraId="101165F6" w14:textId="77777777" w:rsidR="004D41BE" w:rsidRPr="00D01EDF" w:rsidRDefault="004D41BE" w:rsidP="00BA1535">
            <w:pPr>
              <w:spacing w:line="480" w:lineRule="auto"/>
              <w:rPr>
                <w:rFonts w:cstheme="minorHAnsi"/>
              </w:rPr>
            </w:pPr>
            <w:r w:rsidRPr="00D01EDF">
              <w:rPr>
                <w:rFonts w:cstheme="minorHAnsi"/>
              </w:rPr>
              <w:t>Non-amplified</w:t>
            </w:r>
          </w:p>
        </w:tc>
        <w:tc>
          <w:tcPr>
            <w:tcW w:w="1530" w:type="dxa"/>
            <w:vAlign w:val="center"/>
          </w:tcPr>
          <w:p w14:paraId="06815674" w14:textId="77777777" w:rsidR="004D41BE" w:rsidRPr="00D01EDF" w:rsidRDefault="004D41BE" w:rsidP="00BA1535">
            <w:pPr>
              <w:spacing w:line="480" w:lineRule="auto"/>
              <w:rPr>
                <w:rFonts w:cstheme="minorHAnsi"/>
              </w:rPr>
            </w:pPr>
            <w:r w:rsidRPr="00D01EDF">
              <w:rPr>
                <w:rFonts w:cstheme="minorHAnsi"/>
              </w:rPr>
              <w:t xml:space="preserve">Functional </w:t>
            </w:r>
          </w:p>
        </w:tc>
      </w:tr>
      <w:tr w:rsidR="004D41BE" w:rsidRPr="00D01EDF" w14:paraId="3B0CB190" w14:textId="77777777" w:rsidTr="00BA1535">
        <w:tc>
          <w:tcPr>
            <w:tcW w:w="1345" w:type="dxa"/>
            <w:vAlign w:val="center"/>
          </w:tcPr>
          <w:p w14:paraId="2CB97767" w14:textId="77777777" w:rsidR="004D41BE" w:rsidRPr="00D01EDF" w:rsidRDefault="004D41BE" w:rsidP="00BA1535">
            <w:pPr>
              <w:spacing w:line="480" w:lineRule="auto"/>
              <w:rPr>
                <w:rFonts w:cstheme="minorHAnsi"/>
              </w:rPr>
            </w:pPr>
            <w:r w:rsidRPr="00D01EDF">
              <w:rPr>
                <w:rFonts w:cstheme="minorHAnsi"/>
              </w:rPr>
              <w:t>KELLY</w:t>
            </w:r>
          </w:p>
        </w:tc>
        <w:tc>
          <w:tcPr>
            <w:tcW w:w="990" w:type="dxa"/>
            <w:vAlign w:val="center"/>
          </w:tcPr>
          <w:p w14:paraId="62266C94" w14:textId="77777777" w:rsidR="004D41BE" w:rsidRPr="00D01EDF" w:rsidRDefault="004D41BE" w:rsidP="00BA1535">
            <w:pPr>
              <w:spacing w:line="480" w:lineRule="auto"/>
              <w:rPr>
                <w:rFonts w:cstheme="minorHAnsi"/>
              </w:rPr>
            </w:pPr>
            <w:r w:rsidRPr="00D01EDF">
              <w:rPr>
                <w:rFonts w:cstheme="minorHAnsi"/>
              </w:rPr>
              <w:t>ECACC</w:t>
            </w:r>
          </w:p>
        </w:tc>
        <w:tc>
          <w:tcPr>
            <w:tcW w:w="2520" w:type="dxa"/>
            <w:vAlign w:val="center"/>
          </w:tcPr>
          <w:p w14:paraId="77205283" w14:textId="77777777" w:rsidR="004D41BE" w:rsidRPr="00D01EDF" w:rsidRDefault="004D41BE" w:rsidP="00BA1535">
            <w:pPr>
              <w:spacing w:line="480" w:lineRule="auto"/>
              <w:rPr>
                <w:rFonts w:cstheme="minorHAnsi"/>
              </w:rPr>
            </w:pPr>
            <w:r w:rsidRPr="00D01EDF">
              <w:rPr>
                <w:rFonts w:cstheme="minorHAnsi"/>
              </w:rPr>
              <w:t>3522C&gt;A</w:t>
            </w:r>
          </w:p>
        </w:tc>
        <w:tc>
          <w:tcPr>
            <w:tcW w:w="2070" w:type="dxa"/>
            <w:vAlign w:val="center"/>
          </w:tcPr>
          <w:p w14:paraId="2E0A693F" w14:textId="77777777" w:rsidR="004D41BE" w:rsidRPr="00D01EDF" w:rsidRDefault="004D41BE" w:rsidP="00BA1535">
            <w:pPr>
              <w:spacing w:line="480" w:lineRule="auto"/>
              <w:rPr>
                <w:rFonts w:cstheme="minorHAnsi"/>
              </w:rPr>
            </w:pPr>
            <w:r w:rsidRPr="00D01EDF">
              <w:rPr>
                <w:rFonts w:cstheme="minorHAnsi"/>
              </w:rPr>
              <w:t>1174F&gt;L</w:t>
            </w:r>
          </w:p>
        </w:tc>
        <w:tc>
          <w:tcPr>
            <w:tcW w:w="1530" w:type="dxa"/>
            <w:vAlign w:val="center"/>
          </w:tcPr>
          <w:p w14:paraId="607460E3" w14:textId="77777777" w:rsidR="004D41BE" w:rsidRPr="00D01EDF" w:rsidRDefault="004D41BE" w:rsidP="00BA1535">
            <w:pPr>
              <w:spacing w:line="480" w:lineRule="auto"/>
              <w:rPr>
                <w:rFonts w:cstheme="minorHAnsi"/>
              </w:rPr>
            </w:pPr>
            <w:r w:rsidRPr="00D01EDF">
              <w:rPr>
                <w:rFonts w:cstheme="minorHAnsi"/>
              </w:rPr>
              <w:t>Amplified</w:t>
            </w:r>
          </w:p>
        </w:tc>
        <w:tc>
          <w:tcPr>
            <w:tcW w:w="1530" w:type="dxa"/>
            <w:vAlign w:val="center"/>
          </w:tcPr>
          <w:p w14:paraId="6BB5DDD9" w14:textId="77777777" w:rsidR="004D41BE" w:rsidRPr="00D01EDF" w:rsidRDefault="004D41BE" w:rsidP="00BA1535">
            <w:pPr>
              <w:spacing w:line="480" w:lineRule="auto"/>
              <w:rPr>
                <w:rFonts w:cstheme="minorHAnsi"/>
              </w:rPr>
            </w:pPr>
            <w:r w:rsidRPr="00D01EDF">
              <w:rPr>
                <w:rFonts w:cstheme="minorHAnsi"/>
              </w:rPr>
              <w:t>Non-functional</w:t>
            </w:r>
          </w:p>
        </w:tc>
      </w:tr>
      <w:tr w:rsidR="004D41BE" w:rsidRPr="00D01EDF" w14:paraId="490807A5" w14:textId="77777777" w:rsidTr="00BA1535">
        <w:tc>
          <w:tcPr>
            <w:tcW w:w="1345" w:type="dxa"/>
            <w:vAlign w:val="center"/>
          </w:tcPr>
          <w:p w14:paraId="7104B228" w14:textId="77777777" w:rsidR="004D41BE" w:rsidRPr="00D01EDF" w:rsidRDefault="004D41BE" w:rsidP="00BA1535">
            <w:pPr>
              <w:spacing w:line="480" w:lineRule="auto"/>
              <w:rPr>
                <w:rFonts w:cstheme="minorHAnsi"/>
              </w:rPr>
            </w:pPr>
            <w:r w:rsidRPr="00D01EDF">
              <w:rPr>
                <w:rFonts w:cstheme="minorHAnsi"/>
              </w:rPr>
              <w:t>LAN-1</w:t>
            </w:r>
          </w:p>
        </w:tc>
        <w:tc>
          <w:tcPr>
            <w:tcW w:w="990" w:type="dxa"/>
            <w:vAlign w:val="center"/>
          </w:tcPr>
          <w:p w14:paraId="5C33A85C" w14:textId="77777777" w:rsidR="004D41BE" w:rsidRPr="00D01EDF" w:rsidRDefault="004D41BE" w:rsidP="00BA1535">
            <w:pPr>
              <w:spacing w:line="480" w:lineRule="auto"/>
              <w:rPr>
                <w:rFonts w:cstheme="minorHAnsi"/>
              </w:rPr>
            </w:pPr>
            <w:r w:rsidRPr="00D01EDF">
              <w:rPr>
                <w:rFonts w:cstheme="minorHAnsi"/>
              </w:rPr>
              <w:t>ECACC</w:t>
            </w:r>
          </w:p>
        </w:tc>
        <w:tc>
          <w:tcPr>
            <w:tcW w:w="2520" w:type="dxa"/>
            <w:vAlign w:val="center"/>
          </w:tcPr>
          <w:p w14:paraId="44CEA6C4" w14:textId="77777777" w:rsidR="004D41BE" w:rsidRPr="00D01EDF" w:rsidRDefault="004D41BE" w:rsidP="00BA1535">
            <w:pPr>
              <w:spacing w:line="480" w:lineRule="auto"/>
              <w:rPr>
                <w:rFonts w:cstheme="minorHAnsi"/>
              </w:rPr>
            </w:pPr>
            <w:r w:rsidRPr="00D01EDF">
              <w:rPr>
                <w:rFonts w:cstheme="minorHAnsi"/>
              </w:rPr>
              <w:t xml:space="preserve">3375C&gt;A (het; syn); </w:t>
            </w:r>
          </w:p>
          <w:p w14:paraId="46E082C5" w14:textId="77777777" w:rsidR="004D41BE" w:rsidRPr="00D01EDF" w:rsidRDefault="004D41BE" w:rsidP="00BA1535">
            <w:pPr>
              <w:spacing w:line="480" w:lineRule="auto"/>
              <w:rPr>
                <w:rFonts w:cstheme="minorHAnsi"/>
              </w:rPr>
            </w:pPr>
            <w:r w:rsidRPr="00D01EDF">
              <w:rPr>
                <w:rFonts w:cstheme="minorHAnsi"/>
              </w:rPr>
              <w:t>3522C&gt;A</w:t>
            </w:r>
          </w:p>
        </w:tc>
        <w:tc>
          <w:tcPr>
            <w:tcW w:w="2070" w:type="dxa"/>
            <w:vAlign w:val="center"/>
          </w:tcPr>
          <w:p w14:paraId="2E05AA0A" w14:textId="77777777" w:rsidR="004D41BE" w:rsidRPr="00D01EDF" w:rsidRDefault="004D41BE" w:rsidP="00BA1535">
            <w:pPr>
              <w:spacing w:line="480" w:lineRule="auto"/>
              <w:rPr>
                <w:rFonts w:cstheme="minorHAnsi"/>
              </w:rPr>
            </w:pPr>
            <w:r w:rsidRPr="00D01EDF">
              <w:rPr>
                <w:rFonts w:cstheme="minorHAnsi"/>
              </w:rPr>
              <w:t>1174F&gt;L</w:t>
            </w:r>
          </w:p>
        </w:tc>
        <w:tc>
          <w:tcPr>
            <w:tcW w:w="1530" w:type="dxa"/>
            <w:vAlign w:val="center"/>
          </w:tcPr>
          <w:p w14:paraId="2A591FBF" w14:textId="77777777" w:rsidR="004D41BE" w:rsidRPr="00D01EDF" w:rsidRDefault="004D41BE" w:rsidP="00BA1535">
            <w:pPr>
              <w:spacing w:line="480" w:lineRule="auto"/>
              <w:rPr>
                <w:rFonts w:cstheme="minorHAnsi"/>
              </w:rPr>
            </w:pPr>
            <w:r w:rsidRPr="00D01EDF">
              <w:rPr>
                <w:rFonts w:cstheme="minorHAnsi"/>
              </w:rPr>
              <w:t>Amplified</w:t>
            </w:r>
          </w:p>
        </w:tc>
        <w:tc>
          <w:tcPr>
            <w:tcW w:w="1530" w:type="dxa"/>
            <w:vAlign w:val="center"/>
          </w:tcPr>
          <w:p w14:paraId="38239B42" w14:textId="77777777" w:rsidR="004D41BE" w:rsidRPr="00D01EDF" w:rsidRDefault="004D41BE" w:rsidP="00BA1535">
            <w:pPr>
              <w:spacing w:line="480" w:lineRule="auto"/>
              <w:rPr>
                <w:rFonts w:cstheme="minorHAnsi"/>
              </w:rPr>
            </w:pPr>
            <w:r w:rsidRPr="00D01EDF">
              <w:rPr>
                <w:rFonts w:cstheme="minorHAnsi"/>
              </w:rPr>
              <w:t>Non-functional</w:t>
            </w:r>
          </w:p>
        </w:tc>
      </w:tr>
      <w:tr w:rsidR="004D41BE" w:rsidRPr="00D01EDF" w14:paraId="79D41DDA" w14:textId="77777777" w:rsidTr="00BA1535">
        <w:tc>
          <w:tcPr>
            <w:tcW w:w="1345" w:type="dxa"/>
            <w:vAlign w:val="center"/>
          </w:tcPr>
          <w:p w14:paraId="541A2885" w14:textId="77777777" w:rsidR="004D41BE" w:rsidRPr="00D01EDF" w:rsidRDefault="004D41BE" w:rsidP="00BA1535">
            <w:pPr>
              <w:spacing w:line="480" w:lineRule="auto"/>
              <w:rPr>
                <w:rFonts w:cstheme="minorHAnsi"/>
              </w:rPr>
            </w:pPr>
            <w:r w:rsidRPr="00D01EDF">
              <w:rPr>
                <w:rFonts w:cstheme="minorHAnsi"/>
              </w:rPr>
              <w:t>LAN-6</w:t>
            </w:r>
          </w:p>
        </w:tc>
        <w:tc>
          <w:tcPr>
            <w:tcW w:w="990" w:type="dxa"/>
            <w:vAlign w:val="center"/>
          </w:tcPr>
          <w:p w14:paraId="0A915F85" w14:textId="77777777" w:rsidR="004D41BE" w:rsidRPr="00D01EDF" w:rsidRDefault="004D41BE" w:rsidP="00BA1535">
            <w:pPr>
              <w:spacing w:line="480" w:lineRule="auto"/>
              <w:rPr>
                <w:rFonts w:cstheme="minorHAnsi"/>
              </w:rPr>
            </w:pPr>
            <w:r w:rsidRPr="00D01EDF">
              <w:rPr>
                <w:rFonts w:cstheme="minorHAnsi"/>
              </w:rPr>
              <w:t>COG</w:t>
            </w:r>
          </w:p>
        </w:tc>
        <w:tc>
          <w:tcPr>
            <w:tcW w:w="2520" w:type="dxa"/>
            <w:vAlign w:val="center"/>
          </w:tcPr>
          <w:p w14:paraId="060A25B2" w14:textId="77777777" w:rsidR="004D41BE" w:rsidRPr="00D01EDF" w:rsidRDefault="004D41BE" w:rsidP="00BA1535">
            <w:pPr>
              <w:spacing w:line="480" w:lineRule="auto"/>
              <w:rPr>
                <w:rFonts w:cstheme="minorHAnsi"/>
              </w:rPr>
            </w:pPr>
          </w:p>
        </w:tc>
        <w:tc>
          <w:tcPr>
            <w:tcW w:w="2070" w:type="dxa"/>
            <w:vAlign w:val="center"/>
          </w:tcPr>
          <w:p w14:paraId="4E54CFDE" w14:textId="77777777" w:rsidR="004D41BE" w:rsidRPr="00D01EDF" w:rsidRDefault="004D41BE" w:rsidP="00BA1535">
            <w:pPr>
              <w:spacing w:line="480" w:lineRule="auto"/>
              <w:rPr>
                <w:rFonts w:cstheme="minorHAnsi"/>
              </w:rPr>
            </w:pPr>
          </w:p>
        </w:tc>
        <w:tc>
          <w:tcPr>
            <w:tcW w:w="1530" w:type="dxa"/>
            <w:vAlign w:val="center"/>
          </w:tcPr>
          <w:p w14:paraId="26B745F3" w14:textId="77777777" w:rsidR="004D41BE" w:rsidRPr="00D01EDF" w:rsidRDefault="004D41BE" w:rsidP="00BA1535">
            <w:pPr>
              <w:spacing w:line="480" w:lineRule="auto"/>
              <w:rPr>
                <w:rFonts w:cstheme="minorHAnsi"/>
              </w:rPr>
            </w:pPr>
            <w:r w:rsidRPr="00D01EDF">
              <w:rPr>
                <w:rFonts w:cstheme="minorHAnsi"/>
              </w:rPr>
              <w:t>Non-amplified</w:t>
            </w:r>
          </w:p>
        </w:tc>
        <w:tc>
          <w:tcPr>
            <w:tcW w:w="1530" w:type="dxa"/>
            <w:vAlign w:val="center"/>
          </w:tcPr>
          <w:p w14:paraId="60034DFF" w14:textId="77777777" w:rsidR="004D41BE" w:rsidRPr="00D01EDF" w:rsidRDefault="004D41BE" w:rsidP="00BA1535">
            <w:pPr>
              <w:spacing w:line="480" w:lineRule="auto"/>
              <w:rPr>
                <w:rFonts w:cstheme="minorHAnsi"/>
              </w:rPr>
            </w:pPr>
            <w:r w:rsidRPr="00D01EDF">
              <w:rPr>
                <w:rFonts w:cstheme="minorHAnsi"/>
              </w:rPr>
              <w:t>Functional</w:t>
            </w:r>
          </w:p>
        </w:tc>
      </w:tr>
      <w:tr w:rsidR="004D41BE" w:rsidRPr="00D01EDF" w14:paraId="5FB5DB4F" w14:textId="77777777" w:rsidTr="00BA1535">
        <w:tc>
          <w:tcPr>
            <w:tcW w:w="1345" w:type="dxa"/>
            <w:vAlign w:val="center"/>
          </w:tcPr>
          <w:p w14:paraId="598A3BD0" w14:textId="77777777" w:rsidR="004D41BE" w:rsidRPr="00D01EDF" w:rsidRDefault="004D41BE" w:rsidP="00BA1535">
            <w:pPr>
              <w:spacing w:line="480" w:lineRule="auto"/>
              <w:rPr>
                <w:rFonts w:cstheme="minorHAnsi"/>
              </w:rPr>
            </w:pPr>
            <w:r w:rsidRPr="00D01EDF">
              <w:rPr>
                <w:rFonts w:cstheme="minorHAnsi"/>
              </w:rPr>
              <w:t>NB1643</w:t>
            </w:r>
          </w:p>
        </w:tc>
        <w:tc>
          <w:tcPr>
            <w:tcW w:w="990" w:type="dxa"/>
            <w:vAlign w:val="center"/>
          </w:tcPr>
          <w:p w14:paraId="27259213" w14:textId="77777777" w:rsidR="004D41BE" w:rsidRPr="00D01EDF" w:rsidRDefault="004D41BE" w:rsidP="00BA1535">
            <w:pPr>
              <w:spacing w:line="480" w:lineRule="auto"/>
              <w:rPr>
                <w:rFonts w:cstheme="minorHAnsi"/>
              </w:rPr>
            </w:pPr>
            <w:r w:rsidRPr="00D01EDF">
              <w:rPr>
                <w:rFonts w:cstheme="minorHAnsi"/>
              </w:rPr>
              <w:t>COG</w:t>
            </w:r>
          </w:p>
        </w:tc>
        <w:tc>
          <w:tcPr>
            <w:tcW w:w="2520" w:type="dxa"/>
            <w:vAlign w:val="center"/>
          </w:tcPr>
          <w:p w14:paraId="6761B1E0" w14:textId="77777777" w:rsidR="004D41BE" w:rsidRPr="00D01EDF" w:rsidRDefault="004D41BE" w:rsidP="00BA1535">
            <w:pPr>
              <w:spacing w:line="480" w:lineRule="auto"/>
              <w:rPr>
                <w:rFonts w:cstheme="minorHAnsi"/>
              </w:rPr>
            </w:pPr>
            <w:r w:rsidRPr="00D01EDF">
              <w:rPr>
                <w:rFonts w:cstheme="minorHAnsi"/>
              </w:rPr>
              <w:t>3824G&gt;A</w:t>
            </w:r>
          </w:p>
        </w:tc>
        <w:tc>
          <w:tcPr>
            <w:tcW w:w="2070" w:type="dxa"/>
            <w:vAlign w:val="center"/>
          </w:tcPr>
          <w:p w14:paraId="29F1C973" w14:textId="77777777" w:rsidR="004D41BE" w:rsidRPr="00D01EDF" w:rsidRDefault="004D41BE" w:rsidP="00BA1535">
            <w:pPr>
              <w:spacing w:line="480" w:lineRule="auto"/>
              <w:rPr>
                <w:rFonts w:cstheme="minorHAnsi"/>
              </w:rPr>
            </w:pPr>
            <w:r w:rsidRPr="00D01EDF">
              <w:rPr>
                <w:rFonts w:cstheme="minorHAnsi"/>
              </w:rPr>
              <w:t>1275R&gt;Q</w:t>
            </w:r>
          </w:p>
        </w:tc>
        <w:tc>
          <w:tcPr>
            <w:tcW w:w="1530" w:type="dxa"/>
            <w:vAlign w:val="center"/>
          </w:tcPr>
          <w:p w14:paraId="3BCA09E8" w14:textId="77777777" w:rsidR="004D41BE" w:rsidRPr="00D01EDF" w:rsidRDefault="004D41BE" w:rsidP="00BA1535">
            <w:pPr>
              <w:spacing w:line="480" w:lineRule="auto"/>
              <w:rPr>
                <w:rFonts w:cstheme="minorHAnsi"/>
              </w:rPr>
            </w:pPr>
            <w:r w:rsidRPr="00D01EDF">
              <w:rPr>
                <w:rFonts w:cstheme="minorHAnsi"/>
              </w:rPr>
              <w:t>Amplified</w:t>
            </w:r>
          </w:p>
        </w:tc>
        <w:tc>
          <w:tcPr>
            <w:tcW w:w="1530" w:type="dxa"/>
            <w:vAlign w:val="center"/>
          </w:tcPr>
          <w:p w14:paraId="50EAEDE9" w14:textId="77777777" w:rsidR="004D41BE" w:rsidRPr="00D01EDF" w:rsidRDefault="004D41BE" w:rsidP="00BA1535">
            <w:pPr>
              <w:spacing w:line="480" w:lineRule="auto"/>
              <w:rPr>
                <w:rFonts w:cstheme="minorHAnsi"/>
              </w:rPr>
            </w:pPr>
            <w:r w:rsidRPr="00D01EDF">
              <w:rPr>
                <w:rFonts w:cstheme="minorHAnsi"/>
              </w:rPr>
              <w:t>Functional</w:t>
            </w:r>
          </w:p>
        </w:tc>
      </w:tr>
      <w:tr w:rsidR="004D41BE" w:rsidRPr="00D01EDF" w14:paraId="6FBA5602" w14:textId="77777777" w:rsidTr="00BA1535">
        <w:tc>
          <w:tcPr>
            <w:tcW w:w="1345" w:type="dxa"/>
            <w:vAlign w:val="center"/>
          </w:tcPr>
          <w:p w14:paraId="5EAB5378" w14:textId="77777777" w:rsidR="004D41BE" w:rsidRPr="00D01EDF" w:rsidRDefault="004D41BE" w:rsidP="00BA1535">
            <w:pPr>
              <w:spacing w:line="480" w:lineRule="auto"/>
              <w:rPr>
                <w:rFonts w:cstheme="minorHAnsi"/>
              </w:rPr>
            </w:pPr>
            <w:r w:rsidRPr="00D01EDF">
              <w:rPr>
                <w:rFonts w:cstheme="minorHAnsi"/>
              </w:rPr>
              <w:t>NBEBC1</w:t>
            </w:r>
          </w:p>
        </w:tc>
        <w:tc>
          <w:tcPr>
            <w:tcW w:w="990" w:type="dxa"/>
            <w:vAlign w:val="center"/>
          </w:tcPr>
          <w:p w14:paraId="6DAE0067" w14:textId="77777777" w:rsidR="004D41BE" w:rsidRPr="00D01EDF" w:rsidRDefault="004D41BE" w:rsidP="00BA1535">
            <w:pPr>
              <w:spacing w:line="480" w:lineRule="auto"/>
              <w:rPr>
                <w:rFonts w:cstheme="minorHAnsi"/>
              </w:rPr>
            </w:pPr>
            <w:r w:rsidRPr="00D01EDF">
              <w:rPr>
                <w:rFonts w:cstheme="minorHAnsi"/>
              </w:rPr>
              <w:t>COG</w:t>
            </w:r>
          </w:p>
        </w:tc>
        <w:tc>
          <w:tcPr>
            <w:tcW w:w="2520" w:type="dxa"/>
            <w:vAlign w:val="center"/>
          </w:tcPr>
          <w:p w14:paraId="47525924" w14:textId="77777777" w:rsidR="004D41BE" w:rsidRPr="00D01EDF" w:rsidRDefault="004D41BE" w:rsidP="00BA1535">
            <w:pPr>
              <w:spacing w:line="480" w:lineRule="auto"/>
              <w:rPr>
                <w:rFonts w:cstheme="minorHAnsi"/>
              </w:rPr>
            </w:pPr>
            <w:r w:rsidRPr="00D01EDF">
              <w:rPr>
                <w:rFonts w:cstheme="minorHAnsi"/>
              </w:rPr>
              <w:t>3375C&gt;A (het; syn)</w:t>
            </w:r>
          </w:p>
        </w:tc>
        <w:tc>
          <w:tcPr>
            <w:tcW w:w="2070" w:type="dxa"/>
            <w:vAlign w:val="center"/>
          </w:tcPr>
          <w:p w14:paraId="3D329F4F" w14:textId="77777777" w:rsidR="004D41BE" w:rsidRPr="00D01EDF" w:rsidRDefault="004D41BE" w:rsidP="00BA1535">
            <w:pPr>
              <w:spacing w:line="480" w:lineRule="auto"/>
              <w:rPr>
                <w:rFonts w:cstheme="minorHAnsi"/>
              </w:rPr>
            </w:pPr>
          </w:p>
        </w:tc>
        <w:tc>
          <w:tcPr>
            <w:tcW w:w="1530" w:type="dxa"/>
            <w:vAlign w:val="center"/>
          </w:tcPr>
          <w:p w14:paraId="5A165C62" w14:textId="77777777" w:rsidR="004D41BE" w:rsidRPr="00D01EDF" w:rsidRDefault="004D41BE" w:rsidP="00BA1535">
            <w:pPr>
              <w:spacing w:line="480" w:lineRule="auto"/>
              <w:rPr>
                <w:rFonts w:cstheme="minorHAnsi"/>
              </w:rPr>
            </w:pPr>
            <w:r w:rsidRPr="00D01EDF">
              <w:rPr>
                <w:rFonts w:cstheme="minorHAnsi"/>
              </w:rPr>
              <w:t>Amplified</w:t>
            </w:r>
          </w:p>
        </w:tc>
        <w:tc>
          <w:tcPr>
            <w:tcW w:w="1530" w:type="dxa"/>
            <w:vAlign w:val="center"/>
          </w:tcPr>
          <w:p w14:paraId="26E30EC5" w14:textId="77777777" w:rsidR="004D41BE" w:rsidRPr="00D01EDF" w:rsidRDefault="004D41BE" w:rsidP="00BA1535">
            <w:pPr>
              <w:spacing w:line="480" w:lineRule="auto"/>
              <w:rPr>
                <w:rFonts w:cstheme="minorHAnsi"/>
              </w:rPr>
            </w:pPr>
            <w:r w:rsidRPr="00D01EDF">
              <w:rPr>
                <w:rFonts w:cstheme="minorHAnsi"/>
              </w:rPr>
              <w:t>Unknown</w:t>
            </w:r>
          </w:p>
        </w:tc>
      </w:tr>
      <w:tr w:rsidR="004D41BE" w:rsidRPr="00D01EDF" w14:paraId="467B8CF4" w14:textId="77777777" w:rsidTr="00BA1535">
        <w:tc>
          <w:tcPr>
            <w:tcW w:w="1345" w:type="dxa"/>
            <w:vAlign w:val="center"/>
          </w:tcPr>
          <w:p w14:paraId="5A827EA4" w14:textId="77777777" w:rsidR="004D41BE" w:rsidRPr="00D01EDF" w:rsidRDefault="004D41BE" w:rsidP="00BA1535">
            <w:pPr>
              <w:spacing w:line="480" w:lineRule="auto"/>
              <w:rPr>
                <w:rFonts w:cstheme="minorHAnsi"/>
              </w:rPr>
            </w:pPr>
            <w:r w:rsidRPr="00D01EDF">
              <w:rPr>
                <w:rFonts w:cstheme="minorHAnsi"/>
              </w:rPr>
              <w:t>NBL-S</w:t>
            </w:r>
          </w:p>
        </w:tc>
        <w:tc>
          <w:tcPr>
            <w:tcW w:w="990" w:type="dxa"/>
            <w:vAlign w:val="center"/>
          </w:tcPr>
          <w:p w14:paraId="5B41336A" w14:textId="77777777" w:rsidR="004D41BE" w:rsidRPr="00D01EDF" w:rsidRDefault="004D41BE" w:rsidP="00BA1535">
            <w:pPr>
              <w:spacing w:line="480" w:lineRule="auto"/>
              <w:rPr>
                <w:rFonts w:cstheme="minorHAnsi"/>
              </w:rPr>
            </w:pPr>
            <w:r w:rsidRPr="00D01EDF">
              <w:rPr>
                <w:rFonts w:cstheme="minorHAnsi"/>
              </w:rPr>
              <w:t>DSMZ</w:t>
            </w:r>
          </w:p>
        </w:tc>
        <w:tc>
          <w:tcPr>
            <w:tcW w:w="2520" w:type="dxa"/>
            <w:vAlign w:val="center"/>
          </w:tcPr>
          <w:p w14:paraId="6F5E618A" w14:textId="77777777" w:rsidR="004D41BE" w:rsidRPr="00D01EDF" w:rsidRDefault="004D41BE" w:rsidP="00BA1535">
            <w:pPr>
              <w:spacing w:line="480" w:lineRule="auto"/>
              <w:rPr>
                <w:rFonts w:cstheme="minorHAnsi"/>
              </w:rPr>
            </w:pPr>
          </w:p>
        </w:tc>
        <w:tc>
          <w:tcPr>
            <w:tcW w:w="2070" w:type="dxa"/>
            <w:vAlign w:val="center"/>
          </w:tcPr>
          <w:p w14:paraId="12D0EAE3" w14:textId="77777777" w:rsidR="004D41BE" w:rsidRPr="00D01EDF" w:rsidRDefault="004D41BE" w:rsidP="00BA1535">
            <w:pPr>
              <w:spacing w:line="480" w:lineRule="auto"/>
              <w:rPr>
                <w:rFonts w:cstheme="minorHAnsi"/>
              </w:rPr>
            </w:pPr>
          </w:p>
        </w:tc>
        <w:tc>
          <w:tcPr>
            <w:tcW w:w="1530" w:type="dxa"/>
            <w:vAlign w:val="center"/>
          </w:tcPr>
          <w:p w14:paraId="73CFD4C3" w14:textId="77777777" w:rsidR="004D41BE" w:rsidRPr="00D01EDF" w:rsidRDefault="004D41BE" w:rsidP="00BA1535">
            <w:pPr>
              <w:spacing w:line="480" w:lineRule="auto"/>
              <w:rPr>
                <w:rFonts w:cstheme="minorHAnsi"/>
              </w:rPr>
            </w:pPr>
            <w:r w:rsidRPr="00D01EDF">
              <w:rPr>
                <w:rFonts w:cstheme="minorHAnsi"/>
              </w:rPr>
              <w:t>Non-amplified</w:t>
            </w:r>
          </w:p>
        </w:tc>
        <w:tc>
          <w:tcPr>
            <w:tcW w:w="1530" w:type="dxa"/>
            <w:vAlign w:val="center"/>
          </w:tcPr>
          <w:p w14:paraId="072235EE" w14:textId="77777777" w:rsidR="004D41BE" w:rsidRPr="00D01EDF" w:rsidRDefault="004D41BE" w:rsidP="00BA1535">
            <w:pPr>
              <w:spacing w:line="480" w:lineRule="auto"/>
              <w:rPr>
                <w:rFonts w:cstheme="minorHAnsi"/>
              </w:rPr>
            </w:pPr>
            <w:r w:rsidRPr="00D01EDF">
              <w:rPr>
                <w:rFonts w:cstheme="minorHAnsi"/>
              </w:rPr>
              <w:t>Functional</w:t>
            </w:r>
          </w:p>
        </w:tc>
      </w:tr>
      <w:tr w:rsidR="004D41BE" w:rsidRPr="00D01EDF" w14:paraId="3FB49397" w14:textId="77777777" w:rsidTr="00BA1535">
        <w:tc>
          <w:tcPr>
            <w:tcW w:w="1345" w:type="dxa"/>
            <w:vAlign w:val="center"/>
          </w:tcPr>
          <w:p w14:paraId="0CDB4DE7" w14:textId="77777777" w:rsidR="004D41BE" w:rsidRPr="00D01EDF" w:rsidRDefault="004D41BE" w:rsidP="00BA1535">
            <w:pPr>
              <w:spacing w:line="480" w:lineRule="auto"/>
              <w:rPr>
                <w:rFonts w:cstheme="minorHAnsi"/>
              </w:rPr>
            </w:pPr>
            <w:r w:rsidRPr="00D01EDF">
              <w:rPr>
                <w:rFonts w:cstheme="minorHAnsi"/>
              </w:rPr>
              <w:lastRenderedPageBreak/>
              <w:t>NGP</w:t>
            </w:r>
          </w:p>
        </w:tc>
        <w:tc>
          <w:tcPr>
            <w:tcW w:w="990" w:type="dxa"/>
            <w:vAlign w:val="center"/>
          </w:tcPr>
          <w:p w14:paraId="5448418D" w14:textId="77777777" w:rsidR="004D41BE" w:rsidRPr="00D01EDF" w:rsidRDefault="004D41BE" w:rsidP="00BA1535">
            <w:pPr>
              <w:spacing w:line="480" w:lineRule="auto"/>
              <w:rPr>
                <w:rFonts w:cstheme="minorHAnsi"/>
              </w:rPr>
            </w:pPr>
            <w:r w:rsidRPr="00D01EDF">
              <w:rPr>
                <w:rFonts w:cstheme="minorHAnsi"/>
              </w:rPr>
              <w:t>DSMZ</w:t>
            </w:r>
          </w:p>
        </w:tc>
        <w:tc>
          <w:tcPr>
            <w:tcW w:w="2520" w:type="dxa"/>
            <w:vAlign w:val="center"/>
          </w:tcPr>
          <w:p w14:paraId="7307A59F" w14:textId="77777777" w:rsidR="004D41BE" w:rsidRPr="00D01EDF" w:rsidRDefault="004D41BE" w:rsidP="00BA1535">
            <w:pPr>
              <w:spacing w:line="480" w:lineRule="auto"/>
              <w:rPr>
                <w:rFonts w:cstheme="minorHAnsi"/>
              </w:rPr>
            </w:pPr>
          </w:p>
        </w:tc>
        <w:tc>
          <w:tcPr>
            <w:tcW w:w="2070" w:type="dxa"/>
            <w:vAlign w:val="center"/>
          </w:tcPr>
          <w:p w14:paraId="0769B815" w14:textId="77777777" w:rsidR="004D41BE" w:rsidRPr="00D01EDF" w:rsidRDefault="004D41BE" w:rsidP="00BA1535">
            <w:pPr>
              <w:spacing w:line="480" w:lineRule="auto"/>
              <w:rPr>
                <w:rFonts w:cstheme="minorHAnsi"/>
              </w:rPr>
            </w:pPr>
          </w:p>
        </w:tc>
        <w:tc>
          <w:tcPr>
            <w:tcW w:w="1530" w:type="dxa"/>
            <w:vAlign w:val="center"/>
          </w:tcPr>
          <w:p w14:paraId="7DC79FB8" w14:textId="77777777" w:rsidR="004D41BE" w:rsidRPr="00D01EDF" w:rsidRDefault="004D41BE" w:rsidP="00BA1535">
            <w:pPr>
              <w:spacing w:line="480" w:lineRule="auto"/>
              <w:rPr>
                <w:rFonts w:cstheme="minorHAnsi"/>
              </w:rPr>
            </w:pPr>
            <w:r w:rsidRPr="00D01EDF">
              <w:rPr>
                <w:rFonts w:cstheme="minorHAnsi"/>
              </w:rPr>
              <w:t>Amplified</w:t>
            </w:r>
          </w:p>
        </w:tc>
        <w:tc>
          <w:tcPr>
            <w:tcW w:w="1530" w:type="dxa"/>
            <w:vAlign w:val="center"/>
          </w:tcPr>
          <w:p w14:paraId="6E47487B" w14:textId="77777777" w:rsidR="004D41BE" w:rsidRPr="00D01EDF" w:rsidRDefault="004D41BE" w:rsidP="00BA1535">
            <w:pPr>
              <w:spacing w:line="480" w:lineRule="auto"/>
              <w:rPr>
                <w:rFonts w:cstheme="minorHAnsi"/>
              </w:rPr>
            </w:pPr>
            <w:r w:rsidRPr="00D01EDF">
              <w:rPr>
                <w:rFonts w:cstheme="minorHAnsi"/>
              </w:rPr>
              <w:t>Functional</w:t>
            </w:r>
          </w:p>
        </w:tc>
      </w:tr>
      <w:tr w:rsidR="004D41BE" w:rsidRPr="00D01EDF" w14:paraId="2F33A291" w14:textId="77777777" w:rsidTr="00BA1535">
        <w:tc>
          <w:tcPr>
            <w:tcW w:w="1345" w:type="dxa"/>
            <w:vAlign w:val="center"/>
          </w:tcPr>
          <w:p w14:paraId="0D8ED9E8" w14:textId="77777777" w:rsidR="004D41BE" w:rsidRPr="00D01EDF" w:rsidRDefault="004D41BE" w:rsidP="00BA1535">
            <w:pPr>
              <w:spacing w:line="480" w:lineRule="auto"/>
              <w:rPr>
                <w:rFonts w:cstheme="minorHAnsi"/>
              </w:rPr>
            </w:pPr>
            <w:r w:rsidRPr="00D01EDF">
              <w:rPr>
                <w:rFonts w:cstheme="minorHAnsi"/>
              </w:rPr>
              <w:t>SH-SY5Y</w:t>
            </w:r>
          </w:p>
        </w:tc>
        <w:tc>
          <w:tcPr>
            <w:tcW w:w="990" w:type="dxa"/>
            <w:vAlign w:val="center"/>
          </w:tcPr>
          <w:p w14:paraId="3C4A48C9" w14:textId="77777777" w:rsidR="004D41BE" w:rsidRPr="00D01EDF" w:rsidRDefault="004D41BE" w:rsidP="00BA1535">
            <w:pPr>
              <w:spacing w:line="480" w:lineRule="auto"/>
              <w:rPr>
                <w:rFonts w:cstheme="minorHAnsi"/>
              </w:rPr>
            </w:pPr>
            <w:r w:rsidRPr="00D01EDF">
              <w:rPr>
                <w:rFonts w:cstheme="minorHAnsi"/>
              </w:rPr>
              <w:t>ECACC</w:t>
            </w:r>
          </w:p>
        </w:tc>
        <w:tc>
          <w:tcPr>
            <w:tcW w:w="2520" w:type="dxa"/>
            <w:vAlign w:val="center"/>
          </w:tcPr>
          <w:p w14:paraId="08D72702" w14:textId="77777777" w:rsidR="004D41BE" w:rsidRPr="00D01EDF" w:rsidRDefault="004D41BE" w:rsidP="00BA1535">
            <w:pPr>
              <w:spacing w:line="480" w:lineRule="auto"/>
              <w:rPr>
                <w:rFonts w:cstheme="minorHAnsi"/>
              </w:rPr>
            </w:pPr>
            <w:r w:rsidRPr="00D01EDF">
              <w:rPr>
                <w:rFonts w:cstheme="minorHAnsi"/>
              </w:rPr>
              <w:t>3522C:A (het)</w:t>
            </w:r>
          </w:p>
        </w:tc>
        <w:tc>
          <w:tcPr>
            <w:tcW w:w="2070" w:type="dxa"/>
            <w:vAlign w:val="center"/>
          </w:tcPr>
          <w:p w14:paraId="41001EFD" w14:textId="77777777" w:rsidR="004D41BE" w:rsidRPr="00D01EDF" w:rsidRDefault="004D41BE" w:rsidP="00BA1535">
            <w:pPr>
              <w:spacing w:line="480" w:lineRule="auto"/>
              <w:rPr>
                <w:rFonts w:cstheme="minorHAnsi"/>
              </w:rPr>
            </w:pPr>
            <w:r w:rsidRPr="00D01EDF">
              <w:rPr>
                <w:rFonts w:cstheme="minorHAnsi"/>
              </w:rPr>
              <w:t>1174F&gt;L</w:t>
            </w:r>
          </w:p>
        </w:tc>
        <w:tc>
          <w:tcPr>
            <w:tcW w:w="1530" w:type="dxa"/>
            <w:vAlign w:val="center"/>
          </w:tcPr>
          <w:p w14:paraId="3CB1B0A5" w14:textId="77777777" w:rsidR="004D41BE" w:rsidRPr="00D01EDF" w:rsidRDefault="004D41BE" w:rsidP="00BA1535">
            <w:pPr>
              <w:spacing w:line="480" w:lineRule="auto"/>
              <w:rPr>
                <w:rFonts w:cstheme="minorHAnsi"/>
              </w:rPr>
            </w:pPr>
            <w:r w:rsidRPr="00D01EDF">
              <w:rPr>
                <w:rFonts w:cstheme="minorHAnsi"/>
              </w:rPr>
              <w:t>Non-amplified</w:t>
            </w:r>
          </w:p>
        </w:tc>
        <w:tc>
          <w:tcPr>
            <w:tcW w:w="1530" w:type="dxa"/>
            <w:vAlign w:val="center"/>
          </w:tcPr>
          <w:p w14:paraId="07D27087" w14:textId="77777777" w:rsidR="004D41BE" w:rsidRPr="00D01EDF" w:rsidRDefault="004D41BE" w:rsidP="00BA1535">
            <w:pPr>
              <w:spacing w:line="480" w:lineRule="auto"/>
              <w:rPr>
                <w:rFonts w:cstheme="minorHAnsi"/>
              </w:rPr>
            </w:pPr>
            <w:r w:rsidRPr="00D01EDF">
              <w:rPr>
                <w:rFonts w:cstheme="minorHAnsi"/>
              </w:rPr>
              <w:t>Functional</w:t>
            </w:r>
          </w:p>
        </w:tc>
      </w:tr>
      <w:tr w:rsidR="004D41BE" w:rsidRPr="00D01EDF" w14:paraId="4E7D6A0F" w14:textId="77777777" w:rsidTr="00BA1535">
        <w:tc>
          <w:tcPr>
            <w:tcW w:w="1345" w:type="dxa"/>
            <w:vAlign w:val="center"/>
          </w:tcPr>
          <w:p w14:paraId="6AF05F01" w14:textId="77777777" w:rsidR="004D41BE" w:rsidRPr="00D01EDF" w:rsidRDefault="004D41BE" w:rsidP="00BA1535">
            <w:pPr>
              <w:spacing w:line="480" w:lineRule="auto"/>
              <w:rPr>
                <w:rFonts w:cstheme="minorHAnsi"/>
              </w:rPr>
            </w:pPr>
            <w:r w:rsidRPr="00D01EDF">
              <w:rPr>
                <w:rFonts w:cstheme="minorHAnsi"/>
              </w:rPr>
              <w:t>SK</w:t>
            </w:r>
            <w:r>
              <w:rPr>
                <w:rFonts w:cstheme="minorHAnsi"/>
              </w:rPr>
              <w:t>-</w:t>
            </w:r>
            <w:r w:rsidRPr="00D01EDF">
              <w:rPr>
                <w:rFonts w:cstheme="minorHAnsi"/>
              </w:rPr>
              <w:t>N</w:t>
            </w:r>
            <w:r>
              <w:rPr>
                <w:rFonts w:cstheme="minorHAnsi"/>
              </w:rPr>
              <w:t>-</w:t>
            </w:r>
            <w:r w:rsidRPr="00D01EDF">
              <w:rPr>
                <w:rFonts w:cstheme="minorHAnsi"/>
              </w:rPr>
              <w:t>F</w:t>
            </w:r>
            <w:r>
              <w:rPr>
                <w:rFonts w:cstheme="minorHAnsi"/>
              </w:rPr>
              <w:t>I</w:t>
            </w:r>
          </w:p>
        </w:tc>
        <w:tc>
          <w:tcPr>
            <w:tcW w:w="990" w:type="dxa"/>
            <w:vAlign w:val="center"/>
          </w:tcPr>
          <w:p w14:paraId="22798A66" w14:textId="77777777" w:rsidR="004D41BE" w:rsidRPr="00D01EDF" w:rsidRDefault="004D41BE" w:rsidP="00BA1535">
            <w:pPr>
              <w:spacing w:line="480" w:lineRule="auto"/>
              <w:rPr>
                <w:rFonts w:cstheme="minorHAnsi"/>
              </w:rPr>
            </w:pPr>
            <w:r w:rsidRPr="00D01EDF">
              <w:rPr>
                <w:rFonts w:cstheme="minorHAnsi"/>
              </w:rPr>
              <w:t>COG</w:t>
            </w:r>
          </w:p>
        </w:tc>
        <w:tc>
          <w:tcPr>
            <w:tcW w:w="2520" w:type="dxa"/>
            <w:vAlign w:val="center"/>
          </w:tcPr>
          <w:p w14:paraId="2BBF2739" w14:textId="77777777" w:rsidR="004D41BE" w:rsidRPr="00D01EDF" w:rsidRDefault="004D41BE" w:rsidP="00BA1535">
            <w:pPr>
              <w:spacing w:line="480" w:lineRule="auto"/>
              <w:rPr>
                <w:rFonts w:cstheme="minorHAnsi"/>
              </w:rPr>
            </w:pPr>
            <w:r w:rsidRPr="00D01EDF">
              <w:rPr>
                <w:rFonts w:cstheme="minorHAnsi"/>
              </w:rPr>
              <w:t xml:space="preserve">3375C&gt;A (het; syn); </w:t>
            </w:r>
          </w:p>
          <w:p w14:paraId="5F508A13" w14:textId="77777777" w:rsidR="004D41BE" w:rsidRPr="00D01EDF" w:rsidRDefault="004D41BE" w:rsidP="00BA1535">
            <w:pPr>
              <w:spacing w:line="480" w:lineRule="auto"/>
              <w:rPr>
                <w:rFonts w:cstheme="minorHAnsi"/>
              </w:rPr>
            </w:pPr>
            <w:r w:rsidRPr="00D01EDF">
              <w:rPr>
                <w:rFonts w:cstheme="minorHAnsi"/>
              </w:rPr>
              <w:t>3408C&gt;T (het; syn)</w:t>
            </w:r>
          </w:p>
        </w:tc>
        <w:tc>
          <w:tcPr>
            <w:tcW w:w="2070" w:type="dxa"/>
            <w:vAlign w:val="center"/>
          </w:tcPr>
          <w:p w14:paraId="2FCDE8F9" w14:textId="77777777" w:rsidR="004D41BE" w:rsidRPr="00D01EDF" w:rsidRDefault="004D41BE" w:rsidP="00BA1535">
            <w:pPr>
              <w:spacing w:line="480" w:lineRule="auto"/>
              <w:rPr>
                <w:rFonts w:cstheme="minorHAnsi"/>
              </w:rPr>
            </w:pPr>
          </w:p>
        </w:tc>
        <w:tc>
          <w:tcPr>
            <w:tcW w:w="1530" w:type="dxa"/>
            <w:vAlign w:val="center"/>
          </w:tcPr>
          <w:p w14:paraId="096F6BC8" w14:textId="77777777" w:rsidR="004D41BE" w:rsidRPr="00D01EDF" w:rsidRDefault="004D41BE" w:rsidP="00BA1535">
            <w:pPr>
              <w:spacing w:line="480" w:lineRule="auto"/>
              <w:rPr>
                <w:rFonts w:cstheme="minorHAnsi"/>
              </w:rPr>
            </w:pPr>
            <w:r w:rsidRPr="00D01EDF">
              <w:rPr>
                <w:rFonts w:cstheme="minorHAnsi"/>
              </w:rPr>
              <w:t>Non-amplified</w:t>
            </w:r>
          </w:p>
        </w:tc>
        <w:tc>
          <w:tcPr>
            <w:tcW w:w="1530" w:type="dxa"/>
            <w:vAlign w:val="center"/>
          </w:tcPr>
          <w:p w14:paraId="12868A89" w14:textId="77777777" w:rsidR="004D41BE" w:rsidRPr="00D01EDF" w:rsidRDefault="004D41BE" w:rsidP="00BA1535">
            <w:pPr>
              <w:spacing w:line="480" w:lineRule="auto"/>
              <w:rPr>
                <w:rFonts w:cstheme="minorHAnsi"/>
              </w:rPr>
            </w:pPr>
            <w:r w:rsidRPr="00D01EDF">
              <w:rPr>
                <w:rFonts w:cstheme="minorHAnsi"/>
              </w:rPr>
              <w:t>Non-functional</w:t>
            </w:r>
          </w:p>
        </w:tc>
      </w:tr>
      <w:tr w:rsidR="004D41BE" w:rsidRPr="00D01EDF" w14:paraId="574416A0" w14:textId="77777777" w:rsidTr="00BA1535">
        <w:tc>
          <w:tcPr>
            <w:tcW w:w="1345" w:type="dxa"/>
            <w:vAlign w:val="center"/>
          </w:tcPr>
          <w:p w14:paraId="3C5A9572" w14:textId="77777777" w:rsidR="004D41BE" w:rsidRPr="00D01EDF" w:rsidRDefault="004D41BE" w:rsidP="00BA1535">
            <w:pPr>
              <w:spacing w:line="480" w:lineRule="auto"/>
              <w:rPr>
                <w:rFonts w:cstheme="minorHAnsi"/>
              </w:rPr>
            </w:pPr>
            <w:r w:rsidRPr="00D01EDF">
              <w:rPr>
                <w:rFonts w:cstheme="minorHAnsi"/>
              </w:rPr>
              <w:t>SMS-LHN</w:t>
            </w:r>
          </w:p>
        </w:tc>
        <w:tc>
          <w:tcPr>
            <w:tcW w:w="990" w:type="dxa"/>
            <w:vAlign w:val="center"/>
          </w:tcPr>
          <w:p w14:paraId="7A2401A4" w14:textId="77777777" w:rsidR="004D41BE" w:rsidRPr="00D01EDF" w:rsidRDefault="004D41BE" w:rsidP="00BA1535">
            <w:pPr>
              <w:spacing w:line="480" w:lineRule="auto"/>
              <w:rPr>
                <w:rFonts w:cstheme="minorHAnsi"/>
              </w:rPr>
            </w:pPr>
            <w:r w:rsidRPr="00D01EDF">
              <w:rPr>
                <w:rFonts w:cstheme="minorHAnsi"/>
              </w:rPr>
              <w:t>COG</w:t>
            </w:r>
          </w:p>
        </w:tc>
        <w:tc>
          <w:tcPr>
            <w:tcW w:w="2520" w:type="dxa"/>
            <w:vAlign w:val="center"/>
          </w:tcPr>
          <w:p w14:paraId="525FD881" w14:textId="77777777" w:rsidR="004D41BE" w:rsidRPr="00D01EDF" w:rsidRDefault="004D41BE" w:rsidP="00BA1535">
            <w:pPr>
              <w:spacing w:line="480" w:lineRule="auto"/>
              <w:rPr>
                <w:rFonts w:cstheme="minorHAnsi"/>
              </w:rPr>
            </w:pPr>
            <w:r w:rsidRPr="00D01EDF">
              <w:rPr>
                <w:rFonts w:cstheme="minorHAnsi"/>
              </w:rPr>
              <w:t>3375C&gt;A (het; syn)</w:t>
            </w:r>
          </w:p>
        </w:tc>
        <w:tc>
          <w:tcPr>
            <w:tcW w:w="2070" w:type="dxa"/>
            <w:vAlign w:val="center"/>
          </w:tcPr>
          <w:p w14:paraId="4201A44E" w14:textId="77777777" w:rsidR="004D41BE" w:rsidRPr="00D01EDF" w:rsidRDefault="004D41BE" w:rsidP="00BA1535">
            <w:pPr>
              <w:spacing w:line="480" w:lineRule="auto"/>
              <w:rPr>
                <w:rFonts w:cstheme="minorHAnsi"/>
              </w:rPr>
            </w:pPr>
          </w:p>
        </w:tc>
        <w:tc>
          <w:tcPr>
            <w:tcW w:w="1530" w:type="dxa"/>
            <w:vAlign w:val="center"/>
          </w:tcPr>
          <w:p w14:paraId="54091D33" w14:textId="77777777" w:rsidR="004D41BE" w:rsidRPr="00D01EDF" w:rsidRDefault="004D41BE" w:rsidP="00BA1535">
            <w:pPr>
              <w:spacing w:line="480" w:lineRule="auto"/>
              <w:rPr>
                <w:rFonts w:cstheme="minorHAnsi"/>
              </w:rPr>
            </w:pPr>
            <w:r w:rsidRPr="00D01EDF">
              <w:rPr>
                <w:rFonts w:cstheme="minorHAnsi"/>
              </w:rPr>
              <w:t>Non-amplified</w:t>
            </w:r>
          </w:p>
        </w:tc>
        <w:tc>
          <w:tcPr>
            <w:tcW w:w="1530" w:type="dxa"/>
            <w:vAlign w:val="center"/>
          </w:tcPr>
          <w:p w14:paraId="7CB217B3" w14:textId="77777777" w:rsidR="004D41BE" w:rsidRPr="00D01EDF" w:rsidRDefault="004D41BE" w:rsidP="00BA1535">
            <w:pPr>
              <w:spacing w:line="480" w:lineRule="auto"/>
              <w:rPr>
                <w:rFonts w:cstheme="minorHAnsi"/>
              </w:rPr>
            </w:pPr>
            <w:r w:rsidRPr="00D01EDF">
              <w:rPr>
                <w:rFonts w:cstheme="minorHAnsi"/>
              </w:rPr>
              <w:t>Functional</w:t>
            </w:r>
          </w:p>
        </w:tc>
      </w:tr>
    </w:tbl>
    <w:p w14:paraId="6A24E7D7" w14:textId="77777777" w:rsidR="004D41BE" w:rsidRPr="00D01EDF" w:rsidRDefault="004D41BE" w:rsidP="004D41BE">
      <w:pPr>
        <w:spacing w:line="480" w:lineRule="auto"/>
        <w:rPr>
          <w:rFonts w:cstheme="minorHAnsi"/>
          <w:b/>
          <w:sz w:val="22"/>
          <w:szCs w:val="22"/>
        </w:rPr>
      </w:pPr>
      <w:r w:rsidRPr="00340243">
        <w:rPr>
          <w:rFonts w:cstheme="minorHAnsi"/>
          <w:b/>
          <w:color w:val="000000" w:themeColor="text1"/>
          <w:sz w:val="22"/>
          <w:szCs w:val="22"/>
        </w:rPr>
        <w:t>Extended Data</w:t>
      </w:r>
      <w:r w:rsidRPr="00D01EDF">
        <w:rPr>
          <w:rFonts w:cstheme="minorHAnsi"/>
          <w:b/>
          <w:sz w:val="22"/>
          <w:szCs w:val="22"/>
        </w:rPr>
        <w:t xml:space="preserve"> Table 1: Attributes of the NB cell line panel </w:t>
      </w:r>
    </w:p>
    <w:p w14:paraId="24DF1CA4" w14:textId="77777777" w:rsidR="004D41BE" w:rsidRPr="00C36A19" w:rsidRDefault="004D41BE" w:rsidP="004D41BE">
      <w:pPr>
        <w:spacing w:line="480" w:lineRule="auto"/>
        <w:jc w:val="both"/>
        <w:rPr>
          <w:rFonts w:cstheme="minorHAnsi"/>
          <w:b/>
          <w:bCs/>
          <w:color w:val="000000" w:themeColor="text1"/>
          <w:sz w:val="22"/>
          <w:szCs w:val="22"/>
        </w:rPr>
      </w:pPr>
    </w:p>
    <w:tbl>
      <w:tblPr>
        <w:tblStyle w:val="TableGrid"/>
        <w:tblW w:w="0" w:type="auto"/>
        <w:tblLook w:val="04A0" w:firstRow="1" w:lastRow="0" w:firstColumn="1" w:lastColumn="0" w:noHBand="0" w:noVBand="1"/>
      </w:tblPr>
      <w:tblGrid>
        <w:gridCol w:w="4505"/>
        <w:gridCol w:w="4505"/>
      </w:tblGrid>
      <w:tr w:rsidR="004D41BE" w14:paraId="0AB3C21A" w14:textId="77777777" w:rsidTr="00BA1535">
        <w:tc>
          <w:tcPr>
            <w:tcW w:w="4505" w:type="dxa"/>
          </w:tcPr>
          <w:p w14:paraId="1E5A8AE2" w14:textId="77777777" w:rsidR="004D41BE" w:rsidRPr="00E94FE4" w:rsidRDefault="004D41BE" w:rsidP="00BA1535">
            <w:pPr>
              <w:spacing w:line="480" w:lineRule="auto"/>
              <w:jc w:val="both"/>
              <w:rPr>
                <w:rFonts w:cstheme="minorHAnsi"/>
                <w:b/>
                <w:bCs/>
                <w:color w:val="000000" w:themeColor="text1"/>
              </w:rPr>
            </w:pPr>
            <w:r w:rsidRPr="00E94FE4">
              <w:rPr>
                <w:rFonts w:cstheme="minorHAnsi"/>
                <w:b/>
                <w:bCs/>
                <w:color w:val="000000" w:themeColor="text1"/>
              </w:rPr>
              <w:t>Sequence ID</w:t>
            </w:r>
          </w:p>
        </w:tc>
        <w:tc>
          <w:tcPr>
            <w:tcW w:w="4505" w:type="dxa"/>
          </w:tcPr>
          <w:p w14:paraId="128EC8A3" w14:textId="77777777" w:rsidR="004D41BE" w:rsidRPr="00E94FE4" w:rsidRDefault="004D41BE" w:rsidP="00BA1535">
            <w:pPr>
              <w:spacing w:line="480" w:lineRule="auto"/>
              <w:jc w:val="both"/>
              <w:rPr>
                <w:rFonts w:cstheme="minorHAnsi"/>
                <w:b/>
                <w:bCs/>
                <w:color w:val="000000" w:themeColor="text1"/>
              </w:rPr>
            </w:pPr>
            <w:r w:rsidRPr="00E94FE4">
              <w:rPr>
                <w:rFonts w:cstheme="minorHAnsi"/>
                <w:b/>
                <w:bCs/>
                <w:color w:val="000000" w:themeColor="text1"/>
              </w:rPr>
              <w:t>Cat N#</w:t>
            </w:r>
          </w:p>
        </w:tc>
      </w:tr>
      <w:tr w:rsidR="004D41BE" w14:paraId="1421DD37" w14:textId="77777777" w:rsidTr="00BA1535">
        <w:tc>
          <w:tcPr>
            <w:tcW w:w="4505" w:type="dxa"/>
          </w:tcPr>
          <w:p w14:paraId="2D2A0B5B" w14:textId="77777777" w:rsidR="004D41BE" w:rsidRDefault="004D41BE" w:rsidP="00BA1535">
            <w:pPr>
              <w:spacing w:line="480" w:lineRule="auto"/>
              <w:jc w:val="both"/>
              <w:rPr>
                <w:rFonts w:cstheme="minorHAnsi"/>
                <w:color w:val="000000" w:themeColor="text1"/>
              </w:rPr>
            </w:pPr>
            <w:r w:rsidRPr="00DF0B2C">
              <w:rPr>
                <w:rFonts w:cstheme="minorHAnsi"/>
                <w:i/>
                <w:iCs/>
                <w:color w:val="000000" w:themeColor="text1"/>
              </w:rPr>
              <w:t>hsa-miR-136-5p</w:t>
            </w:r>
            <w:r w:rsidRPr="00F2368F">
              <w:rPr>
                <w:rFonts w:cstheme="minorHAnsi"/>
                <w:color w:val="000000" w:themeColor="text1"/>
              </w:rPr>
              <w:t xml:space="preserve"> inhibitor</w:t>
            </w:r>
          </w:p>
        </w:tc>
        <w:tc>
          <w:tcPr>
            <w:tcW w:w="4505" w:type="dxa"/>
          </w:tcPr>
          <w:p w14:paraId="41026678" w14:textId="77777777" w:rsidR="004D41BE" w:rsidRDefault="004D41BE" w:rsidP="00BA1535">
            <w:pPr>
              <w:spacing w:line="480" w:lineRule="auto"/>
              <w:jc w:val="both"/>
              <w:rPr>
                <w:rFonts w:cstheme="minorHAnsi"/>
                <w:color w:val="000000" w:themeColor="text1"/>
              </w:rPr>
            </w:pPr>
            <w:r w:rsidRPr="00F2368F">
              <w:rPr>
                <w:rFonts w:cstheme="minorHAnsi"/>
                <w:color w:val="000000" w:themeColor="text1"/>
              </w:rPr>
              <w:t>IH-300629-05-0002</w:t>
            </w:r>
          </w:p>
        </w:tc>
      </w:tr>
      <w:tr w:rsidR="004D41BE" w14:paraId="4B446417" w14:textId="77777777" w:rsidTr="00BA1535">
        <w:tc>
          <w:tcPr>
            <w:tcW w:w="4505" w:type="dxa"/>
          </w:tcPr>
          <w:p w14:paraId="723055BA" w14:textId="77777777" w:rsidR="004D41BE" w:rsidRDefault="004D41BE" w:rsidP="00BA1535">
            <w:pPr>
              <w:spacing w:line="480" w:lineRule="auto"/>
              <w:jc w:val="both"/>
              <w:rPr>
                <w:rFonts w:cstheme="minorHAnsi"/>
                <w:color w:val="000000" w:themeColor="text1"/>
              </w:rPr>
            </w:pPr>
            <w:r w:rsidRPr="00DF0B2C">
              <w:rPr>
                <w:rFonts w:cstheme="minorHAnsi"/>
                <w:i/>
                <w:iCs/>
                <w:color w:val="000000" w:themeColor="text1"/>
              </w:rPr>
              <w:t>hsa-miR-1304-5p</w:t>
            </w:r>
            <w:r w:rsidRPr="00F2368F">
              <w:rPr>
                <w:rFonts w:cstheme="minorHAnsi"/>
                <w:color w:val="000000" w:themeColor="text1"/>
              </w:rPr>
              <w:t xml:space="preserve"> inhibitor</w:t>
            </w:r>
          </w:p>
        </w:tc>
        <w:tc>
          <w:tcPr>
            <w:tcW w:w="4505" w:type="dxa"/>
          </w:tcPr>
          <w:p w14:paraId="4355BD1A" w14:textId="77777777" w:rsidR="004D41BE" w:rsidRDefault="004D41BE" w:rsidP="00BA1535">
            <w:pPr>
              <w:spacing w:line="480" w:lineRule="auto"/>
              <w:jc w:val="both"/>
              <w:rPr>
                <w:rFonts w:cstheme="minorHAnsi"/>
                <w:color w:val="000000" w:themeColor="text1"/>
              </w:rPr>
            </w:pPr>
            <w:r w:rsidRPr="00F2368F">
              <w:rPr>
                <w:rFonts w:cstheme="minorHAnsi"/>
                <w:color w:val="000000" w:themeColor="text1"/>
              </w:rPr>
              <w:t>IH-301363-01-0002</w:t>
            </w:r>
          </w:p>
        </w:tc>
      </w:tr>
      <w:tr w:rsidR="004D41BE" w14:paraId="6775C1AB" w14:textId="77777777" w:rsidTr="00BA1535">
        <w:tc>
          <w:tcPr>
            <w:tcW w:w="4505" w:type="dxa"/>
          </w:tcPr>
          <w:p w14:paraId="19C09170" w14:textId="77777777" w:rsidR="004D41BE" w:rsidRDefault="004D41BE" w:rsidP="00BA1535">
            <w:pPr>
              <w:spacing w:line="480" w:lineRule="auto"/>
              <w:jc w:val="both"/>
              <w:rPr>
                <w:rFonts w:cstheme="minorHAnsi"/>
                <w:color w:val="000000" w:themeColor="text1"/>
              </w:rPr>
            </w:pPr>
            <w:r w:rsidRPr="00DF0B2C">
              <w:rPr>
                <w:rFonts w:cstheme="minorHAnsi"/>
                <w:i/>
                <w:iCs/>
                <w:color w:val="000000" w:themeColor="text1"/>
              </w:rPr>
              <w:t>hsa-miR-7975</w:t>
            </w:r>
            <w:r w:rsidRPr="00F2368F">
              <w:rPr>
                <w:rFonts w:cstheme="minorHAnsi"/>
                <w:color w:val="000000" w:themeColor="text1"/>
              </w:rPr>
              <w:t xml:space="preserve"> inhibitor</w:t>
            </w:r>
          </w:p>
        </w:tc>
        <w:tc>
          <w:tcPr>
            <w:tcW w:w="4505" w:type="dxa"/>
          </w:tcPr>
          <w:p w14:paraId="0B982951" w14:textId="77777777" w:rsidR="004D41BE" w:rsidRDefault="004D41BE" w:rsidP="00BA1535">
            <w:pPr>
              <w:spacing w:line="480" w:lineRule="auto"/>
              <w:jc w:val="both"/>
              <w:rPr>
                <w:rFonts w:cstheme="minorHAnsi"/>
                <w:color w:val="000000" w:themeColor="text1"/>
              </w:rPr>
            </w:pPr>
            <w:r w:rsidRPr="00F2368F">
              <w:rPr>
                <w:rFonts w:cstheme="minorHAnsi"/>
                <w:color w:val="000000" w:themeColor="text1"/>
              </w:rPr>
              <w:t>IH-302860-01-0002</w:t>
            </w:r>
          </w:p>
        </w:tc>
      </w:tr>
      <w:tr w:rsidR="004D41BE" w14:paraId="079F7EBB" w14:textId="77777777" w:rsidTr="00BA1535">
        <w:tc>
          <w:tcPr>
            <w:tcW w:w="4505" w:type="dxa"/>
          </w:tcPr>
          <w:p w14:paraId="2B93B4A2" w14:textId="77777777" w:rsidR="004D41BE" w:rsidRDefault="004D41BE" w:rsidP="00BA1535">
            <w:pPr>
              <w:spacing w:line="480" w:lineRule="auto"/>
              <w:jc w:val="both"/>
              <w:rPr>
                <w:rFonts w:cstheme="minorHAnsi"/>
                <w:color w:val="000000" w:themeColor="text1"/>
              </w:rPr>
            </w:pPr>
            <w:r w:rsidRPr="00DF0B2C">
              <w:rPr>
                <w:rFonts w:cstheme="minorHAnsi"/>
                <w:i/>
                <w:iCs/>
                <w:color w:val="000000" w:themeColor="text1"/>
              </w:rPr>
              <w:t>hsa-miR-4746-5p</w:t>
            </w:r>
            <w:r w:rsidRPr="00F2368F">
              <w:rPr>
                <w:rFonts w:cstheme="minorHAnsi"/>
                <w:color w:val="000000" w:themeColor="text1"/>
              </w:rPr>
              <w:t xml:space="preserve"> inhibitor</w:t>
            </w:r>
          </w:p>
        </w:tc>
        <w:tc>
          <w:tcPr>
            <w:tcW w:w="4505" w:type="dxa"/>
          </w:tcPr>
          <w:p w14:paraId="5C8579D3" w14:textId="77777777" w:rsidR="004D41BE" w:rsidRDefault="004D41BE" w:rsidP="00BA1535">
            <w:pPr>
              <w:spacing w:line="480" w:lineRule="auto"/>
              <w:jc w:val="both"/>
              <w:rPr>
                <w:rFonts w:cstheme="minorHAnsi"/>
                <w:color w:val="000000" w:themeColor="text1"/>
              </w:rPr>
            </w:pPr>
            <w:r w:rsidRPr="00F2368F">
              <w:rPr>
                <w:rFonts w:cstheme="minorHAnsi"/>
                <w:color w:val="000000" w:themeColor="text1"/>
              </w:rPr>
              <w:t>IH-302338-01-0002</w:t>
            </w:r>
          </w:p>
        </w:tc>
      </w:tr>
      <w:tr w:rsidR="004D41BE" w14:paraId="273EDDB3" w14:textId="77777777" w:rsidTr="00BA1535">
        <w:tc>
          <w:tcPr>
            <w:tcW w:w="4505" w:type="dxa"/>
          </w:tcPr>
          <w:p w14:paraId="0CCD6EB4" w14:textId="77777777" w:rsidR="004D41BE" w:rsidRDefault="004D41BE" w:rsidP="00BA1535">
            <w:pPr>
              <w:spacing w:line="480" w:lineRule="auto"/>
              <w:jc w:val="both"/>
              <w:rPr>
                <w:rFonts w:cstheme="minorHAnsi"/>
                <w:color w:val="000000" w:themeColor="text1"/>
              </w:rPr>
            </w:pPr>
            <w:r w:rsidRPr="00F2368F">
              <w:rPr>
                <w:rFonts w:cstheme="minorHAnsi"/>
                <w:color w:val="000000" w:themeColor="text1"/>
              </w:rPr>
              <w:t>Negative control 1 inhibitor</w:t>
            </w:r>
          </w:p>
        </w:tc>
        <w:tc>
          <w:tcPr>
            <w:tcW w:w="4505" w:type="dxa"/>
          </w:tcPr>
          <w:p w14:paraId="401CADA8" w14:textId="77777777" w:rsidR="004D41BE" w:rsidRDefault="004D41BE" w:rsidP="00BA1535">
            <w:pPr>
              <w:spacing w:line="480" w:lineRule="auto"/>
              <w:jc w:val="both"/>
              <w:rPr>
                <w:rFonts w:cstheme="minorHAnsi"/>
                <w:color w:val="000000" w:themeColor="text1"/>
              </w:rPr>
            </w:pPr>
            <w:r w:rsidRPr="00F2368F">
              <w:rPr>
                <w:rFonts w:cstheme="minorHAnsi"/>
                <w:color w:val="000000" w:themeColor="text1"/>
              </w:rPr>
              <w:t>IN-001005-01-05</w:t>
            </w:r>
          </w:p>
        </w:tc>
      </w:tr>
      <w:tr w:rsidR="004D41BE" w14:paraId="5275BD13" w14:textId="77777777" w:rsidTr="00BA1535">
        <w:tc>
          <w:tcPr>
            <w:tcW w:w="4505" w:type="dxa"/>
          </w:tcPr>
          <w:p w14:paraId="31CBE36F" w14:textId="77777777" w:rsidR="004D41BE" w:rsidRDefault="004D41BE" w:rsidP="00BA1535">
            <w:pPr>
              <w:spacing w:line="480" w:lineRule="auto"/>
              <w:jc w:val="both"/>
              <w:rPr>
                <w:rFonts w:cstheme="minorHAnsi"/>
                <w:color w:val="000000" w:themeColor="text1"/>
              </w:rPr>
            </w:pPr>
            <w:r w:rsidRPr="00DF0B2C">
              <w:rPr>
                <w:rFonts w:cstheme="minorHAnsi"/>
                <w:i/>
                <w:iCs/>
                <w:color w:val="000000" w:themeColor="text1"/>
              </w:rPr>
              <w:t>hsa-miR-1304-5p</w:t>
            </w:r>
            <w:r w:rsidRPr="00F2368F">
              <w:rPr>
                <w:rFonts w:cstheme="minorHAnsi"/>
                <w:color w:val="000000" w:themeColor="text1"/>
              </w:rPr>
              <w:t xml:space="preserve"> mimics</w:t>
            </w:r>
          </w:p>
        </w:tc>
        <w:tc>
          <w:tcPr>
            <w:tcW w:w="4505" w:type="dxa"/>
          </w:tcPr>
          <w:p w14:paraId="75E0F722" w14:textId="77777777" w:rsidR="004D41BE" w:rsidRDefault="004D41BE" w:rsidP="00BA1535">
            <w:pPr>
              <w:spacing w:line="480" w:lineRule="auto"/>
              <w:jc w:val="both"/>
              <w:rPr>
                <w:rFonts w:cstheme="minorHAnsi"/>
                <w:color w:val="000000" w:themeColor="text1"/>
              </w:rPr>
            </w:pPr>
            <w:r w:rsidRPr="00F2368F">
              <w:rPr>
                <w:rFonts w:cstheme="minorHAnsi"/>
                <w:color w:val="000000" w:themeColor="text1"/>
              </w:rPr>
              <w:t>C-301363-00-0002</w:t>
            </w:r>
          </w:p>
        </w:tc>
      </w:tr>
      <w:tr w:rsidR="004D41BE" w14:paraId="16A3BA70" w14:textId="77777777" w:rsidTr="00BA1535">
        <w:tc>
          <w:tcPr>
            <w:tcW w:w="4505" w:type="dxa"/>
          </w:tcPr>
          <w:p w14:paraId="09E36722" w14:textId="77777777" w:rsidR="004D41BE" w:rsidRPr="00DF0B2C" w:rsidRDefault="004D41BE" w:rsidP="00BA1535">
            <w:pPr>
              <w:spacing w:line="480" w:lineRule="auto"/>
              <w:jc w:val="both"/>
              <w:rPr>
                <w:rFonts w:cstheme="minorHAnsi"/>
                <w:i/>
                <w:iCs/>
                <w:color w:val="000000" w:themeColor="text1"/>
              </w:rPr>
            </w:pPr>
            <w:r w:rsidRPr="00F2368F">
              <w:rPr>
                <w:rFonts w:cstheme="minorHAnsi"/>
                <w:color w:val="000000" w:themeColor="text1"/>
              </w:rPr>
              <w:t>Negative control 1 mimics</w:t>
            </w:r>
          </w:p>
        </w:tc>
        <w:tc>
          <w:tcPr>
            <w:tcW w:w="4505" w:type="dxa"/>
          </w:tcPr>
          <w:p w14:paraId="73F84609" w14:textId="77777777" w:rsidR="004D41BE" w:rsidRPr="00F2368F" w:rsidRDefault="004D41BE" w:rsidP="00BA1535">
            <w:pPr>
              <w:spacing w:line="480" w:lineRule="auto"/>
              <w:jc w:val="both"/>
              <w:rPr>
                <w:rFonts w:cstheme="minorHAnsi"/>
                <w:color w:val="000000" w:themeColor="text1"/>
              </w:rPr>
            </w:pPr>
            <w:r w:rsidRPr="00F2368F">
              <w:rPr>
                <w:rFonts w:cstheme="minorHAnsi"/>
                <w:color w:val="000000" w:themeColor="text1"/>
              </w:rPr>
              <w:t>CN-001000-01-05</w:t>
            </w:r>
          </w:p>
        </w:tc>
      </w:tr>
    </w:tbl>
    <w:p w14:paraId="22341535" w14:textId="77777777" w:rsidR="004D41BE" w:rsidRDefault="004D41BE" w:rsidP="004D41BE">
      <w:pPr>
        <w:spacing w:line="480" w:lineRule="auto"/>
        <w:rPr>
          <w:rFonts w:cstheme="minorHAnsi"/>
          <w:b/>
          <w:bCs/>
          <w:color w:val="000000" w:themeColor="text1"/>
          <w:sz w:val="22"/>
          <w:szCs w:val="22"/>
        </w:rPr>
      </w:pPr>
      <w:r w:rsidRPr="00A3191D">
        <w:rPr>
          <w:rFonts w:cstheme="minorHAnsi"/>
          <w:b/>
          <w:color w:val="000000" w:themeColor="text1"/>
          <w:sz w:val="22"/>
          <w:szCs w:val="22"/>
        </w:rPr>
        <w:t>Extended Data Table</w:t>
      </w:r>
      <w:r w:rsidRPr="00C36A19">
        <w:rPr>
          <w:rFonts w:cstheme="minorHAnsi"/>
          <w:b/>
          <w:bCs/>
          <w:color w:val="000000" w:themeColor="text1"/>
          <w:sz w:val="22"/>
          <w:szCs w:val="22"/>
        </w:rPr>
        <w:t xml:space="preserve"> 2: miR INH-mimic sequences</w:t>
      </w:r>
    </w:p>
    <w:p w14:paraId="431E66C6" w14:textId="77777777" w:rsidR="004D41BE" w:rsidRDefault="004D41BE" w:rsidP="004D41BE">
      <w:pPr>
        <w:spacing w:line="480" w:lineRule="auto"/>
        <w:rPr>
          <w:rFonts w:cstheme="minorHAnsi"/>
          <w:b/>
          <w:bCs/>
          <w:color w:val="000000" w:themeColor="text1"/>
          <w:sz w:val="22"/>
          <w:szCs w:val="22"/>
        </w:rPr>
      </w:pPr>
    </w:p>
    <w:p w14:paraId="00598F94" w14:textId="77777777" w:rsidR="004D41BE" w:rsidRPr="00340243" w:rsidRDefault="004D41BE" w:rsidP="004D41BE">
      <w:pPr>
        <w:spacing w:line="480" w:lineRule="auto"/>
        <w:rPr>
          <w:rFonts w:cstheme="minorHAnsi"/>
          <w:b/>
          <w:color w:val="000000" w:themeColor="text1"/>
          <w:sz w:val="22"/>
          <w:szCs w:val="22"/>
        </w:rPr>
      </w:pPr>
      <w:r w:rsidRPr="00340243">
        <w:rPr>
          <w:rFonts w:cstheme="minorHAnsi"/>
          <w:b/>
          <w:color w:val="000000" w:themeColor="text1"/>
          <w:sz w:val="22"/>
          <w:szCs w:val="22"/>
        </w:rPr>
        <w:t>Extended Data methods</w:t>
      </w:r>
    </w:p>
    <w:p w14:paraId="06E5C57C" w14:textId="77777777" w:rsidR="004D41BE" w:rsidRDefault="004D41BE" w:rsidP="004D41BE">
      <w:pPr>
        <w:spacing w:line="480" w:lineRule="auto"/>
        <w:contextualSpacing/>
        <w:jc w:val="both"/>
        <w:rPr>
          <w:rFonts w:cs="Times New Roman"/>
          <w:sz w:val="22"/>
          <w:szCs w:val="22"/>
        </w:rPr>
      </w:pPr>
      <w:r w:rsidRPr="00973A13">
        <w:rPr>
          <w:rFonts w:cstheme="minorHAnsi"/>
          <w:b/>
          <w:color w:val="000000" w:themeColor="text1"/>
          <w:sz w:val="22"/>
          <w:szCs w:val="22"/>
        </w:rPr>
        <w:t>CRISPR GeCKO</w:t>
      </w:r>
      <w:r w:rsidRPr="00CC79AD">
        <w:rPr>
          <w:rFonts w:cs="Times New Roman"/>
          <w:sz w:val="22"/>
          <w:szCs w:val="22"/>
        </w:rPr>
        <w:t xml:space="preserve"> </w:t>
      </w:r>
    </w:p>
    <w:p w14:paraId="37D5D9AD" w14:textId="77777777" w:rsidR="004D41BE" w:rsidRDefault="004D41BE" w:rsidP="004D41BE">
      <w:pPr>
        <w:spacing w:line="480" w:lineRule="auto"/>
        <w:contextualSpacing/>
        <w:jc w:val="both"/>
        <w:rPr>
          <w:rFonts w:cstheme="minorHAnsi"/>
          <w:bCs/>
          <w:color w:val="000000" w:themeColor="text1"/>
          <w:sz w:val="22"/>
          <w:szCs w:val="22"/>
        </w:rPr>
      </w:pPr>
      <w:r w:rsidRPr="00CC79AD">
        <w:rPr>
          <w:rFonts w:cs="Times New Roman"/>
          <w:sz w:val="22"/>
          <w:szCs w:val="22"/>
        </w:rPr>
        <w:t>A CRISPR KO screen was conducted by exposing SH-SY5Y Cas9-expressing NB cells transduced with the GeCKO library to the ED</w:t>
      </w:r>
      <w:r w:rsidRPr="00CC79AD">
        <w:rPr>
          <w:rFonts w:cs="Times New Roman"/>
          <w:sz w:val="22"/>
          <w:szCs w:val="22"/>
          <w:vertAlign w:val="subscript"/>
        </w:rPr>
        <w:t>50</w:t>
      </w:r>
      <w:r w:rsidRPr="00CC79AD">
        <w:rPr>
          <w:rFonts w:cs="Times New Roman"/>
          <w:sz w:val="22"/>
          <w:szCs w:val="22"/>
        </w:rPr>
        <w:t xml:space="preserve"> or ED</w:t>
      </w:r>
      <w:r w:rsidRPr="00CC79AD">
        <w:rPr>
          <w:rFonts w:cs="Times New Roman"/>
          <w:sz w:val="22"/>
          <w:szCs w:val="22"/>
          <w:vertAlign w:val="subscript"/>
        </w:rPr>
        <w:t>75</w:t>
      </w:r>
      <w:r w:rsidRPr="00CC79AD">
        <w:rPr>
          <w:rFonts w:cs="Times New Roman"/>
          <w:sz w:val="22"/>
          <w:szCs w:val="22"/>
        </w:rPr>
        <w:t xml:space="preserve"> concentrations of brigatinib or ceritinib for 14 days (Fig</w:t>
      </w:r>
      <w:r>
        <w:rPr>
          <w:rFonts w:cs="Times New Roman"/>
          <w:sz w:val="22"/>
          <w:szCs w:val="22"/>
        </w:rPr>
        <w:t>.</w:t>
      </w:r>
      <w:r w:rsidRPr="00CC79AD">
        <w:rPr>
          <w:rFonts w:cs="Times New Roman"/>
          <w:sz w:val="22"/>
          <w:szCs w:val="22"/>
        </w:rPr>
        <w:t xml:space="preserve"> 1A) </w:t>
      </w:r>
      <w:r>
        <w:rPr>
          <w:rFonts w:cstheme="minorHAnsi"/>
          <w:color w:val="000000" w:themeColor="text1"/>
          <w:sz w:val="18"/>
          <w:szCs w:val="18"/>
        </w:rPr>
        <w:fldChar w:fldCharType="begin" w:fldLock="1"/>
      </w:r>
      <w:r>
        <w:rPr>
          <w:rFonts w:cstheme="minorHAnsi"/>
          <w:color w:val="000000" w:themeColor="text1"/>
          <w:sz w:val="18"/>
          <w:szCs w:val="18"/>
        </w:rPr>
        <w:instrText>ADDIN CSL_CITATION {"citationItems":[{"id":"ITEM-1","itemData":{"DOI":"10.1038/s41467-019-13315-x","ISSN":"20411723","PMID":"31780656","abstract":"Resistance to anaplastic lymphoma kinase (ALK)-targeted therapy in ALK-positive non-small cell lung cancer has been reported, with the majority of acquired resistance mechanisms relying on bypass signaling. To proactively identify resistance mechanisms in ALK-positive neuroblastoma (NB), we herein employ genome-wide CRISPR activation screens of NB cell lines treated with brigatinib or ceritinib, identifying PIM1 as a putative resistance gene, whose high expression is associated with high-risk disease and poor survival. Knockdown of PIM1 sensitizes cells of differing MYCN status to ALK inhibitors, and in patient-derived xenografts of high-risk NB harboring ALK mutations, the combination of the ALK inhibitor ceritinib and PIM1 inhibitor AZD1208 shows significantly enhanced anti-tumor efficacy relative to single agents. These data confirm that PIM1 overexpression decreases sensitivity to ALK inhibitors in NB, and suggests that combined front-line inhibition of ALK and PIM1 is a viable strategy for the treatment of ALK-positive NB independent of MYCN status.","author":[{"dropping-particle":"","family":"Trigg","given":"Ricky M.","non-dropping-particle":"","parse-names":false,"suffix":""},{"dropping-particle":"","family":"Lee","given":"Liam C.","non-dropping-particle":"","parse-names":false,"suffix":""},{"dropping-particle":"","family":"Prokoph","given":"Nina","non-dropping-particle":"","parse-names":false,"suffix":""},{"dropping-particle":"","family":"Jahangiri","given":"Leila","non-dropping-particle":"","parse-names":false,"suffix":""},{"dropping-particle":"","family":"Reynolds","given":"C. Patrick","non-dropping-particle":"","parse-names":false,"suffix":""},{"dropping-particle":"","family":"Amos Burke","given":"G. A.","non-dropping-particle":"","parse-names":false,"suffix":""},{"dropping-particle":"","family":"Probst","given":"Nicola A.","non-dropping-particle":"","parse-names":false,"suffix":""},{"dropping-particle":"","family":"Han","given":"Miaojun","non-dropping-particle":"","parse-names":false,"suffix":""},{"dropping-particle":"","family":"Matthews","given":"Jamie D.","non-dropping-particle":"","parse-names":false,"suffix":""},{"dropping-particle":"","family":"Kai Lim","given":"Hong","non-dropping-particle":"","parse-names":false,"suffix":""},{"dropping-particle":"","family":"Manners","given":"Eleanor","non-dropping-particle":"","parse-names":false,"suffix":""},{"dropping-particle":"","family":"Martinez","given":"Sonia","non-dropping-particle":"","parse-names":false,"suffix":""},{"dropping-particle":"","family":"Pastor","given":"Joaquin","non-dropping-particle":"","parse-names":false,"suffix":""},{"dropping-particle":"","family":"Blanco-Aparicio","given":"Carmen","non-dropping-particle":"","parse-names":false,"suffix":""},{"dropping-particle":"","family":"Merkel","given":"Olaf","non-dropping-particle":"","parse-names":false,"suffix":""},{"dropping-particle":"","family":"los Fayos Alonso","given":"Ines Garces","non-dropping-particle":"de","parse-names":false,"suffix":""},{"dropping-particle":"","family":"Kodajova","given":"Petra","non-dropping-particle":"","parse-names":false,"suffix":""},{"dropping-particle":"","family":"Tangermann","given":"Simone","non-dropping-particle":"","parse-names":false,"suffix":""},{"dropping-particle":"","family":"Högler","given":"Sandra","non-dropping-particle":"","parse-names":false,"suffix":""},{"dropping-particle":"","family":"Luo","given":"Ji","non-dropping-particle":"","parse-names":false,"suffix":""},{"dropping-particle":"","family":"Kenner","given":"Lukas","non-dropping-particle":"","parse-names":false,"suffix":""},{"dropping-particle":"","family":"Turner","given":"Suzanne D.","non-dropping-particle":"","parse-names":false,"suffix":""}],"container-title":"Nature Communications","id":"ITEM-1","issue":"1","issued":{"date-parts":[["2019"]]},"publisher":"Springer US","title":"The targetable kinase PIM1 drives ALK inhibitor resistance in high-risk neuroblastoma independent of MYCN status","type":"article-journal","volume":"10"},"uris":["http://www.mendeley.com/documents/?uuid=c4fd45ec-3957-4aeb-885f-71a83f77b6c2"]}],"mendeley":{"formattedCitation":"&lt;sup&gt;5&lt;/sup&gt;","plainTextFormattedCitation":"5","previouslyFormattedCitation":"[4]"},"properties":{"noteIndex":0},"schema":"https://github.com/citation-style-language/schema/raw/master/csl-citation.json"}</w:instrText>
      </w:r>
      <w:r>
        <w:rPr>
          <w:rFonts w:cstheme="minorHAnsi"/>
          <w:color w:val="000000" w:themeColor="text1"/>
          <w:sz w:val="18"/>
          <w:szCs w:val="18"/>
        </w:rPr>
        <w:fldChar w:fldCharType="separate"/>
      </w:r>
      <w:r w:rsidRPr="006733FD">
        <w:rPr>
          <w:rFonts w:cstheme="minorHAnsi"/>
          <w:noProof/>
          <w:color w:val="000000" w:themeColor="text1"/>
          <w:sz w:val="18"/>
          <w:szCs w:val="18"/>
          <w:vertAlign w:val="superscript"/>
        </w:rPr>
        <w:t>5</w:t>
      </w:r>
      <w:r>
        <w:rPr>
          <w:rFonts w:cstheme="minorHAnsi"/>
          <w:color w:val="000000" w:themeColor="text1"/>
          <w:sz w:val="18"/>
          <w:szCs w:val="18"/>
        </w:rPr>
        <w:fldChar w:fldCharType="end"/>
      </w:r>
      <w:r w:rsidRPr="00CC79AD">
        <w:rPr>
          <w:rFonts w:cs="Times New Roman"/>
          <w:sz w:val="22"/>
          <w:szCs w:val="22"/>
        </w:rPr>
        <w:t xml:space="preserve">. </w:t>
      </w:r>
      <w:r w:rsidRPr="00CC79AD">
        <w:rPr>
          <w:rFonts w:cstheme="minorHAnsi"/>
          <w:bCs/>
          <w:color w:val="000000" w:themeColor="text1"/>
          <w:sz w:val="22"/>
          <w:szCs w:val="22"/>
        </w:rPr>
        <w:t xml:space="preserve">Control analyses were performed with MaGECK-VISPR to ensure that the screens were adequately executed to allow for the acquisition of interpretable data. Quality control (QC) analysis of all raw fastq files derived from the screen samples were conducted at the sequence, read count and sample levels. The sequence level QC was designed to identify potential technical issues associated with the sequencing </w:t>
      </w:r>
      <w:r w:rsidRPr="00CC79AD">
        <w:rPr>
          <w:rFonts w:cstheme="minorHAnsi"/>
          <w:bCs/>
          <w:color w:val="000000" w:themeColor="text1"/>
          <w:sz w:val="22"/>
          <w:szCs w:val="22"/>
        </w:rPr>
        <w:lastRenderedPageBreak/>
        <w:t xml:space="preserve">process itself and was conducted with </w:t>
      </w:r>
      <w:r>
        <w:rPr>
          <w:rFonts w:cstheme="minorHAnsi"/>
          <w:bCs/>
          <w:color w:val="000000" w:themeColor="text1"/>
          <w:sz w:val="22"/>
          <w:szCs w:val="22"/>
        </w:rPr>
        <w:t xml:space="preserve">the </w:t>
      </w:r>
      <w:r w:rsidRPr="00CC79AD">
        <w:rPr>
          <w:rFonts w:cstheme="minorHAnsi"/>
          <w:bCs/>
          <w:color w:val="000000" w:themeColor="text1"/>
          <w:sz w:val="22"/>
          <w:szCs w:val="22"/>
        </w:rPr>
        <w:t>FastQC script (Babraham Bioinformatics) that was embedded in MaGECK-VISPR. Sequence level analysis of GeCKO screen samples satisfied the general QC guidelines (</w:t>
      </w:r>
      <w:r>
        <w:rPr>
          <w:rFonts w:cstheme="minorHAnsi"/>
          <w:bCs/>
          <w:color w:val="000000" w:themeColor="text1"/>
          <w:sz w:val="22"/>
          <w:szCs w:val="22"/>
        </w:rPr>
        <w:t>F</w:t>
      </w:r>
      <w:r w:rsidRPr="00CC79AD">
        <w:rPr>
          <w:rFonts w:cstheme="minorHAnsi"/>
          <w:bCs/>
          <w:color w:val="000000" w:themeColor="text1"/>
          <w:sz w:val="22"/>
          <w:szCs w:val="22"/>
        </w:rPr>
        <w:t>ig</w:t>
      </w:r>
      <w:r>
        <w:rPr>
          <w:rFonts w:cstheme="minorHAnsi"/>
          <w:bCs/>
          <w:color w:val="000000" w:themeColor="text1"/>
          <w:sz w:val="22"/>
          <w:szCs w:val="22"/>
        </w:rPr>
        <w:t xml:space="preserve">. </w:t>
      </w:r>
      <w:r w:rsidRPr="00CC79AD">
        <w:rPr>
          <w:rFonts w:cstheme="minorHAnsi"/>
          <w:bCs/>
          <w:color w:val="000000" w:themeColor="text1"/>
          <w:sz w:val="22"/>
          <w:szCs w:val="22"/>
        </w:rPr>
        <w:t>1B). Sample level QC was conducted to analyze the level of consistency between samples. Sample level QC determined the distributions of normalized sgRNA read counts, represented by a box plot and a cumulative distribution function (CDF) plot. It also involved plotting the samples on the first 3 components of a principle component analysis (PCA) (</w:t>
      </w:r>
      <w:r>
        <w:rPr>
          <w:rFonts w:cstheme="minorHAnsi"/>
          <w:bCs/>
          <w:color w:val="000000" w:themeColor="text1"/>
          <w:sz w:val="22"/>
          <w:szCs w:val="22"/>
        </w:rPr>
        <w:t>F</w:t>
      </w:r>
      <w:r w:rsidRPr="00CC79AD">
        <w:rPr>
          <w:rFonts w:cstheme="minorHAnsi"/>
          <w:bCs/>
          <w:color w:val="000000" w:themeColor="text1"/>
          <w:sz w:val="22"/>
          <w:szCs w:val="22"/>
        </w:rPr>
        <w:t>ig</w:t>
      </w:r>
      <w:r>
        <w:rPr>
          <w:rFonts w:cstheme="minorHAnsi"/>
          <w:bCs/>
          <w:color w:val="000000" w:themeColor="text1"/>
          <w:sz w:val="22"/>
          <w:szCs w:val="22"/>
        </w:rPr>
        <w:t>.</w:t>
      </w:r>
      <w:r w:rsidRPr="00CC79AD">
        <w:rPr>
          <w:rFonts w:cstheme="minorHAnsi"/>
          <w:bCs/>
          <w:color w:val="000000" w:themeColor="text1"/>
          <w:sz w:val="22"/>
          <w:szCs w:val="22"/>
        </w:rPr>
        <w:t xml:space="preserve"> 1C). The PCA plots matched brigatinib and ceritinib treated samples, potentially suggesting that these ALK TKI may induce similar resistance mechanisms. In addition, pairwise Pearson correlation analysis was performed using log-transformed sgRNA read counts of every sample in the GeCKO screen. The pairwise correlation analysis also matched samples from the brigatinib and ceritinib treated samples with values very close to 1 (</w:t>
      </w:r>
      <w:r>
        <w:rPr>
          <w:rFonts w:cstheme="minorHAnsi"/>
          <w:bCs/>
          <w:color w:val="000000" w:themeColor="text1"/>
          <w:sz w:val="22"/>
          <w:szCs w:val="22"/>
        </w:rPr>
        <w:t xml:space="preserve">Fig. </w:t>
      </w:r>
      <w:r w:rsidRPr="00CC79AD">
        <w:rPr>
          <w:rFonts w:cstheme="minorHAnsi"/>
          <w:bCs/>
          <w:color w:val="000000" w:themeColor="text1"/>
          <w:sz w:val="22"/>
          <w:szCs w:val="22"/>
        </w:rPr>
        <w:t xml:space="preserve">1 D). MaGECK, a turn-key bioinformatics script designed specifically for CRISPR screens, was used as a maximum likelihood estimation approach </w:t>
      </w:r>
      <w:r>
        <w:rPr>
          <w:rFonts w:cstheme="minorHAnsi"/>
          <w:bCs/>
          <w:color w:val="000000" w:themeColor="text1"/>
          <w:sz w:val="22"/>
          <w:szCs w:val="22"/>
        </w:rPr>
        <w:fldChar w:fldCharType="begin" w:fldLock="1"/>
      </w:r>
      <w:r>
        <w:rPr>
          <w:rFonts w:cstheme="minorHAnsi"/>
          <w:bCs/>
          <w:color w:val="000000" w:themeColor="text1"/>
          <w:sz w:val="22"/>
          <w:szCs w:val="22"/>
        </w:rPr>
        <w:instrText>ADDIN CSL_CITATION {"citationItems":[{"id":"ITEM-1","itemData":{"DOI":"10.1186/s13059-014-0554-4","ISSN":"1474760X","PMID":"25476604","abstract":"We propose the Model-based Analysis of Genome-wide CRISPR/Cas9 Knockout (MAGeCK) method for prioritizing single-guide RNAs, genes and pathways in genome-scale CRISPR/Cas9 knockout screens. MAGeCK demonstrates better performance compared with existing methods, identifies both positively and negatively selected genes simultaneously, and reports robust results across different experimental conditions. Using public datasets, MAGeCK identified novel essential genes and pathways, including EGFR in vemurafenib-treated A375 cells harboring a BRAF mutation. MAGeCK also detected cell type-specific essential genes, including BCR and ABL1, in KBM7 cells bearing a BCR-ABL fusion, and IGF1R in HL-60 cells, which depends on the insulin signaling pathway for proliferation.","author":[{"dropping-particle":"","family":"Li","given":"Wei","non-dropping-particle":"","parse-names":false,"suffix":""},{"dropping-particle":"","family":"Xu","given":"Han","non-dropping-particle":"","parse-names":false,"suffix":""},{"dropping-particle":"","family":"Xiao","given":"Tengfei","non-dropping-particle":"","parse-names":false,"suffix":""},{"dropping-particle":"","family":"Cong","given":"Le","non-dropping-particle":"","parse-names":false,"suffix":""},{"dropping-particle":"","family":"Love","given":"Michael I.","non-dropping-particle":"","parse-names":false,"suffix":""},{"dropping-particle":"","family":"Zhang","given":"Feng","non-dropping-particle":"","parse-names":false,"suffix":""},{"dropping-particle":"","family":"Irizarry","given":"Rafael A.","non-dropping-particle":"","parse-names":false,"suffix":""},{"dropping-particle":"","family":"Liu","given":"Jun S.","non-dropping-particle":"","parse-names":false,"suffix":""},{"dropping-particle":"","family":"Brown","given":"Myles","non-dropping-particle":"","parse-names":false,"suffix":""},{"dropping-particle":"","family":"Liu","given":"X. Shirley","non-dropping-particle":"","parse-names":false,"suffix":""}],"container-title":"Genome biology","id":"ITEM-1","issue":"12","issued":{"date-parts":[["2014"]]},"page":"554","title":"MAGeCK enables robust identification of essential genes from genome-scale CRISPR/Cas9 knockout screens","type":"article-journal","volume":"15"},"uris":["http://www.mendeley.com/documents/?uuid=d858216e-a48c-4597-bab2-42c087cf0182"]}],"mendeley":{"formattedCitation":"&lt;sup&gt;85&lt;/sup&gt;","plainTextFormattedCitation":"85","previouslyFormattedCitation":"[81]"},"properties":{"noteIndex":0},"schema":"https://github.com/citation-style-language/schema/raw/master/csl-citation.json"}</w:instrText>
      </w:r>
      <w:r>
        <w:rPr>
          <w:rFonts w:cstheme="minorHAnsi"/>
          <w:bCs/>
          <w:color w:val="000000" w:themeColor="text1"/>
          <w:sz w:val="22"/>
          <w:szCs w:val="22"/>
        </w:rPr>
        <w:fldChar w:fldCharType="separate"/>
      </w:r>
      <w:r w:rsidRPr="006733FD">
        <w:rPr>
          <w:rFonts w:cstheme="minorHAnsi"/>
          <w:bCs/>
          <w:noProof/>
          <w:color w:val="000000" w:themeColor="text1"/>
          <w:sz w:val="22"/>
          <w:szCs w:val="22"/>
          <w:vertAlign w:val="superscript"/>
        </w:rPr>
        <w:t>85</w:t>
      </w:r>
      <w:r>
        <w:rPr>
          <w:rFonts w:cstheme="minorHAnsi"/>
          <w:bCs/>
          <w:color w:val="000000" w:themeColor="text1"/>
          <w:sz w:val="22"/>
          <w:szCs w:val="22"/>
        </w:rPr>
        <w:fldChar w:fldCharType="end"/>
      </w:r>
      <w:r w:rsidRPr="00CC79AD">
        <w:rPr>
          <w:rFonts w:cstheme="minorHAnsi"/>
          <w:bCs/>
          <w:color w:val="000000" w:themeColor="text1"/>
          <w:sz w:val="22"/>
          <w:szCs w:val="22"/>
        </w:rPr>
        <w:t xml:space="preserve">. More specifically, MaGECK-MLE does not rely on a rank-based analysis, allowing for more accurate and detailed comparisons of gene selections. This allows MaGECK-MLE to establish more refined clusters of genes that could not be revealed by previous methods. </w:t>
      </w:r>
    </w:p>
    <w:p w14:paraId="220C8979" w14:textId="77777777" w:rsidR="004D41BE" w:rsidRDefault="004D41BE" w:rsidP="004D41BE">
      <w:pPr>
        <w:spacing w:line="480" w:lineRule="auto"/>
        <w:contextualSpacing/>
        <w:jc w:val="both"/>
        <w:rPr>
          <w:rFonts w:cstheme="minorHAnsi"/>
          <w:bCs/>
          <w:color w:val="000000" w:themeColor="text1"/>
          <w:sz w:val="22"/>
          <w:szCs w:val="22"/>
        </w:rPr>
      </w:pPr>
    </w:p>
    <w:p w14:paraId="5602A406" w14:textId="77777777" w:rsidR="004D41BE" w:rsidRPr="00973A13" w:rsidRDefault="004D41BE" w:rsidP="004D41BE">
      <w:pPr>
        <w:spacing w:line="480" w:lineRule="auto"/>
        <w:contextualSpacing/>
        <w:jc w:val="both"/>
        <w:rPr>
          <w:rFonts w:cstheme="minorHAnsi"/>
          <w:b/>
          <w:color w:val="000000" w:themeColor="text1"/>
          <w:sz w:val="22"/>
          <w:szCs w:val="22"/>
        </w:rPr>
      </w:pPr>
      <w:r w:rsidRPr="00973A13">
        <w:rPr>
          <w:rFonts w:cstheme="minorHAnsi"/>
          <w:b/>
          <w:color w:val="000000" w:themeColor="text1"/>
          <w:sz w:val="22"/>
          <w:szCs w:val="22"/>
        </w:rPr>
        <w:t xml:space="preserve">Amplification of the GeCKO CRISPR screen library </w:t>
      </w:r>
    </w:p>
    <w:p w14:paraId="3E5B5571" w14:textId="77777777" w:rsidR="004D41BE" w:rsidRDefault="004D41BE" w:rsidP="004D41BE">
      <w:pPr>
        <w:spacing w:line="480" w:lineRule="auto"/>
        <w:contextualSpacing/>
        <w:jc w:val="both"/>
        <w:rPr>
          <w:rFonts w:cstheme="minorHAnsi"/>
          <w:bCs/>
          <w:color w:val="000000" w:themeColor="text1"/>
          <w:sz w:val="22"/>
          <w:szCs w:val="22"/>
        </w:rPr>
      </w:pPr>
      <w:r w:rsidRPr="00973A13">
        <w:rPr>
          <w:rFonts w:cstheme="minorHAnsi"/>
          <w:bCs/>
          <w:color w:val="000000" w:themeColor="text1"/>
          <w:sz w:val="22"/>
          <w:szCs w:val="22"/>
        </w:rPr>
        <w:t>The CRISPR screen library was</w:t>
      </w:r>
      <w:r>
        <w:rPr>
          <w:rFonts w:cstheme="minorHAnsi"/>
          <w:bCs/>
          <w:color w:val="000000" w:themeColor="text1"/>
          <w:sz w:val="22"/>
          <w:szCs w:val="22"/>
        </w:rPr>
        <w:t xml:space="preserve"> a</w:t>
      </w:r>
      <w:r w:rsidRPr="00973A13">
        <w:rPr>
          <w:rFonts w:cstheme="minorHAnsi"/>
          <w:bCs/>
          <w:color w:val="000000" w:themeColor="text1"/>
          <w:sz w:val="22"/>
          <w:szCs w:val="22"/>
        </w:rPr>
        <w:t xml:space="preserve"> gift </w:t>
      </w:r>
      <w:r>
        <w:rPr>
          <w:rFonts w:cstheme="minorHAnsi"/>
          <w:bCs/>
          <w:color w:val="000000" w:themeColor="text1"/>
          <w:sz w:val="22"/>
          <w:szCs w:val="22"/>
        </w:rPr>
        <w:t>from</w:t>
      </w:r>
      <w:r w:rsidRPr="00973A13">
        <w:rPr>
          <w:rFonts w:cstheme="minorHAnsi"/>
          <w:bCs/>
          <w:color w:val="000000" w:themeColor="text1"/>
          <w:sz w:val="22"/>
          <w:szCs w:val="22"/>
        </w:rPr>
        <w:t xml:space="preserve"> Dr. Feng Zhang (MIT): Human CRISPR Knockout Pooled Library (GeCKO v2) (#1000000049; Addgene) </w:t>
      </w:r>
      <w:r w:rsidRPr="00973A13">
        <w:rPr>
          <w:rFonts w:cstheme="minorHAnsi"/>
          <w:sz w:val="22"/>
          <w:szCs w:val="22"/>
        </w:rPr>
        <w:fldChar w:fldCharType="begin" w:fldLock="1"/>
      </w:r>
      <w:r>
        <w:rPr>
          <w:rFonts w:cstheme="minorHAnsi"/>
          <w:sz w:val="22"/>
          <w:szCs w:val="22"/>
        </w:rPr>
        <w:instrText>ADDIN CSL_CITATION {"citationItems":[{"id":"ITEM-1","itemData":{"DOI":"10.1038/nmeth.3047.Improved","abstract":"Genome-wide, targeted loss-of-function pooled screens using the CRISPR (clustered regularly interspaced short palindrome repeats)–associated nuclease Cas9 in human and mouse cells provide an alternative screening system to RNA interference (RNAi) and have been used to reveal new mechanisms in diverse biological models 1-4 . Previously, we used a Genome-scale CRISPR Knock-Out (GeCKO) library to identify loss-of-function mutations conferring vemurafenib resistance in a melanoma model 1 . However, initial lentiviral delivery systems for CRISPR screening had low viral titer or required a cell line already expressing Cas9, limiting the range of biological systems amenable to screening. Here, we sought to improve both the lentiviral packaging and choice of guide sequences in our original GeCKO library 1 , where a pooled library of synthesized oligonucleotides was cloned into a lentiviral backbone containing both the Streptococcus pyogenes Cas9 nuclease and the single guide RNA (sgRNA) scaffold. To create a new vector capable of producing higher-titer virus (lentiCRISPRv2), we made several modifications, including removal of one of the nuclear localization signals (NLS), human codon-optimization of the remaining NLS and P2A bicistronic linker sequences, and repositioning of the U6-driven sgRNA cassette (Fig. 1a). These changes resulted in a ~10-fold increase in functional viral titer over lentiCRISPRv1 1 (Fig. 1b). To further increase viral titer, we also cloned a two-vector system, in which Cas9 (lentiCas9-Blast) and sgRNA (lentiGuide-Puro) are delivered using separate viral vectors with distinct antibiotic selection markers (Fig. 1a). LentiGuide-Puro has a ~100-fold increase in functional viral titer over the original lentiCRISPRv1 (Fig. 1b). Both single and dual-vector systems mediate efficient knock-out of a genomically-integrated copy of EGFP in human cells (Supplementary Fig. 1). Whereas the dual vector system enables generation of Cas9-expressing cell lines which can be subsequently used for screens using lentiGuide-Puro, the single vector lentiCRISPRv2 may be better suited for in vivo or primary cell screening applications. In addition to the vector improvements, we designed and synthesized new human and mouse GeCKOv2 sgRNA libraries (Supplementary Methods) with several improvements (Table 1): First, for both human and mouse libraries, to target all genes with a uniform number of sgRNAs, we selected 6 sgRNAs per gene distributed over 3-4 constitutively…","author":[{"dropping-particle":"","family":"Sanjana","given":"Neville E","non-dropping-particle":"","parse-names":false,"suffix":""},{"dropping-particle":"","family":"Shalem","given":"Ophir","non-dropping-particle":"","parse-names":false,"suffix":""},{"dropping-particle":"","family":"Zhang","given":"Feng","non-dropping-particle":"","parse-names":false,"suffix":""}],"container-title":"Nat Methods","id":"ITEM-1","issue":"8","issued":{"date-parts":[["2014"]]},"page":"783-784","title":"Improved vectors and genome-wide libraries for CRISPR screening","type":"article-journal","volume":"11"},"uris":["http://www.mendeley.com/documents/?uuid=46a85087-3fa0-4468-ba5b-11de7154637e"]}],"mendeley":{"formattedCitation":"&lt;sup&gt;27&lt;/sup&gt;","plainTextFormattedCitation":"27","previouslyFormattedCitation":"(24)"},"properties":{"noteIndex":0},"schema":"https://github.com/citation-style-language/schema/raw/master/csl-citation.json"}</w:instrText>
      </w:r>
      <w:r w:rsidRPr="00973A13">
        <w:rPr>
          <w:rFonts w:cstheme="minorHAnsi"/>
          <w:sz w:val="22"/>
          <w:szCs w:val="22"/>
        </w:rPr>
        <w:fldChar w:fldCharType="separate"/>
      </w:r>
      <w:r w:rsidRPr="006733FD">
        <w:rPr>
          <w:rFonts w:cstheme="minorHAnsi"/>
          <w:noProof/>
          <w:sz w:val="22"/>
          <w:szCs w:val="22"/>
          <w:vertAlign w:val="superscript"/>
        </w:rPr>
        <w:t>27</w:t>
      </w:r>
      <w:r w:rsidRPr="00973A13">
        <w:rPr>
          <w:rFonts w:cstheme="minorHAnsi"/>
          <w:sz w:val="22"/>
          <w:szCs w:val="22"/>
        </w:rPr>
        <w:fldChar w:fldCharType="end"/>
      </w:r>
      <w:r w:rsidRPr="00973A13">
        <w:rPr>
          <w:rFonts w:cstheme="minorHAnsi"/>
          <w:bCs/>
          <w:color w:val="000000" w:themeColor="text1"/>
          <w:sz w:val="22"/>
          <w:szCs w:val="22"/>
        </w:rPr>
        <w:t>.</w:t>
      </w:r>
      <w:r>
        <w:rPr>
          <w:rFonts w:cstheme="minorHAnsi"/>
          <w:bCs/>
          <w:color w:val="000000" w:themeColor="text1"/>
          <w:sz w:val="22"/>
          <w:szCs w:val="22"/>
        </w:rPr>
        <w:t xml:space="preserve"> </w:t>
      </w:r>
      <w:r w:rsidRPr="00973A13">
        <w:rPr>
          <w:rFonts w:cstheme="minorHAnsi"/>
          <w:bCs/>
          <w:color w:val="000000" w:themeColor="text1"/>
          <w:sz w:val="22"/>
          <w:szCs w:val="22"/>
        </w:rPr>
        <w:t>Each library (100ng at a concentration of 50 ng/ul) was transformed into ElectroMAX Stbl4 Competent Cells (ThermoFisher) via electroporation with the Gene Pulser II Electroporation System (BioRad) according to the manufacturer’s protocol, with 4 replicate reactions. Cells were recovered in SOC media (NEB) and cultured for 1.5 h at 32°C before plating onto ampicillin Lysogeny broth (LB) agarose bioassay dishes (Nunc), which were incubated overnight at 32°C. The bacterial colonies were then harvested and the CRISPR plasmid libraries were isolated using an EndoFree Plasmid Maxi Kit (Qiagen).</w:t>
      </w:r>
    </w:p>
    <w:p w14:paraId="50E9B308" w14:textId="77777777" w:rsidR="004D41BE" w:rsidRDefault="004D41BE" w:rsidP="004D41BE">
      <w:pPr>
        <w:spacing w:line="480" w:lineRule="auto"/>
        <w:contextualSpacing/>
        <w:jc w:val="both"/>
        <w:rPr>
          <w:rFonts w:cstheme="minorHAnsi"/>
          <w:bCs/>
          <w:color w:val="000000" w:themeColor="text1"/>
          <w:sz w:val="22"/>
          <w:szCs w:val="22"/>
        </w:rPr>
      </w:pPr>
    </w:p>
    <w:p w14:paraId="308611B9" w14:textId="77777777" w:rsidR="004D41BE" w:rsidRPr="00973A13" w:rsidRDefault="004D41BE" w:rsidP="004D41BE">
      <w:pPr>
        <w:spacing w:line="480" w:lineRule="auto"/>
        <w:contextualSpacing/>
        <w:jc w:val="both"/>
        <w:rPr>
          <w:rFonts w:cstheme="minorHAnsi"/>
          <w:color w:val="000000" w:themeColor="text1"/>
          <w:sz w:val="22"/>
          <w:szCs w:val="22"/>
        </w:rPr>
      </w:pPr>
      <w:r w:rsidRPr="00973A13">
        <w:rPr>
          <w:rFonts w:cstheme="minorHAnsi"/>
          <w:b/>
          <w:color w:val="000000" w:themeColor="text1"/>
          <w:sz w:val="22"/>
          <w:szCs w:val="22"/>
        </w:rPr>
        <w:lastRenderedPageBreak/>
        <w:t>Preparation of HiSeq libraries</w:t>
      </w:r>
      <w:r w:rsidRPr="00973A13">
        <w:rPr>
          <w:rFonts w:cstheme="minorHAnsi"/>
          <w:sz w:val="22"/>
          <w:szCs w:val="22"/>
        </w:rPr>
        <w:t xml:space="preserve"> </w:t>
      </w:r>
    </w:p>
    <w:p w14:paraId="2262BB8D" w14:textId="77777777" w:rsidR="004D41BE" w:rsidRPr="00973A13" w:rsidRDefault="004D41BE" w:rsidP="004D41BE">
      <w:pPr>
        <w:spacing w:line="480" w:lineRule="auto"/>
        <w:contextualSpacing/>
        <w:jc w:val="both"/>
        <w:rPr>
          <w:rFonts w:cstheme="minorHAnsi"/>
          <w:color w:val="000000" w:themeColor="text1"/>
          <w:sz w:val="22"/>
          <w:szCs w:val="22"/>
        </w:rPr>
      </w:pPr>
      <w:r w:rsidRPr="00973A13">
        <w:rPr>
          <w:rFonts w:cstheme="minorHAnsi"/>
          <w:color w:val="000000" w:themeColor="text1"/>
          <w:sz w:val="22"/>
          <w:szCs w:val="22"/>
        </w:rPr>
        <w:t xml:space="preserve">Frozen cell pellets were lysed and their gDNA was extracted </w:t>
      </w:r>
      <w:r>
        <w:rPr>
          <w:rFonts w:cstheme="minorHAnsi"/>
          <w:color w:val="000000" w:themeColor="text1"/>
          <w:sz w:val="22"/>
          <w:szCs w:val="22"/>
        </w:rPr>
        <w:t>using</w:t>
      </w:r>
      <w:r w:rsidRPr="00973A13">
        <w:rPr>
          <w:rFonts w:cstheme="minorHAnsi"/>
          <w:color w:val="000000" w:themeColor="text1"/>
          <w:sz w:val="22"/>
          <w:szCs w:val="22"/>
        </w:rPr>
        <w:t xml:space="preserve"> </w:t>
      </w:r>
      <w:r>
        <w:rPr>
          <w:rFonts w:cstheme="minorHAnsi"/>
          <w:color w:val="000000" w:themeColor="text1"/>
          <w:sz w:val="22"/>
          <w:szCs w:val="22"/>
        </w:rPr>
        <w:t xml:space="preserve">a </w:t>
      </w:r>
      <w:r w:rsidRPr="00973A13">
        <w:rPr>
          <w:rFonts w:cstheme="minorHAnsi"/>
          <w:color w:val="000000" w:themeColor="text1"/>
          <w:sz w:val="22"/>
          <w:szCs w:val="22"/>
        </w:rPr>
        <w:t xml:space="preserve">QIAamp DNA Blood Maxi Kit </w:t>
      </w:r>
      <w:r>
        <w:rPr>
          <w:rFonts w:cstheme="minorHAnsi"/>
          <w:color w:val="000000" w:themeColor="text1"/>
          <w:sz w:val="22"/>
          <w:szCs w:val="22"/>
        </w:rPr>
        <w:t xml:space="preserve">as per the manufacturer’s instructions </w:t>
      </w:r>
      <w:r w:rsidRPr="00973A13">
        <w:rPr>
          <w:rFonts w:cstheme="minorHAnsi"/>
          <w:color w:val="000000" w:themeColor="text1"/>
          <w:sz w:val="22"/>
          <w:szCs w:val="22"/>
        </w:rPr>
        <w:t xml:space="preserve">(Qiagen, Cat#51194). PCR was conducted on the gDNA samples to amplify the sgRNA guide sequence region and to append the Illumina (HiSeq) compatible adapters and barcodes. </w:t>
      </w:r>
      <w:r>
        <w:rPr>
          <w:rFonts w:cstheme="minorHAnsi"/>
          <w:color w:val="000000" w:themeColor="text1"/>
          <w:sz w:val="22"/>
          <w:szCs w:val="22"/>
        </w:rPr>
        <w:t>A t</w:t>
      </w:r>
      <w:r w:rsidRPr="00973A13">
        <w:rPr>
          <w:rFonts w:cstheme="minorHAnsi"/>
          <w:color w:val="000000" w:themeColor="text1"/>
          <w:sz w:val="22"/>
          <w:szCs w:val="22"/>
        </w:rPr>
        <w:t>wo-step PCR was performed</w:t>
      </w:r>
      <w:r>
        <w:rPr>
          <w:rFonts w:cstheme="minorHAnsi"/>
          <w:color w:val="000000" w:themeColor="text1"/>
          <w:sz w:val="22"/>
          <w:szCs w:val="22"/>
        </w:rPr>
        <w:t>:</w:t>
      </w:r>
      <w:r w:rsidRPr="00973A13">
        <w:rPr>
          <w:rFonts w:cstheme="minorHAnsi"/>
          <w:color w:val="000000" w:themeColor="text1"/>
          <w:sz w:val="22"/>
          <w:szCs w:val="22"/>
        </w:rPr>
        <w:t xml:space="preserve"> First, the amount of input gDNA for each sample was calculated in order to achieve 500X library coverage</w:t>
      </w:r>
      <w:r>
        <w:rPr>
          <w:rFonts w:cstheme="minorHAnsi"/>
          <w:color w:val="000000" w:themeColor="text1"/>
          <w:sz w:val="22"/>
          <w:szCs w:val="22"/>
        </w:rPr>
        <w:t>,</w:t>
      </w:r>
      <w:r w:rsidRPr="00973A13">
        <w:rPr>
          <w:rFonts w:cstheme="minorHAnsi"/>
          <w:color w:val="000000" w:themeColor="text1"/>
          <w:sz w:val="22"/>
          <w:szCs w:val="22"/>
        </w:rPr>
        <w:t xml:space="preserve"> which was calculated to be approximately 220 </w:t>
      </w:r>
      <w:r>
        <w:rPr>
          <w:rFonts w:cstheme="minorHAnsi"/>
          <w:color w:val="000000" w:themeColor="text1"/>
          <w:sz w:val="22"/>
          <w:szCs w:val="22"/>
        </w:rPr>
        <w:t>µ</w:t>
      </w:r>
      <w:r w:rsidRPr="00973A13">
        <w:rPr>
          <w:rFonts w:cstheme="minorHAnsi"/>
          <w:color w:val="000000" w:themeColor="text1"/>
          <w:sz w:val="22"/>
          <w:szCs w:val="22"/>
        </w:rPr>
        <w:t xml:space="preserve">g DNA per replicate. For each replicate sample, 22 separate 100 </w:t>
      </w:r>
      <w:r>
        <w:rPr>
          <w:rFonts w:cstheme="minorHAnsi"/>
          <w:color w:val="000000" w:themeColor="text1"/>
          <w:sz w:val="22"/>
          <w:szCs w:val="22"/>
        </w:rPr>
        <w:t>µ</w:t>
      </w:r>
      <w:r w:rsidRPr="00973A13">
        <w:rPr>
          <w:rFonts w:cstheme="minorHAnsi"/>
          <w:color w:val="000000" w:themeColor="text1"/>
          <w:sz w:val="22"/>
          <w:szCs w:val="22"/>
        </w:rPr>
        <w:t xml:space="preserve">l PCR reactions with 10 </w:t>
      </w:r>
      <w:r>
        <w:rPr>
          <w:rFonts w:cstheme="minorHAnsi"/>
          <w:color w:val="000000" w:themeColor="text1"/>
          <w:sz w:val="22"/>
          <w:szCs w:val="22"/>
        </w:rPr>
        <w:t>µ</w:t>
      </w:r>
      <w:r w:rsidRPr="00973A13">
        <w:rPr>
          <w:rFonts w:cstheme="minorHAnsi"/>
          <w:color w:val="000000" w:themeColor="text1"/>
          <w:sz w:val="22"/>
          <w:szCs w:val="22"/>
        </w:rPr>
        <w:t xml:space="preserve">g of input genomic DNA in each reaction with Herculase II Fusion DNA Polymerase (Agilent, Cat#600677) were completed in </w:t>
      </w:r>
      <w:r>
        <w:rPr>
          <w:rFonts w:cstheme="minorHAnsi"/>
          <w:color w:val="000000" w:themeColor="text1"/>
          <w:sz w:val="22"/>
          <w:szCs w:val="22"/>
        </w:rPr>
        <w:t xml:space="preserve">an </w:t>
      </w:r>
      <w:r w:rsidRPr="00973A13">
        <w:rPr>
          <w:rFonts w:cstheme="minorHAnsi"/>
          <w:color w:val="000000" w:themeColor="text1"/>
          <w:sz w:val="22"/>
          <w:szCs w:val="22"/>
        </w:rPr>
        <w:t xml:space="preserve">ABI Veriti Thermal Cycler (Applied Biosystems). The resulting amplicons from the first PCRs were then pooled together and mixed thoroughly to be used as the template for the second PCR reaction. Oligonucleotides (Sigma-Aldrich) used for the first PCR </w:t>
      </w:r>
      <w:r>
        <w:rPr>
          <w:rFonts w:cstheme="minorHAnsi"/>
          <w:color w:val="000000" w:themeColor="text1"/>
          <w:sz w:val="22"/>
          <w:szCs w:val="22"/>
        </w:rPr>
        <w:t>we</w:t>
      </w:r>
      <w:r w:rsidRPr="00973A13">
        <w:rPr>
          <w:rFonts w:cstheme="minorHAnsi"/>
          <w:color w:val="000000" w:themeColor="text1"/>
          <w:sz w:val="22"/>
          <w:szCs w:val="22"/>
        </w:rPr>
        <w:t xml:space="preserve">re: </w:t>
      </w:r>
    </w:p>
    <w:p w14:paraId="40C1E5CB" w14:textId="77777777" w:rsidR="004D41BE" w:rsidRPr="00973A13" w:rsidRDefault="004D41BE" w:rsidP="004D41BE">
      <w:pPr>
        <w:spacing w:line="480" w:lineRule="auto"/>
        <w:contextualSpacing/>
        <w:jc w:val="both"/>
        <w:rPr>
          <w:rFonts w:cstheme="minorHAnsi"/>
          <w:color w:val="000000" w:themeColor="text1"/>
          <w:sz w:val="22"/>
          <w:szCs w:val="22"/>
        </w:rPr>
      </w:pPr>
      <w:r w:rsidRPr="00973A13">
        <w:rPr>
          <w:rFonts w:cstheme="minorHAnsi"/>
          <w:color w:val="000000" w:themeColor="text1"/>
          <w:sz w:val="22"/>
          <w:szCs w:val="22"/>
        </w:rPr>
        <w:t>Genomic PCR Forward 5’- AATGGACTATCATATGCTTACCGTAACTTGAAAGTATTTCG -3’</w:t>
      </w:r>
    </w:p>
    <w:p w14:paraId="699960DB" w14:textId="77777777" w:rsidR="004D41BE" w:rsidRPr="00973A13" w:rsidRDefault="004D41BE" w:rsidP="004D41BE">
      <w:pPr>
        <w:spacing w:line="480" w:lineRule="auto"/>
        <w:contextualSpacing/>
        <w:jc w:val="both"/>
        <w:rPr>
          <w:rFonts w:cstheme="minorHAnsi"/>
          <w:color w:val="000000" w:themeColor="text1"/>
          <w:sz w:val="22"/>
          <w:szCs w:val="22"/>
        </w:rPr>
      </w:pPr>
      <w:r w:rsidRPr="00973A13">
        <w:rPr>
          <w:rFonts w:cstheme="minorHAnsi"/>
          <w:color w:val="000000" w:themeColor="text1"/>
          <w:sz w:val="22"/>
          <w:szCs w:val="22"/>
        </w:rPr>
        <w:t xml:space="preserve">Genomic PCR Reverse - 5’CTTTAGTTTGTATGTCTGTTGCTATTATGTCTACTATTCTTTCC – 3’. </w:t>
      </w:r>
    </w:p>
    <w:p w14:paraId="3C258FAB" w14:textId="77777777" w:rsidR="004D41BE" w:rsidRPr="00973A13" w:rsidRDefault="004D41BE" w:rsidP="004D41BE">
      <w:pPr>
        <w:spacing w:line="480" w:lineRule="auto"/>
        <w:contextualSpacing/>
        <w:jc w:val="both"/>
        <w:rPr>
          <w:rFonts w:cstheme="minorHAnsi"/>
          <w:color w:val="000000" w:themeColor="text1"/>
          <w:sz w:val="22"/>
          <w:szCs w:val="22"/>
        </w:rPr>
      </w:pPr>
      <w:r w:rsidRPr="00973A13">
        <w:rPr>
          <w:rFonts w:cstheme="minorHAnsi"/>
          <w:color w:val="000000" w:themeColor="text1"/>
          <w:sz w:val="22"/>
          <w:szCs w:val="22"/>
        </w:rPr>
        <w:t xml:space="preserve">The second PCR was designed to attach standard Illumina adaptors and unique barcodes to the amplicons from the first PCR to allow for HiSeq reactions and demultiplexing of the reads, respectively. The second PCR was conducted on 5 </w:t>
      </w:r>
      <w:r>
        <w:rPr>
          <w:rFonts w:cstheme="minorHAnsi"/>
          <w:color w:val="000000" w:themeColor="text1"/>
          <w:sz w:val="22"/>
          <w:szCs w:val="22"/>
        </w:rPr>
        <w:t>µ</w:t>
      </w:r>
      <w:r w:rsidRPr="00973A13">
        <w:rPr>
          <w:rFonts w:cstheme="minorHAnsi"/>
          <w:color w:val="000000" w:themeColor="text1"/>
          <w:sz w:val="22"/>
          <w:szCs w:val="22"/>
        </w:rPr>
        <w:t>l of the first PCR amplicon as the template</w:t>
      </w:r>
      <w:r>
        <w:rPr>
          <w:rFonts w:cstheme="minorHAnsi"/>
          <w:color w:val="000000" w:themeColor="text1"/>
          <w:sz w:val="22"/>
          <w:szCs w:val="22"/>
        </w:rPr>
        <w:t>,</w:t>
      </w:r>
      <w:r w:rsidRPr="00973A13">
        <w:rPr>
          <w:rFonts w:cstheme="minorHAnsi"/>
          <w:color w:val="000000" w:themeColor="text1"/>
          <w:sz w:val="22"/>
          <w:szCs w:val="22"/>
        </w:rPr>
        <w:t xml:space="preserve"> in 100 </w:t>
      </w:r>
      <w:r>
        <w:rPr>
          <w:rFonts w:cstheme="minorHAnsi"/>
          <w:color w:val="000000" w:themeColor="text1"/>
          <w:sz w:val="22"/>
          <w:szCs w:val="22"/>
        </w:rPr>
        <w:t>µ</w:t>
      </w:r>
      <w:r w:rsidRPr="00973A13">
        <w:rPr>
          <w:rFonts w:cstheme="minorHAnsi"/>
          <w:color w:val="000000" w:themeColor="text1"/>
          <w:sz w:val="22"/>
          <w:szCs w:val="22"/>
        </w:rPr>
        <w:t xml:space="preserve">l reactions with </w:t>
      </w:r>
      <w:r>
        <w:rPr>
          <w:rFonts w:cstheme="minorHAnsi"/>
          <w:color w:val="000000" w:themeColor="text1"/>
          <w:sz w:val="22"/>
          <w:szCs w:val="22"/>
        </w:rPr>
        <w:t xml:space="preserve">a total of </w:t>
      </w:r>
      <w:r w:rsidRPr="00973A13">
        <w:rPr>
          <w:rFonts w:cstheme="minorHAnsi"/>
          <w:color w:val="000000" w:themeColor="text1"/>
          <w:sz w:val="22"/>
          <w:szCs w:val="22"/>
        </w:rPr>
        <w:t>22 reactions. Primers for the second PCR (</w:t>
      </w:r>
      <w:r>
        <w:rPr>
          <w:rFonts w:cstheme="minorHAnsi"/>
          <w:color w:val="000000" w:themeColor="text1"/>
          <w:sz w:val="22"/>
          <w:szCs w:val="22"/>
        </w:rPr>
        <w:t>T</w:t>
      </w:r>
      <w:r w:rsidRPr="00973A13">
        <w:rPr>
          <w:rFonts w:cstheme="minorHAnsi"/>
          <w:color w:val="000000" w:themeColor="text1"/>
          <w:sz w:val="22"/>
          <w:szCs w:val="22"/>
        </w:rPr>
        <w:t>ab</w:t>
      </w:r>
      <w:r>
        <w:rPr>
          <w:rFonts w:cstheme="minorHAnsi"/>
          <w:color w:val="000000" w:themeColor="text1"/>
          <w:sz w:val="22"/>
          <w:szCs w:val="22"/>
        </w:rPr>
        <w:t>le</w:t>
      </w:r>
      <w:r w:rsidRPr="00973A13">
        <w:rPr>
          <w:rFonts w:cstheme="minorHAnsi"/>
          <w:color w:val="000000" w:themeColor="text1"/>
          <w:sz w:val="22"/>
          <w:szCs w:val="22"/>
        </w:rPr>
        <w:t xml:space="preserve"> </w:t>
      </w:r>
      <w:r>
        <w:rPr>
          <w:rFonts w:cstheme="minorHAnsi"/>
          <w:color w:val="000000" w:themeColor="text1"/>
          <w:sz w:val="22"/>
          <w:szCs w:val="22"/>
        </w:rPr>
        <w:t>S</w:t>
      </w:r>
      <w:r w:rsidRPr="00973A13">
        <w:rPr>
          <w:rFonts w:cstheme="minorHAnsi"/>
          <w:color w:val="000000" w:themeColor="text1"/>
          <w:sz w:val="22"/>
          <w:szCs w:val="22"/>
        </w:rPr>
        <w:t>2) were synthesized as IDT DNA Ultramer Oligonucleotides (Integrated DNA Technologies) and also included a staggered region with variable lengths of sequence to enhance the library complexity.</w:t>
      </w:r>
    </w:p>
    <w:p w14:paraId="0805725C" w14:textId="77777777" w:rsidR="004D41BE" w:rsidRPr="00973A13" w:rsidRDefault="004D41BE" w:rsidP="004D41BE">
      <w:pPr>
        <w:spacing w:line="480" w:lineRule="auto"/>
        <w:contextualSpacing/>
        <w:jc w:val="both"/>
        <w:rPr>
          <w:rFonts w:cstheme="minorHAnsi"/>
          <w:color w:val="000000" w:themeColor="text1"/>
          <w:sz w:val="22"/>
          <w:szCs w:val="22"/>
        </w:rPr>
      </w:pPr>
    </w:p>
    <w:p w14:paraId="5400E1BA" w14:textId="77777777" w:rsidR="004D41BE" w:rsidRPr="00973A13" w:rsidRDefault="004D41BE" w:rsidP="004D41BE">
      <w:pPr>
        <w:spacing w:line="480" w:lineRule="auto"/>
        <w:contextualSpacing/>
        <w:jc w:val="both"/>
        <w:rPr>
          <w:rFonts w:cstheme="minorHAnsi"/>
          <w:b/>
          <w:color w:val="000000" w:themeColor="text1"/>
          <w:sz w:val="22"/>
          <w:szCs w:val="22"/>
        </w:rPr>
      </w:pPr>
      <w:r w:rsidRPr="00973A13">
        <w:rPr>
          <w:rFonts w:cstheme="minorHAnsi"/>
          <w:b/>
          <w:color w:val="000000" w:themeColor="text1"/>
          <w:sz w:val="22"/>
          <w:szCs w:val="22"/>
        </w:rPr>
        <w:t>NGS gene enrichment analysis</w:t>
      </w:r>
    </w:p>
    <w:p w14:paraId="40E08026" w14:textId="77777777" w:rsidR="004D41BE" w:rsidRPr="00973A13" w:rsidRDefault="004D41BE" w:rsidP="004D41BE">
      <w:pPr>
        <w:spacing w:line="480" w:lineRule="auto"/>
        <w:contextualSpacing/>
        <w:jc w:val="both"/>
        <w:rPr>
          <w:rFonts w:cstheme="minorHAnsi"/>
          <w:color w:val="000000" w:themeColor="text1"/>
          <w:sz w:val="22"/>
          <w:szCs w:val="22"/>
        </w:rPr>
      </w:pPr>
      <w:r w:rsidRPr="00973A13">
        <w:rPr>
          <w:rFonts w:cstheme="minorHAnsi"/>
          <w:color w:val="000000" w:themeColor="text1"/>
          <w:sz w:val="22"/>
          <w:szCs w:val="22"/>
        </w:rPr>
        <w:t xml:space="preserve">NGS analysis was performed </w:t>
      </w:r>
      <w:r>
        <w:rPr>
          <w:rFonts w:cstheme="minorHAnsi"/>
          <w:color w:val="000000" w:themeColor="text1"/>
          <w:sz w:val="22"/>
          <w:szCs w:val="22"/>
        </w:rPr>
        <w:t>as</w:t>
      </w:r>
      <w:r w:rsidRPr="00973A13">
        <w:rPr>
          <w:rFonts w:cstheme="minorHAnsi"/>
          <w:color w:val="000000" w:themeColor="text1"/>
          <w:sz w:val="22"/>
          <w:szCs w:val="22"/>
        </w:rPr>
        <w:t xml:space="preserve"> described previous</w:t>
      </w:r>
      <w:r>
        <w:rPr>
          <w:rFonts w:cstheme="minorHAnsi"/>
          <w:color w:val="000000" w:themeColor="text1"/>
          <w:sz w:val="22"/>
          <w:szCs w:val="22"/>
        </w:rPr>
        <w:t>ly</w:t>
      </w:r>
      <w:r w:rsidRPr="00973A13">
        <w:rPr>
          <w:rFonts w:cstheme="minorHAnsi"/>
          <w:color w:val="000000" w:themeColor="text1"/>
          <w:sz w:val="22"/>
          <w:szCs w:val="22"/>
        </w:rPr>
        <w:t xml:space="preserve"> study </w:t>
      </w:r>
      <w:r w:rsidRPr="00973A13">
        <w:rPr>
          <w:rFonts w:cstheme="minorHAnsi"/>
          <w:color w:val="000000" w:themeColor="text1"/>
          <w:sz w:val="22"/>
          <w:szCs w:val="22"/>
        </w:rPr>
        <w:fldChar w:fldCharType="begin" w:fldLock="1"/>
      </w:r>
      <w:r>
        <w:rPr>
          <w:rFonts w:cstheme="minorHAnsi"/>
          <w:color w:val="000000" w:themeColor="text1"/>
          <w:sz w:val="22"/>
          <w:szCs w:val="22"/>
        </w:rPr>
        <w:instrText>ADDIN CSL_CITATION {"citationItems":[{"id":"ITEM-1","itemData":{"DOI":"10.1038/s41467-019-13315-x","ISSN":"20411723","PMID":"31780656","abstract":"Resistance to anaplastic lymphoma kinase (ALK)-targeted therapy in ALK-positive non-small cell lung cancer has been reported, with the majority of acquired resistance mechanisms relying on bypass signaling. To proactively identify resistance mechanisms in ALK-positive neuroblastoma (NB), we herein employ genome-wide CRISPR activation screens of NB cell lines treated with brigatinib or ceritinib, identifying PIM1 as a putative resistance gene, whose high expression is associated with high-risk disease and poor survival. Knockdown of PIM1 sensitizes cells of differing MYCN status to ALK inhibitors, and in patient-derived xenografts of high-risk NB harboring ALK mutations, the combination of the ALK inhibitor ceritinib and PIM1 inhibitor AZD1208 shows significantly enhanced anti-tumor efficacy relative to single agents. These data confirm that PIM1 overexpression decreases sensitivity to ALK inhibitors in NB, and suggests that combined front-line inhibition of ALK and PIM1 is a viable strategy for the treatment of ALK-positive NB independent of MYCN status.","author":[{"dropping-particle":"","family":"Trigg","given":"Ricky M.","non-dropping-particle":"","parse-names":false,"suffix":""},{"dropping-particle":"","family":"Lee","given":"Liam C.","non-dropping-particle":"","parse-names":false,"suffix":""},{"dropping-particle":"","family":"Prokoph","given":"Nina","non-dropping-particle":"","parse-names":false,"suffix":""},{"dropping-particle":"","family":"Jahangiri","given":"Leila","non-dropping-particle":"","parse-names":false,"suffix":""},{"dropping-particle":"","family":"Reynolds","given":"C. Patrick","non-dropping-particle":"","parse-names":false,"suffix":""},{"dropping-particle":"","family":"Amos Burke","given":"G. A.","non-dropping-particle":"","parse-names":false,"suffix":""},{"dropping-particle":"","family":"Probst","given":"Nicola A.","non-dropping-particle":"","parse-names":false,"suffix":""},{"dropping-particle":"","family":"Han","given":"Miaojun","non-dropping-particle":"","parse-names":false,"suffix":""},{"dropping-particle":"","family":"Matthews","given":"Jamie D.","non-dropping-particle":"","parse-names":false,"suffix":""},{"dropping-particle":"","family":"Kai Lim","given":"Hong","non-dropping-particle":"","parse-names":false,"suffix":""},{"dropping-particle":"","family":"Manners","given":"Eleanor","non-dropping-particle":"","parse-names":false,"suffix":""},{"dropping-particle":"","family":"Martinez","given":"Sonia","non-dropping-particle":"","parse-names":false,"suffix":""},{"dropping-particle":"","family":"Pastor","given":"Joaquin","non-dropping-particle":"","parse-names":false,"suffix":""},{"dropping-particle":"","family":"Blanco-Aparicio","given":"Carmen","non-dropping-particle":"","parse-names":false,"suffix":""},{"dropping-particle":"","family":"Merkel","given":"Olaf","non-dropping-particle":"","parse-names":false,"suffix":""},{"dropping-particle":"","family":"los Fayos Alonso","given":"Ines Garces","non-dropping-particle":"de","parse-names":false,"suffix":""},{"dropping-particle":"","family":"Kodajova","given":"Petra","non-dropping-particle":"","parse-names":false,"suffix":""},{"dropping-particle":"","family":"Tangermann","given":"Simone","non-dropping-particle":"","parse-names":false,"suffix":""},{"dropping-particle":"","family":"Högler","given":"Sandra","non-dropping-particle":"","parse-names":false,"suffix":""},{"dropping-particle":"","family":"Luo","given":"Ji","non-dropping-particle":"","parse-names":false,"suffix":""},{"dropping-particle":"","family":"Kenner","given":"Lukas","non-dropping-particle":"","parse-names":false,"suffix":""},{"dropping-particle":"","family":"Turner","given":"Suzanne D.","non-dropping-particle":"","parse-names":false,"suffix":""}],"container-title":"Nature Communications","id":"ITEM-1","issue":"1","issued":{"date-parts":[["2019"]]},"publisher":"Springer US","title":"The targetable kinase PIM1 drives ALK inhibitor resistance in high-risk neuroblastoma independent of MYCN status","type":"article-journal","volume":"10"},"uris":["http://www.mendeley.com/documents/?uuid=c4fd45ec-3957-4aeb-885f-71a83f77b6c2"]}],"mendeley":{"formattedCitation":"&lt;sup&gt;5&lt;/sup&gt;","plainTextFormattedCitation":"5","previouslyFormattedCitation":"(4)"},"properties":{"noteIndex":0},"schema":"https://github.com/citation-style-language/schema/raw/master/csl-citation.json"}</w:instrText>
      </w:r>
      <w:r w:rsidRPr="00973A13">
        <w:rPr>
          <w:rFonts w:cstheme="minorHAnsi"/>
          <w:color w:val="000000" w:themeColor="text1"/>
          <w:sz w:val="22"/>
          <w:szCs w:val="22"/>
        </w:rPr>
        <w:fldChar w:fldCharType="separate"/>
      </w:r>
      <w:r w:rsidRPr="006733FD">
        <w:rPr>
          <w:rFonts w:cstheme="minorHAnsi"/>
          <w:noProof/>
          <w:color w:val="000000" w:themeColor="text1"/>
          <w:sz w:val="22"/>
          <w:szCs w:val="22"/>
          <w:vertAlign w:val="superscript"/>
        </w:rPr>
        <w:t>5</w:t>
      </w:r>
      <w:r w:rsidRPr="00973A13">
        <w:rPr>
          <w:rFonts w:cstheme="minorHAnsi"/>
          <w:color w:val="000000" w:themeColor="text1"/>
          <w:sz w:val="22"/>
          <w:szCs w:val="22"/>
        </w:rPr>
        <w:fldChar w:fldCharType="end"/>
      </w:r>
      <w:r w:rsidRPr="00973A13">
        <w:rPr>
          <w:rFonts w:cstheme="minorHAnsi"/>
          <w:color w:val="000000" w:themeColor="text1"/>
          <w:sz w:val="22"/>
          <w:szCs w:val="22"/>
        </w:rPr>
        <w:t>.</w:t>
      </w:r>
    </w:p>
    <w:p w14:paraId="7FA11B00" w14:textId="77777777" w:rsidR="004D41BE" w:rsidRPr="00973A13" w:rsidRDefault="004D41BE" w:rsidP="004D41BE">
      <w:pPr>
        <w:spacing w:line="480" w:lineRule="auto"/>
        <w:contextualSpacing/>
        <w:jc w:val="both"/>
        <w:rPr>
          <w:rFonts w:cstheme="minorHAnsi"/>
          <w:color w:val="000000" w:themeColor="text1"/>
          <w:sz w:val="22"/>
          <w:szCs w:val="22"/>
        </w:rPr>
      </w:pPr>
    </w:p>
    <w:p w14:paraId="6295D01A" w14:textId="77777777" w:rsidR="004D41BE" w:rsidRPr="00973A13" w:rsidRDefault="004D41BE" w:rsidP="004D41BE">
      <w:pPr>
        <w:spacing w:line="480" w:lineRule="auto"/>
        <w:contextualSpacing/>
        <w:jc w:val="both"/>
        <w:rPr>
          <w:rFonts w:cstheme="minorHAnsi"/>
          <w:b/>
          <w:color w:val="000000" w:themeColor="text1"/>
          <w:sz w:val="22"/>
          <w:szCs w:val="22"/>
        </w:rPr>
      </w:pPr>
      <w:r w:rsidRPr="00973A13">
        <w:rPr>
          <w:rFonts w:cstheme="minorHAnsi"/>
          <w:b/>
          <w:color w:val="000000" w:themeColor="text1"/>
          <w:sz w:val="22"/>
          <w:szCs w:val="22"/>
        </w:rPr>
        <w:t>Gene set enrichment analysis (GSEA)</w:t>
      </w:r>
    </w:p>
    <w:p w14:paraId="285D4E16" w14:textId="77777777" w:rsidR="004D41BE" w:rsidRPr="00973A13" w:rsidRDefault="004D41BE" w:rsidP="004D41BE">
      <w:pPr>
        <w:spacing w:line="480" w:lineRule="auto"/>
        <w:contextualSpacing/>
        <w:jc w:val="both"/>
        <w:rPr>
          <w:rFonts w:cstheme="minorHAnsi"/>
          <w:color w:val="000000" w:themeColor="text1"/>
          <w:sz w:val="22"/>
          <w:szCs w:val="22"/>
        </w:rPr>
      </w:pPr>
      <w:r w:rsidRPr="00973A13">
        <w:rPr>
          <w:rFonts w:cstheme="minorHAnsi"/>
          <w:color w:val="000000" w:themeColor="text1"/>
          <w:sz w:val="22"/>
          <w:szCs w:val="22"/>
        </w:rPr>
        <w:t xml:space="preserve">GSEA was performed </w:t>
      </w:r>
      <w:r>
        <w:rPr>
          <w:rFonts w:cstheme="minorHAnsi"/>
          <w:color w:val="000000" w:themeColor="text1"/>
          <w:sz w:val="22"/>
          <w:szCs w:val="22"/>
        </w:rPr>
        <w:t>as</w:t>
      </w:r>
      <w:r w:rsidRPr="00973A13">
        <w:rPr>
          <w:rFonts w:cstheme="minorHAnsi"/>
          <w:color w:val="000000" w:themeColor="text1"/>
          <w:sz w:val="22"/>
          <w:szCs w:val="22"/>
        </w:rPr>
        <w:t xml:space="preserve"> described previous</w:t>
      </w:r>
      <w:r>
        <w:rPr>
          <w:rFonts w:cstheme="minorHAnsi"/>
          <w:color w:val="000000" w:themeColor="text1"/>
          <w:sz w:val="22"/>
          <w:szCs w:val="22"/>
        </w:rPr>
        <w:t xml:space="preserve">ly </w:t>
      </w:r>
      <w:bookmarkStart w:id="0" w:name="_Hlk90056535"/>
      <w:r w:rsidRPr="00973A13">
        <w:rPr>
          <w:rFonts w:cstheme="minorHAnsi"/>
          <w:color w:val="000000" w:themeColor="text1"/>
          <w:sz w:val="22"/>
          <w:szCs w:val="22"/>
        </w:rPr>
        <w:fldChar w:fldCharType="begin" w:fldLock="1"/>
      </w:r>
      <w:r>
        <w:rPr>
          <w:rFonts w:cstheme="minorHAnsi"/>
          <w:color w:val="000000" w:themeColor="text1"/>
          <w:sz w:val="22"/>
          <w:szCs w:val="22"/>
        </w:rPr>
        <w:instrText>ADDIN CSL_CITATION {"citationItems":[{"id":"ITEM-1","itemData":{"DOI":"10.1038/s41467-019-13315-x","ISSN":"20411723","PMID":"31780656","abstract":"Resistance to anaplastic lymphoma kinase (ALK)-targeted therapy in ALK-positive non-small cell lung cancer has been reported, with the majority of acquired resistance mechanisms relying on bypass signaling. To proactively identify resistance mechanisms in ALK-positive neuroblastoma (NB), we herein employ genome-wide CRISPR activation screens of NB cell lines treated with brigatinib or ceritinib, identifying PIM1 as a putative resistance gene, whose high expression is associated with high-risk disease and poor survival. Knockdown of PIM1 sensitizes cells of differing MYCN status to ALK inhibitors, and in patient-derived xenografts of high-risk NB harboring ALK mutations, the combination of the ALK inhibitor ceritinib and PIM1 inhibitor AZD1208 shows significantly enhanced anti-tumor efficacy relative to single agents. These data confirm that PIM1 overexpression decreases sensitivity to ALK inhibitors in NB, and suggests that combined front-line inhibition of ALK and PIM1 is a viable strategy for the treatment of ALK-positive NB independent of MYCN status.","author":[{"dropping-particle":"","family":"Trigg","given":"Ricky M.","non-dropping-particle":"","parse-names":false,"suffix":""},{"dropping-particle":"","family":"Lee","given":"Liam C.","non-dropping-particle":"","parse-names":false,"suffix":""},{"dropping-particle":"","family":"Prokoph","given":"Nina","non-dropping-particle":"","parse-names":false,"suffix":""},{"dropping-particle":"","family":"Jahangiri","given":"Leila","non-dropping-particle":"","parse-names":false,"suffix":""},{"dropping-particle":"","family":"Reynolds","given":"C. Patrick","non-dropping-particle":"","parse-names":false,"suffix":""},{"dropping-particle":"","family":"Amos Burke","given":"G. A.","non-dropping-particle":"","parse-names":false,"suffix":""},{"dropping-particle":"","family":"Probst","given":"Nicola A.","non-dropping-particle":"","parse-names":false,"suffix":""},{"dropping-particle":"","family":"Han","given":"Miaojun","non-dropping-particle":"","parse-names":false,"suffix":""},{"dropping-particle":"","family":"Matthews","given":"Jamie D.","non-dropping-particle":"","parse-names":false,"suffix":""},{"dropping-particle":"","family":"Kai Lim","given":"Hong","non-dropping-particle":"","parse-names":false,"suffix":""},{"dropping-particle":"","family":"Manners","given":"Eleanor","non-dropping-particle":"","parse-names":false,"suffix":""},{"dropping-particle":"","family":"Martinez","given":"Sonia","non-dropping-particle":"","parse-names":false,"suffix":""},{"dropping-particle":"","family":"Pastor","given":"Joaquin","non-dropping-particle":"","parse-names":false,"suffix":""},{"dropping-particle":"","family":"Blanco-Aparicio","given":"Carmen","non-dropping-particle":"","parse-names":false,"suffix":""},{"dropping-particle":"","family":"Merkel","given":"Olaf","non-dropping-particle":"","parse-names":false,"suffix":""},{"dropping-particle":"","family":"los Fayos Alonso","given":"Ines Garces","non-dropping-particle":"de","parse-names":false,"suffix":""},{"dropping-particle":"","family":"Kodajova","given":"Petra","non-dropping-particle":"","parse-names":false,"suffix":""},{"dropping-particle":"","family":"Tangermann","given":"Simone","non-dropping-particle":"","parse-names":false,"suffix":""},{"dropping-particle":"","family":"Högler","given":"Sandra","non-dropping-particle":"","parse-names":false,"suffix":""},{"dropping-particle":"","family":"Luo","given":"Ji","non-dropping-particle":"","parse-names":false,"suffix":""},{"dropping-particle":"","family":"Kenner","given":"Lukas","non-dropping-particle":"","parse-names":false,"suffix":""},{"dropping-particle":"","family":"Turner","given":"Suzanne D.","non-dropping-particle":"","parse-names":false,"suffix":""}],"container-title":"Nature Communications","id":"ITEM-1","issue":"1","issued":{"date-parts":[["2019"]]},"publisher":"Springer US","title":"The targetable kinase PIM1 drives ALK inhibitor resistance in high-risk neuroblastoma independent of MYCN status","type":"article-journal","volume":"10"},"uris":["http://www.mendeley.com/documents/?uuid=c4fd45ec-3957-4aeb-885f-71a83f77b6c2"]}],"mendeley":{"formattedCitation":"&lt;sup&gt;5&lt;/sup&gt;","plainTextFormattedCitation":"5","previouslyFormattedCitation":"(4)"},"properties":{"noteIndex":0},"schema":"https://github.com/citation-style-language/schema/raw/master/csl-citation.json"}</w:instrText>
      </w:r>
      <w:r w:rsidRPr="00973A13">
        <w:rPr>
          <w:rFonts w:cstheme="minorHAnsi"/>
          <w:color w:val="000000" w:themeColor="text1"/>
          <w:sz w:val="22"/>
          <w:szCs w:val="22"/>
        </w:rPr>
        <w:fldChar w:fldCharType="separate"/>
      </w:r>
      <w:r w:rsidRPr="006733FD">
        <w:rPr>
          <w:rFonts w:cstheme="minorHAnsi"/>
          <w:noProof/>
          <w:color w:val="000000" w:themeColor="text1"/>
          <w:sz w:val="22"/>
          <w:szCs w:val="22"/>
          <w:vertAlign w:val="superscript"/>
        </w:rPr>
        <w:t>5</w:t>
      </w:r>
      <w:r w:rsidRPr="00973A13">
        <w:rPr>
          <w:rFonts w:cstheme="minorHAnsi"/>
          <w:color w:val="000000" w:themeColor="text1"/>
          <w:sz w:val="22"/>
          <w:szCs w:val="22"/>
        </w:rPr>
        <w:fldChar w:fldCharType="end"/>
      </w:r>
      <w:r w:rsidRPr="00973A13">
        <w:rPr>
          <w:rFonts w:cstheme="minorHAnsi"/>
          <w:color w:val="000000" w:themeColor="text1"/>
          <w:sz w:val="22"/>
          <w:szCs w:val="22"/>
        </w:rPr>
        <w:t>.</w:t>
      </w:r>
      <w:bookmarkEnd w:id="0"/>
    </w:p>
    <w:p w14:paraId="1E897743" w14:textId="77777777" w:rsidR="004D41BE" w:rsidRPr="00973A13" w:rsidRDefault="004D41BE" w:rsidP="004D41BE">
      <w:pPr>
        <w:spacing w:line="480" w:lineRule="auto"/>
        <w:contextualSpacing/>
        <w:jc w:val="both"/>
        <w:rPr>
          <w:rFonts w:cstheme="minorHAnsi"/>
          <w:bCs/>
          <w:color w:val="000000" w:themeColor="text1"/>
          <w:sz w:val="22"/>
          <w:szCs w:val="22"/>
        </w:rPr>
      </w:pPr>
    </w:p>
    <w:p w14:paraId="1AB113F1" w14:textId="77777777" w:rsidR="004D41BE" w:rsidRPr="00973A13" w:rsidRDefault="004D41BE" w:rsidP="004D41BE">
      <w:pPr>
        <w:spacing w:line="480" w:lineRule="auto"/>
        <w:contextualSpacing/>
        <w:jc w:val="both"/>
        <w:rPr>
          <w:rFonts w:cstheme="minorHAnsi"/>
          <w:color w:val="000000" w:themeColor="text1"/>
          <w:sz w:val="22"/>
          <w:szCs w:val="22"/>
        </w:rPr>
      </w:pPr>
      <w:r w:rsidRPr="00973A13">
        <w:rPr>
          <w:rFonts w:cstheme="minorHAnsi"/>
          <w:b/>
          <w:bCs/>
          <w:color w:val="000000" w:themeColor="text1"/>
          <w:sz w:val="22"/>
          <w:szCs w:val="22"/>
        </w:rPr>
        <w:lastRenderedPageBreak/>
        <w:t>Synergy experiments</w:t>
      </w:r>
      <w:r w:rsidRPr="00973A13">
        <w:rPr>
          <w:rFonts w:cstheme="minorHAnsi"/>
          <w:color w:val="000000" w:themeColor="text1"/>
          <w:sz w:val="22"/>
          <w:szCs w:val="22"/>
        </w:rPr>
        <w:t xml:space="preserve"> </w:t>
      </w:r>
    </w:p>
    <w:p w14:paraId="1656CCC9" w14:textId="77777777" w:rsidR="004D41BE" w:rsidRPr="00973A13" w:rsidRDefault="004D41BE" w:rsidP="004D41BE">
      <w:pPr>
        <w:spacing w:line="480" w:lineRule="auto"/>
        <w:contextualSpacing/>
        <w:jc w:val="both"/>
        <w:rPr>
          <w:rFonts w:cstheme="minorHAnsi"/>
          <w:color w:val="000000" w:themeColor="text1"/>
          <w:sz w:val="22"/>
          <w:szCs w:val="22"/>
        </w:rPr>
      </w:pPr>
      <w:r w:rsidRPr="00973A13">
        <w:rPr>
          <w:rFonts w:cstheme="minorHAnsi"/>
          <w:color w:val="000000" w:themeColor="text1"/>
          <w:sz w:val="22"/>
          <w:szCs w:val="22"/>
        </w:rPr>
        <w:t xml:space="preserve">For dose–response matrices, cells were treated with log-scale concentrations of ALK </w:t>
      </w:r>
      <w:r>
        <w:rPr>
          <w:rFonts w:cstheme="minorHAnsi"/>
          <w:color w:val="000000" w:themeColor="text1"/>
          <w:sz w:val="22"/>
          <w:szCs w:val="22"/>
        </w:rPr>
        <w:t>TKIs</w:t>
      </w:r>
      <w:r w:rsidRPr="00973A13">
        <w:rPr>
          <w:rFonts w:cstheme="minorHAnsi"/>
          <w:color w:val="000000" w:themeColor="text1"/>
          <w:sz w:val="22"/>
          <w:szCs w:val="22"/>
        </w:rPr>
        <w:t xml:space="preserve"> as described above in addition to log-scale concentrations of lonafarnib, as indicated in 7x7 grids</w:t>
      </w:r>
      <w:r w:rsidRPr="00973A13">
        <w:rPr>
          <w:rFonts w:cstheme="minorHAnsi"/>
          <w:sz w:val="22"/>
          <w:szCs w:val="22"/>
        </w:rPr>
        <w:t xml:space="preserve"> and </w:t>
      </w:r>
      <w:r>
        <w:rPr>
          <w:rFonts w:cstheme="minorHAnsi"/>
          <w:sz w:val="22"/>
          <w:szCs w:val="22"/>
        </w:rPr>
        <w:t xml:space="preserve">the </w:t>
      </w:r>
      <w:r w:rsidRPr="00973A13">
        <w:rPr>
          <w:rFonts w:cstheme="minorHAnsi"/>
          <w:color w:val="000000" w:themeColor="text1"/>
          <w:sz w:val="22"/>
          <w:szCs w:val="22"/>
        </w:rPr>
        <w:t xml:space="preserve">DMSO concentration was maintained at 0.02%. Potential synergy between ALK </w:t>
      </w:r>
      <w:r>
        <w:rPr>
          <w:rFonts w:cstheme="minorHAnsi"/>
          <w:color w:val="000000" w:themeColor="text1"/>
          <w:sz w:val="22"/>
          <w:szCs w:val="22"/>
        </w:rPr>
        <w:t xml:space="preserve">TKIs </w:t>
      </w:r>
      <w:r w:rsidRPr="00973A13">
        <w:rPr>
          <w:rFonts w:cstheme="minorHAnsi"/>
          <w:color w:val="000000" w:themeColor="text1"/>
          <w:sz w:val="22"/>
          <w:szCs w:val="22"/>
        </w:rPr>
        <w:t xml:space="preserve">and lonafarnib was evaluated by calculating the synergy score based on the Loewe model </w:t>
      </w:r>
      <w:r w:rsidRPr="00973A13">
        <w:rPr>
          <w:rFonts w:cstheme="minorHAnsi"/>
          <w:color w:val="000000" w:themeColor="text1"/>
          <w:sz w:val="22"/>
          <w:szCs w:val="22"/>
        </w:rPr>
        <w:fldChar w:fldCharType="begin" w:fldLock="1"/>
      </w:r>
      <w:r>
        <w:rPr>
          <w:rFonts w:cstheme="minorHAnsi"/>
          <w:color w:val="000000" w:themeColor="text1"/>
          <w:sz w:val="22"/>
          <w:szCs w:val="22"/>
        </w:rPr>
        <w:instrText>ADDIN CSL_CITATION {"citationItems":[{"id":"ITEM-1","itemData":{"author":[{"dropping-particle":"","family":"LOEWE","given":"S","non-dropping-particle":"","parse-names":false,"suffix":""}],"container-title":"Arzneimittelforschung","id":"ITEM-1","issue":"6","issued":{"date-parts":[["1953"]]},"page":"285-290","title":"The problem of synergism and antagonism of combined drugs","type":"article-journal","volume":"3"},"uris":["http://www.mendeley.com/documents/?uuid=67c48ed1-f716-4de5-abd4-258003a208f3"]}],"mendeley":{"formattedCitation":"&lt;sup&gt;86&lt;/sup&gt;","plainTextFormattedCitation":"86","previouslyFormattedCitation":"(25)"},"properties":{"noteIndex":0},"schema":"https://github.com/citation-style-language/schema/raw/master/csl-citation.json"}</w:instrText>
      </w:r>
      <w:r w:rsidRPr="00973A13">
        <w:rPr>
          <w:rFonts w:cstheme="minorHAnsi"/>
          <w:color w:val="000000" w:themeColor="text1"/>
          <w:sz w:val="22"/>
          <w:szCs w:val="22"/>
        </w:rPr>
        <w:fldChar w:fldCharType="separate"/>
      </w:r>
      <w:r w:rsidRPr="006733FD">
        <w:rPr>
          <w:rFonts w:cstheme="minorHAnsi"/>
          <w:noProof/>
          <w:color w:val="000000" w:themeColor="text1"/>
          <w:sz w:val="22"/>
          <w:szCs w:val="22"/>
          <w:vertAlign w:val="superscript"/>
        </w:rPr>
        <w:t>86</w:t>
      </w:r>
      <w:r w:rsidRPr="00973A13">
        <w:rPr>
          <w:rFonts w:cstheme="minorHAnsi"/>
          <w:color w:val="000000" w:themeColor="text1"/>
          <w:sz w:val="22"/>
          <w:szCs w:val="22"/>
        </w:rPr>
        <w:fldChar w:fldCharType="end"/>
      </w:r>
      <w:r w:rsidRPr="00973A13">
        <w:rPr>
          <w:rFonts w:cstheme="minorHAnsi"/>
          <w:color w:val="000000" w:themeColor="text1"/>
          <w:sz w:val="22"/>
          <w:szCs w:val="22"/>
        </w:rPr>
        <w:t xml:space="preserve"> using synergy finder </w:t>
      </w:r>
      <w:r w:rsidRPr="00973A13">
        <w:rPr>
          <w:rFonts w:cstheme="minorHAnsi"/>
          <w:color w:val="000000" w:themeColor="text1"/>
          <w:sz w:val="22"/>
          <w:szCs w:val="22"/>
        </w:rPr>
        <w:fldChar w:fldCharType="begin" w:fldLock="1"/>
      </w:r>
      <w:r>
        <w:rPr>
          <w:rFonts w:cstheme="minorHAnsi"/>
          <w:color w:val="000000" w:themeColor="text1"/>
          <w:sz w:val="22"/>
          <w:szCs w:val="22"/>
        </w:rPr>
        <w:instrText>ADDIN CSL_CITATION {"citationItems":[{"id":"ITEM-1","itemData":{"id":"ITEM-1","issued":{"date-parts":[["0"]]},"title":"Synergy Finder","type":"article"},"uris":["http://www.mendeley.com/documents/?uuid=b3a1f6a3-5ba9-4827-bffe-bd11f67d3bf9"]}],"mendeley":{"formattedCitation":"&lt;sup&gt;84&lt;/sup&gt;","plainTextFormattedCitation":"84","previouslyFormattedCitation":"(26)"},"properties":{"noteIndex":0},"schema":"https://github.com/citation-style-language/schema/raw/master/csl-citation.json"}</w:instrText>
      </w:r>
      <w:r w:rsidRPr="00973A13">
        <w:rPr>
          <w:rFonts w:cstheme="minorHAnsi"/>
          <w:color w:val="000000" w:themeColor="text1"/>
          <w:sz w:val="22"/>
          <w:szCs w:val="22"/>
        </w:rPr>
        <w:fldChar w:fldCharType="separate"/>
      </w:r>
      <w:r w:rsidRPr="006733FD">
        <w:rPr>
          <w:rFonts w:cstheme="minorHAnsi"/>
          <w:noProof/>
          <w:color w:val="000000" w:themeColor="text1"/>
          <w:sz w:val="22"/>
          <w:szCs w:val="22"/>
          <w:vertAlign w:val="superscript"/>
        </w:rPr>
        <w:t>84</w:t>
      </w:r>
      <w:r w:rsidRPr="00973A13">
        <w:rPr>
          <w:rFonts w:cstheme="minorHAnsi"/>
          <w:color w:val="000000" w:themeColor="text1"/>
          <w:sz w:val="22"/>
          <w:szCs w:val="22"/>
        </w:rPr>
        <w:fldChar w:fldCharType="end"/>
      </w:r>
      <w:r w:rsidRPr="00973A13">
        <w:rPr>
          <w:rFonts w:cstheme="minorHAnsi"/>
          <w:color w:val="000000" w:themeColor="text1"/>
          <w:sz w:val="22"/>
          <w:szCs w:val="22"/>
        </w:rPr>
        <w:t xml:space="preserve">. The synergy score is calculated for each combination of drug concentrations and also as </w:t>
      </w:r>
      <w:r>
        <w:rPr>
          <w:rFonts w:cstheme="minorHAnsi"/>
          <w:color w:val="000000" w:themeColor="text1"/>
          <w:sz w:val="22"/>
          <w:szCs w:val="22"/>
        </w:rPr>
        <w:t xml:space="preserve">an </w:t>
      </w:r>
      <w:r w:rsidRPr="00973A13">
        <w:rPr>
          <w:rFonts w:cstheme="minorHAnsi"/>
          <w:color w:val="000000" w:themeColor="text1"/>
          <w:sz w:val="22"/>
          <w:szCs w:val="22"/>
        </w:rPr>
        <w:t>overall value, and is defined as:</w:t>
      </w:r>
    </w:p>
    <w:p w14:paraId="1AFAF265" w14:textId="77777777" w:rsidR="004D41BE" w:rsidRPr="00973A13" w:rsidRDefault="004D41BE" w:rsidP="004D41BE">
      <w:pPr>
        <w:pStyle w:val="ListParagraph"/>
        <w:numPr>
          <w:ilvl w:val="0"/>
          <w:numId w:val="1"/>
        </w:numPr>
        <w:spacing w:line="480" w:lineRule="auto"/>
        <w:jc w:val="both"/>
        <w:rPr>
          <w:rFonts w:cstheme="minorHAnsi"/>
          <w:color w:val="000000" w:themeColor="text1"/>
          <w:sz w:val="22"/>
          <w:szCs w:val="22"/>
        </w:rPr>
      </w:pPr>
      <w:r w:rsidRPr="00973A13">
        <w:rPr>
          <w:rFonts w:cstheme="minorHAnsi"/>
          <w:color w:val="000000" w:themeColor="text1"/>
          <w:sz w:val="22"/>
          <w:szCs w:val="22"/>
        </w:rPr>
        <w:t xml:space="preserve">&gt;10 </w:t>
      </w:r>
      <w:r>
        <w:rPr>
          <w:rFonts w:cstheme="minorHAnsi"/>
          <w:color w:val="000000" w:themeColor="text1"/>
          <w:sz w:val="22"/>
          <w:szCs w:val="22"/>
        </w:rPr>
        <w:t xml:space="preserve">= </w:t>
      </w:r>
      <w:r w:rsidRPr="00973A13">
        <w:rPr>
          <w:rFonts w:cstheme="minorHAnsi"/>
          <w:color w:val="000000" w:themeColor="text1"/>
          <w:sz w:val="22"/>
          <w:szCs w:val="22"/>
        </w:rPr>
        <w:t>synergistic</w:t>
      </w:r>
    </w:p>
    <w:p w14:paraId="2831C916" w14:textId="77777777" w:rsidR="004D41BE" w:rsidRPr="00973A13" w:rsidRDefault="004D41BE" w:rsidP="004D41BE">
      <w:pPr>
        <w:pStyle w:val="ListParagraph"/>
        <w:numPr>
          <w:ilvl w:val="0"/>
          <w:numId w:val="1"/>
        </w:numPr>
        <w:spacing w:line="480" w:lineRule="auto"/>
        <w:jc w:val="both"/>
        <w:rPr>
          <w:rFonts w:cstheme="minorHAnsi"/>
          <w:color w:val="000000" w:themeColor="text1"/>
          <w:sz w:val="22"/>
          <w:szCs w:val="22"/>
        </w:rPr>
      </w:pPr>
      <w:r w:rsidRPr="00973A13">
        <w:rPr>
          <w:rFonts w:cstheme="minorHAnsi"/>
          <w:color w:val="000000" w:themeColor="text1"/>
          <w:sz w:val="22"/>
          <w:szCs w:val="22"/>
        </w:rPr>
        <w:t xml:space="preserve">Between -10 and 10 </w:t>
      </w:r>
      <w:r>
        <w:rPr>
          <w:rFonts w:cstheme="minorHAnsi"/>
          <w:color w:val="000000" w:themeColor="text1"/>
          <w:sz w:val="22"/>
          <w:szCs w:val="22"/>
        </w:rPr>
        <w:t xml:space="preserve">= </w:t>
      </w:r>
      <w:r w:rsidRPr="00973A13">
        <w:rPr>
          <w:rFonts w:cstheme="minorHAnsi"/>
          <w:color w:val="000000" w:themeColor="text1"/>
          <w:sz w:val="22"/>
          <w:szCs w:val="22"/>
        </w:rPr>
        <w:t>additive</w:t>
      </w:r>
    </w:p>
    <w:p w14:paraId="18FC13E8" w14:textId="77777777" w:rsidR="004D41BE" w:rsidRPr="009773FD" w:rsidRDefault="004D41BE" w:rsidP="004D41BE">
      <w:pPr>
        <w:pStyle w:val="ListParagraph"/>
        <w:numPr>
          <w:ilvl w:val="0"/>
          <w:numId w:val="1"/>
        </w:numPr>
        <w:spacing w:line="480" w:lineRule="auto"/>
        <w:jc w:val="both"/>
        <w:rPr>
          <w:rFonts w:cstheme="minorHAnsi"/>
          <w:color w:val="000000" w:themeColor="text1"/>
          <w:sz w:val="22"/>
          <w:szCs w:val="22"/>
        </w:rPr>
      </w:pPr>
      <w:r w:rsidRPr="00973A13">
        <w:rPr>
          <w:rFonts w:cstheme="minorHAnsi"/>
          <w:color w:val="000000" w:themeColor="text1"/>
          <w:sz w:val="22"/>
          <w:szCs w:val="22"/>
        </w:rPr>
        <w:t xml:space="preserve">&lt;-10 </w:t>
      </w:r>
      <w:r>
        <w:rPr>
          <w:rFonts w:cstheme="minorHAnsi"/>
          <w:color w:val="000000" w:themeColor="text1"/>
          <w:sz w:val="22"/>
          <w:szCs w:val="22"/>
        </w:rPr>
        <w:t xml:space="preserve">= </w:t>
      </w:r>
      <w:r w:rsidRPr="00973A13">
        <w:rPr>
          <w:rFonts w:cstheme="minorHAnsi"/>
          <w:color w:val="000000" w:themeColor="text1"/>
          <w:sz w:val="22"/>
          <w:szCs w:val="22"/>
        </w:rPr>
        <w:t>antagonistic.</w:t>
      </w:r>
    </w:p>
    <w:p w14:paraId="199466A1" w14:textId="77777777" w:rsidR="004D41BE" w:rsidRPr="00DA4944" w:rsidRDefault="004D41BE" w:rsidP="004D41BE">
      <w:pPr>
        <w:spacing w:line="480" w:lineRule="auto"/>
        <w:rPr>
          <w:rFonts w:cstheme="minorHAnsi"/>
          <w:b/>
          <w:bCs/>
          <w:color w:val="000000" w:themeColor="text1"/>
          <w:sz w:val="22"/>
          <w:szCs w:val="22"/>
        </w:rPr>
      </w:pPr>
    </w:p>
    <w:p w14:paraId="6D31DC91" w14:textId="77777777" w:rsidR="004D41BE" w:rsidRPr="00235A61" w:rsidRDefault="004D41BE" w:rsidP="004D41BE">
      <w:pPr>
        <w:spacing w:line="480" w:lineRule="auto"/>
        <w:contextualSpacing/>
        <w:jc w:val="both"/>
        <w:rPr>
          <w:rFonts w:cstheme="minorHAnsi"/>
          <w:b/>
          <w:bCs/>
          <w:color w:val="000000" w:themeColor="text1"/>
          <w:sz w:val="22"/>
          <w:szCs w:val="22"/>
        </w:rPr>
      </w:pPr>
    </w:p>
    <w:p w14:paraId="54BA4628" w14:textId="77777777" w:rsidR="004D41BE" w:rsidRDefault="004D41BE">
      <w:bookmarkStart w:id="1" w:name="_GoBack"/>
      <w:bookmarkEnd w:id="1"/>
    </w:p>
    <w:sectPr w:rsidR="004D41BE" w:rsidSect="003F454A">
      <w:footerReference w:type="default" r:id="rId16"/>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85068909"/>
      <w:docPartObj>
        <w:docPartGallery w:val="Page Numbers (Bottom of Page)"/>
        <w:docPartUnique/>
      </w:docPartObj>
    </w:sdtPr>
    <w:sdtEndPr>
      <w:rPr>
        <w:noProof/>
      </w:rPr>
    </w:sdtEndPr>
    <w:sdtContent>
      <w:p w14:paraId="390B46AC" w14:textId="77777777" w:rsidR="004E57F6" w:rsidRDefault="004D41B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0A309AF" w14:textId="77777777" w:rsidR="004E57F6" w:rsidRDefault="004D41BE">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FA431AD"/>
    <w:multiLevelType w:val="hybridMultilevel"/>
    <w:tmpl w:val="DF7E6A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1BE"/>
    <w:rsid w:val="004D41BE"/>
    <w:rsid w:val="00E659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0BD87E"/>
  <w15:chartTrackingRefBased/>
  <w15:docId w15:val="{F27C92B8-32A7-5B4D-8502-E91736AFB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D41BE"/>
    <w:rPr>
      <w:rFonts w:eastAsiaTheme="minorHAnsi"/>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D41BE"/>
    <w:pPr>
      <w:tabs>
        <w:tab w:val="center" w:pos="4513"/>
        <w:tab w:val="right" w:pos="9026"/>
      </w:tabs>
    </w:pPr>
  </w:style>
  <w:style w:type="character" w:customStyle="1" w:styleId="FooterChar">
    <w:name w:val="Footer Char"/>
    <w:basedOn w:val="DefaultParagraphFont"/>
    <w:link w:val="Footer"/>
    <w:uiPriority w:val="99"/>
    <w:rsid w:val="004D41BE"/>
    <w:rPr>
      <w:rFonts w:eastAsiaTheme="minorHAnsi"/>
      <w:lang w:val="en-GB" w:eastAsia="en-US"/>
    </w:rPr>
  </w:style>
  <w:style w:type="paragraph" w:styleId="ListParagraph">
    <w:name w:val="List Paragraph"/>
    <w:basedOn w:val="Normal"/>
    <w:uiPriority w:val="34"/>
    <w:qFormat/>
    <w:rsid w:val="004D41BE"/>
    <w:pPr>
      <w:ind w:left="720"/>
      <w:contextualSpacing/>
    </w:pPr>
  </w:style>
  <w:style w:type="table" w:styleId="TableGrid">
    <w:name w:val="Table Grid"/>
    <w:basedOn w:val="TableNormal"/>
    <w:uiPriority w:val="39"/>
    <w:rsid w:val="004D41BE"/>
    <w:rPr>
      <w:rFonts w:eastAsia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6032</Words>
  <Characters>34868</Characters>
  <Application>Microsoft Office Word</Application>
  <DocSecurity>0</DocSecurity>
  <Lines>850</Lines>
  <Paragraphs>486</Paragraphs>
  <ScaleCrop>false</ScaleCrop>
  <Company/>
  <LinksUpToDate>false</LinksUpToDate>
  <CharactersWithSpaces>40414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Yeh</dc:creator>
  <cp:keywords/>
  <dc:description/>
  <cp:lastModifiedBy>Jennifer Yeh</cp:lastModifiedBy>
  <cp:revision>1</cp:revision>
  <dcterms:created xsi:type="dcterms:W3CDTF">2022-11-07T19:13:00Z</dcterms:created>
  <dcterms:modified xsi:type="dcterms:W3CDTF">2022-11-07T19:13:00Z</dcterms:modified>
</cp:coreProperties>
</file>