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88" w:lineRule="auto"/>
        <w:jc w:val="center"/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 Table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Comparison of sedation success rate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(n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=58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)</w:t>
      </w:r>
    </w:p>
    <w:tbl>
      <w:tblPr>
        <w:tblStyle w:val="5"/>
        <w:tblW w:w="0" w:type="auto"/>
        <w:tblInd w:w="11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1362"/>
        <w:gridCol w:w="1363"/>
        <w:gridCol w:w="697"/>
        <w:gridCol w:w="6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tcBorders>
              <w:bottom w:val="single" w:color="auto" w:sz="4" w:space="0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bottom w:val="single" w:color="auto" w:sz="4" w:space="0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Remimazolam</w:t>
            </w:r>
          </w:p>
        </w:tc>
        <w:tc>
          <w:tcPr>
            <w:tcW w:w="1363" w:type="dxa"/>
            <w:tcBorders>
              <w:bottom w:val="single" w:color="auto" w:sz="4" w:space="0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Propofol</w:t>
            </w:r>
          </w:p>
        </w:tc>
        <w:tc>
          <w:tcPr>
            <w:tcW w:w="697" w:type="dxa"/>
            <w:tcBorders>
              <w:bottom w:val="single" w:color="auto" w:sz="4" w:space="0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bottom w:val="single" w:color="auto" w:sz="4" w:space="0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Sedation successful</w:t>
            </w:r>
          </w:p>
        </w:tc>
        <w:tc>
          <w:tcPr>
            <w:tcW w:w="136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57(98.3%)</w:t>
            </w:r>
          </w:p>
        </w:tc>
        <w:tc>
          <w:tcPr>
            <w:tcW w:w="136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58(100.0%)</w:t>
            </w:r>
          </w:p>
        </w:tc>
        <w:tc>
          <w:tcPr>
            <w:tcW w:w="697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4.034</w:t>
            </w:r>
          </w:p>
        </w:tc>
        <w:tc>
          <w:tcPr>
            <w:tcW w:w="697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0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MOAA/S≤3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points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uring colonoscopy</w:t>
            </w:r>
          </w:p>
        </w:tc>
        <w:tc>
          <w:tcPr>
            <w:tcW w:w="1362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57(98.3%)</w:t>
            </w:r>
          </w:p>
        </w:tc>
        <w:tc>
          <w:tcPr>
            <w:tcW w:w="1363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58(100.0%)</w:t>
            </w: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4.034</w:t>
            </w: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0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Successful completion of the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colonoscopy</w:t>
            </w:r>
          </w:p>
        </w:tc>
        <w:tc>
          <w:tcPr>
            <w:tcW w:w="1362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58(100%)</w:t>
            </w:r>
          </w:p>
        </w:tc>
        <w:tc>
          <w:tcPr>
            <w:tcW w:w="1363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58(100.0%)</w:t>
            </w: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0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Sedation without remedy</w:t>
            </w:r>
          </w:p>
        </w:tc>
        <w:tc>
          <w:tcPr>
            <w:tcW w:w="1362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58(100%)</w:t>
            </w:r>
          </w:p>
        </w:tc>
        <w:tc>
          <w:tcPr>
            <w:tcW w:w="1363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58(100.0%)</w:t>
            </w: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rPr>
                <w:rFonts w:hint="eastAsia"/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spacing w:line="288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>
      <w:pPr>
        <w:pStyle w:val="3"/>
        <w:widowControl/>
        <w:spacing w:beforeAutospacing="0" w:afterAutospacing="0" w:line="288" w:lineRule="auto"/>
        <w:ind w:left="3240" w:hanging="3240" w:hangingChars="1800"/>
        <w:jc w:val="both"/>
        <w:rPr>
          <w:rFonts w:ascii="Times New Roman" w:hAnsi="Times New Roman"/>
          <w:color w:val="000000" w:themeColor="text1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/>
          <w:sz w:val="18"/>
          <w:szCs w:val="18"/>
          <w:shd w:val="clear" w:color="auto" w:fill="FFFFFF" w:themeFill="background1"/>
        </w:rPr>
        <w:t xml:space="preserve">Supplemenatry </w:t>
      </w:r>
      <w:r>
        <w:rPr>
          <w:rFonts w:ascii="Times New Roman" w:hAnsi="Times New Roman"/>
          <w:sz w:val="18"/>
          <w:szCs w:val="18"/>
          <w:shd w:val="clear" w:color="auto" w:fill="FFFFFF" w:themeFill="background1"/>
        </w:rPr>
        <w:t>Table</w:t>
      </w:r>
      <w:bookmarkEnd w:id="0"/>
      <w:r>
        <w:rPr>
          <w:rFonts w:ascii="Times New Roman" w:hAnsi="Times New Roman"/>
          <w:sz w:val="18"/>
          <w:szCs w:val="18"/>
          <w:shd w:val="clear" w:color="auto" w:fill="FFFFFF" w:themeFill="background1"/>
        </w:rPr>
        <w:t xml:space="preserve"> </w:t>
      </w:r>
      <w:r>
        <w:rPr>
          <w:rFonts w:hint="eastAsia" w:ascii="Times New Roman" w:hAnsi="Times New Roman"/>
          <w:sz w:val="18"/>
          <w:szCs w:val="18"/>
          <w:shd w:val="clear" w:color="auto" w:fill="FFFFFF" w:themeFill="background1"/>
        </w:rPr>
        <w:t>2.</w:t>
      </w:r>
      <w:r>
        <w:rPr>
          <w:rFonts w:hint="eastAsia" w:ascii="Times New Roman" w:hAnsi="Times New Roman"/>
          <w:color w:val="FF0000"/>
          <w:sz w:val="18"/>
          <w:szCs w:val="1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FF0000"/>
          <w:sz w:val="18"/>
          <w:szCs w:val="1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000000" w:themeColor="text1"/>
          <w:spacing w:val="10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ascii="Times New Roman" w:hAnsi="Times New Roman"/>
          <w:color w:val="000000" w:themeColor="text1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>MOAA/S、Narcotrend score</w:t>
      </w:r>
      <w:r>
        <w:rPr>
          <w:rFonts w:hint="eastAsia" w:ascii="Times New Roman" w:hAnsi="Times New Roman"/>
          <w:color w:val="000000" w:themeColor="text1"/>
          <w:sz w:val="18"/>
          <w:szCs w:val="18"/>
          <w:shd w:val="clear" w:color="auto" w:fill="FFFFFF" w:themeFill="background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pacing w:val="10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>at each time point</w:t>
      </w:r>
      <w:r>
        <w:rPr>
          <w:rFonts w:hint="eastAsia" w:ascii="Times New Roman" w:hAnsi="Times New Roman"/>
          <w:color w:val="000000" w:themeColor="text1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/>
          <w:color w:val="000000" w:themeColor="text1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>n=58，</w:t>
      </w:r>
      <w:r>
        <w:rPr>
          <w:rFonts w:ascii="Times New Roman" w:hAnsi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mean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 w:themeFill="background1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Times New Roman" w:hAnsi="Times New Roman"/>
          <w:color w:val="000000" w:themeColor="text1"/>
          <w:sz w:val="16"/>
          <w:szCs w:val="16"/>
          <w:shd w:val="clear" w:color="auto" w:fill="FFFFFF" w:themeFill="background1"/>
          <w14:textFill>
            <w14:solidFill>
              <w14:schemeClr w14:val="tx1"/>
            </w14:solidFill>
          </w14:textFill>
        </w:rPr>
        <w:t>SD</w:t>
      </w:r>
      <w:r>
        <w:rPr>
          <w:rFonts w:hint="eastAsia" w:ascii="Times New Roman" w:hAnsi="Times New Roman"/>
          <w:color w:val="000000" w:themeColor="text1"/>
          <w:sz w:val="18"/>
          <w:szCs w:val="18"/>
          <w:shd w:val="clear" w:color="auto" w:fill="FFFFFF" w:themeFill="background1"/>
          <w14:textFill>
            <w14:solidFill>
              <w14:schemeClr w14:val="tx1"/>
            </w14:solidFill>
          </w14:textFill>
        </w:rPr>
        <w:t>)</w:t>
      </w:r>
    </w:p>
    <w:tbl>
      <w:tblPr>
        <w:tblStyle w:val="5"/>
        <w:tblW w:w="8340" w:type="dxa"/>
        <w:tblInd w:w="9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18"/>
        <w:gridCol w:w="961"/>
        <w:gridCol w:w="961"/>
        <w:gridCol w:w="961"/>
        <w:gridCol w:w="961"/>
        <w:gridCol w:w="961"/>
        <w:gridCol w:w="96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7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MOAA/S</w:t>
            </w:r>
          </w:p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Rem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5.0±0.0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2.1±0.7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1.0±0.3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1.0±0.0</w:t>
            </w:r>
          </w:p>
        </w:tc>
        <w:tc>
          <w:tcPr>
            <w:tcW w:w="96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3.5±0.7*</w:t>
            </w:r>
          </w:p>
        </w:tc>
        <w:tc>
          <w:tcPr>
            <w:tcW w:w="96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4.9±0.4*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Pro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4.9±0.1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1.9±0.7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1.0±0.0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1.0±0.1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2.6±1.3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4.6±0.9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=23.003，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=0.000；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t×g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=11.210，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t×g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=0.000；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=1112.95，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=0.000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Narcotrend  score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Rem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97.6±1.6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81.6±3.7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70.3±4.9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72.5±4.5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86.1±5.5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95.5±2.9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Pro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98.0±1.8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81.2±4.8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71.5±4.5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73.5±5.6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85.2±5.4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95.8±4.6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85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88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=0.310，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=0.579；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t×g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=1.016，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t×g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=0.396；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=836.345，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:vertAlign w:val="subscript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 w:themeFill="background1"/>
                <w14:textFill>
                  <w14:solidFill>
                    <w14:schemeClr w14:val="tx1"/>
                  </w14:solidFill>
                </w14:textFill>
              </w:rPr>
              <w:t>=0.000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MWNjZWVlYmNiZmU0YWQ1MDk1MTAyOWE0ODVmMTQifQ=="/>
  </w:docVars>
  <w:rsids>
    <w:rsidRoot w:val="75900F63"/>
    <w:rsid w:val="4ABD468E"/>
    <w:rsid w:val="7590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5"/>
    <w:basedOn w:val="1"/>
    <w:uiPriority w:val="0"/>
    <w:pPr>
      <w:spacing w:line="440" w:lineRule="atLeas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2022-10-22T14:49:00Z</dcterms:created>
  <dc:creator>Alive</dc:creator>
  <cp:lastModifiedBy>Alive</cp:lastModifiedBy>
  <dcterms:modified xsi:type="dcterms:W3CDTF">2022-10-22T14:51:27Z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EECB069429C1488E92C5EEA03827BC55</vt:lpwstr>
  </property>
</Properties>
</file>