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F5E" w:rsidRDefault="00A47F5E" w:rsidP="00A47F5E">
      <w:pPr>
        <w:pStyle w:val="Heading1"/>
        <w:spacing w:before="151" w:line="360" w:lineRule="auto"/>
      </w:pPr>
      <w:r>
        <w:t>Figure Legends</w:t>
      </w:r>
    </w:p>
    <w:p w:rsidR="00A47F5E" w:rsidRDefault="00A47F5E" w:rsidP="00A47F5E">
      <w:pPr>
        <w:pStyle w:val="Heading1"/>
        <w:spacing w:before="151" w:line="360" w:lineRule="auto"/>
      </w:pPr>
    </w:p>
    <w:p w:rsidR="00A47F5E" w:rsidRDefault="00A47F5E" w:rsidP="00A47F5E">
      <w:pPr>
        <w:pStyle w:val="BodyText"/>
        <w:spacing w:before="169" w:line="360" w:lineRule="auto"/>
        <w:ind w:left="109" w:right="172"/>
      </w:pPr>
      <w:r>
        <w:rPr>
          <w:b/>
        </w:rPr>
        <w:t xml:space="preserve">Figure 1. </w:t>
      </w:r>
      <w:r>
        <w:rPr>
          <w:rFonts w:ascii="TimesNewRomanPS-BoldItalicMT"/>
          <w:b/>
          <w:i/>
        </w:rPr>
        <w:t xml:space="preserve">In vivo </w:t>
      </w:r>
      <w:r>
        <w:rPr>
          <w:b/>
        </w:rPr>
        <w:t xml:space="preserve">pharmacokinetics of </w:t>
      </w:r>
      <w:proofErr w:type="spellStart"/>
      <w:r>
        <w:rPr>
          <w:b/>
        </w:rPr>
        <w:t>fDAO</w:t>
      </w:r>
      <w:proofErr w:type="spellEnd"/>
      <w:r>
        <w:rPr>
          <w:b/>
        </w:rPr>
        <w:t xml:space="preserve"> and PEG-</w:t>
      </w:r>
      <w:proofErr w:type="spellStart"/>
      <w:r>
        <w:rPr>
          <w:b/>
        </w:rPr>
        <w:t>fDAO</w:t>
      </w:r>
      <w:proofErr w:type="spellEnd"/>
      <w:r>
        <w:rPr>
          <w:b/>
        </w:rPr>
        <w:t xml:space="preserve"> by enzymatic activities using the plasma. </w:t>
      </w:r>
      <w:r>
        <w:t xml:space="preserve">The y-axis shows the log of the absorbance at 445 nm, which denotes the production of pyruvic acid from D-alanine by D-amino acid oxidase. In this figure, two typical sets of exponential curve fitting analysis along with the mathematical formula are shown for </w:t>
      </w:r>
      <w:proofErr w:type="spellStart"/>
      <w:r>
        <w:t>fDAO</w:t>
      </w:r>
      <w:proofErr w:type="spellEnd"/>
      <w:r>
        <w:t xml:space="preserve"> (Figure 1A) and PEG-</w:t>
      </w:r>
      <w:proofErr w:type="spellStart"/>
      <w:r>
        <w:t>fDAO</w:t>
      </w:r>
      <w:proofErr w:type="spellEnd"/>
      <w:r>
        <w:t xml:space="preserve"> (Figure </w:t>
      </w:r>
      <w:r>
        <w:rPr>
          <w:position w:val="1"/>
        </w:rPr>
        <w:t xml:space="preserve">1B) (Microsoft </w:t>
      </w:r>
      <w:proofErr w:type="spellStart"/>
      <w:r>
        <w:rPr>
          <w:position w:val="1"/>
        </w:rPr>
        <w:t>Excel</w:t>
      </w:r>
      <w:r>
        <w:rPr>
          <w:position w:val="1"/>
          <w:vertAlign w:val="superscript"/>
        </w:rPr>
        <w:t>R</w:t>
      </w:r>
      <w:proofErr w:type="spellEnd"/>
      <w:r>
        <w:rPr>
          <w:position w:val="1"/>
        </w:rPr>
        <w:t>). The mathematical calculation for biological half-life (x = t</w:t>
      </w:r>
      <w:r>
        <w:rPr>
          <w:sz w:val="13"/>
        </w:rPr>
        <w:t>1/2</w:t>
      </w:r>
      <w:r>
        <w:rPr>
          <w:position w:val="1"/>
        </w:rPr>
        <w:t xml:space="preserve">) is also shown in </w:t>
      </w:r>
      <w:r>
        <w:rPr>
          <w:sz w:val="24"/>
          <w:szCs w:val="24"/>
        </w:rPr>
        <w:t>the figure. R</w:t>
      </w:r>
      <w:r>
        <w:rPr>
          <w:sz w:val="24"/>
          <w:szCs w:val="24"/>
          <w:vertAlign w:val="superscript"/>
        </w:rPr>
        <w:t>2</w:t>
      </w:r>
      <w:r>
        <w:rPr>
          <w:sz w:val="24"/>
          <w:szCs w:val="24"/>
        </w:rPr>
        <w:t xml:space="preserve"> is R squared, which is coefficient of determination that is predictable from the independent</w:t>
      </w:r>
      <w:r>
        <w:t xml:space="preserve"> variable</w:t>
      </w:r>
    </w:p>
    <w:p w:rsidR="00A47F5E" w:rsidRDefault="00A47F5E" w:rsidP="00A47F5E">
      <w:pPr>
        <w:pStyle w:val="BodyText"/>
        <w:spacing w:before="169" w:line="360" w:lineRule="auto"/>
        <w:ind w:left="109" w:right="172"/>
      </w:pPr>
    </w:p>
    <w:p w:rsidR="00A47F5E" w:rsidRDefault="00A47F5E" w:rsidP="00A47F5E">
      <w:pPr>
        <w:pStyle w:val="BodyText"/>
        <w:spacing w:before="93" w:line="360" w:lineRule="auto"/>
        <w:ind w:right="180"/>
      </w:pPr>
      <w:r>
        <w:rPr>
          <w:b/>
        </w:rPr>
        <w:t xml:space="preserve">Figure 2. Changes in body weight in each experiment. </w:t>
      </w:r>
      <w:r>
        <w:t>PEG-</w:t>
      </w:r>
      <w:proofErr w:type="spellStart"/>
      <w:r>
        <w:t>fDAO</w:t>
      </w:r>
      <w:proofErr w:type="spellEnd"/>
      <w:r>
        <w:t xml:space="preserve"> ( </w:t>
      </w:r>
      <w:r>
        <w:rPr>
          <w:noProof/>
          <w:spacing w:val="-5"/>
          <w:position w:val="-2"/>
        </w:rPr>
        <w:drawing>
          <wp:inline distT="0" distB="0" distL="0" distR="0">
            <wp:extent cx="74930" cy="12255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4930" cy="122555"/>
                    </a:xfrm>
                    <a:prstGeom prst="rect">
                      <a:avLst/>
                    </a:prstGeom>
                    <a:noFill/>
                    <a:ln>
                      <a:noFill/>
                    </a:ln>
                  </pic:spPr>
                </pic:pic>
              </a:graphicData>
            </a:graphic>
          </wp:inline>
        </w:drawing>
      </w:r>
      <w:r>
        <w:rPr>
          <w:spacing w:val="-12"/>
        </w:rPr>
        <w:t xml:space="preserve"> </w:t>
      </w:r>
      <w:r>
        <w:t xml:space="preserve">) was intravenously administered on the second day (Figure 2B), fourth day (Figure 2E), and ninth day (Figure 2H), followed by intraperitoneal administration of D-phenylalanine ( </w:t>
      </w:r>
      <w:r>
        <w:rPr>
          <w:noProof/>
          <w:spacing w:val="-32"/>
          <w:position w:val="-3"/>
        </w:rPr>
        <w:drawing>
          <wp:inline distT="0" distB="0" distL="0" distR="0">
            <wp:extent cx="116205" cy="1022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205" cy="102235"/>
                    </a:xfrm>
                    <a:prstGeom prst="rect">
                      <a:avLst/>
                    </a:prstGeom>
                    <a:noFill/>
                    <a:ln>
                      <a:noFill/>
                    </a:ln>
                  </pic:spPr>
                </pic:pic>
              </a:graphicData>
            </a:graphic>
          </wp:inline>
        </w:drawing>
      </w:r>
      <w:r>
        <w:t>) or D-</w:t>
      </w:r>
      <w:proofErr w:type="spellStart"/>
      <w:r>
        <w:t>proline</w:t>
      </w:r>
      <w:proofErr w:type="spellEnd"/>
      <w:r>
        <w:t xml:space="preserve"> </w:t>
      </w:r>
      <w:r>
        <w:rPr>
          <w:spacing w:val="15"/>
        </w:rPr>
        <w:t xml:space="preserve">( </w:t>
      </w:r>
      <w:r>
        <w:rPr>
          <w:noProof/>
          <w:spacing w:val="15"/>
          <w:position w:val="-3"/>
        </w:rPr>
        <w:drawing>
          <wp:inline distT="0" distB="0" distL="0" distR="0">
            <wp:extent cx="116205" cy="1022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6205" cy="102235"/>
                    </a:xfrm>
                    <a:prstGeom prst="rect">
                      <a:avLst/>
                    </a:prstGeom>
                    <a:noFill/>
                    <a:ln>
                      <a:noFill/>
                    </a:ln>
                  </pic:spPr>
                </pic:pic>
              </a:graphicData>
            </a:graphic>
          </wp:inline>
        </w:drawing>
      </w:r>
      <w:r>
        <w:t>). Body weight was measured as indicated. The small dots show the body weight in the course of each experiment. The solid line indicates the mean body weight. Since the age of the mice at the start of each experiment was not exactly the same, the average body weight at the start of the experiment differed across the</w:t>
      </w:r>
      <w:r>
        <w:rPr>
          <w:spacing w:val="-23"/>
        </w:rPr>
        <w:t xml:space="preserve"> </w:t>
      </w:r>
      <w:r>
        <w:t>experiments.</w:t>
      </w:r>
    </w:p>
    <w:p w:rsidR="00A47F5E" w:rsidRDefault="00A47F5E" w:rsidP="00A47F5E">
      <w:pPr>
        <w:pStyle w:val="BodyText"/>
        <w:spacing w:line="360" w:lineRule="auto"/>
        <w:rPr>
          <w:sz w:val="22"/>
        </w:rPr>
      </w:pPr>
    </w:p>
    <w:p w:rsidR="00A47F5E" w:rsidRDefault="00A47F5E" w:rsidP="00A47F5E">
      <w:pPr>
        <w:spacing w:line="360" w:lineRule="auto"/>
        <w:ind w:left="109" w:right="180"/>
        <w:rPr>
          <w:sz w:val="20"/>
        </w:rPr>
      </w:pPr>
      <w:r>
        <w:rPr>
          <w:b/>
          <w:sz w:val="20"/>
        </w:rPr>
        <w:t>Figure</w:t>
      </w:r>
      <w:r>
        <w:rPr>
          <w:b/>
          <w:spacing w:val="-2"/>
          <w:sz w:val="20"/>
        </w:rPr>
        <w:t xml:space="preserve"> </w:t>
      </w:r>
      <w:r>
        <w:rPr>
          <w:b/>
          <w:sz w:val="20"/>
        </w:rPr>
        <w:t>3.</w:t>
      </w:r>
      <w:r>
        <w:rPr>
          <w:b/>
          <w:spacing w:val="-1"/>
          <w:sz w:val="20"/>
        </w:rPr>
        <w:t xml:space="preserve"> </w:t>
      </w:r>
      <w:r>
        <w:rPr>
          <w:b/>
          <w:bCs/>
        </w:rPr>
        <w:t xml:space="preserve">Change </w:t>
      </w:r>
      <w:r>
        <w:rPr>
          <w:b/>
          <w:sz w:val="20"/>
        </w:rPr>
        <w:t>in</w:t>
      </w:r>
      <w:r>
        <w:rPr>
          <w:b/>
          <w:spacing w:val="-1"/>
          <w:sz w:val="20"/>
        </w:rPr>
        <w:t xml:space="preserve"> </w:t>
      </w:r>
      <w:r>
        <w:rPr>
          <w:b/>
          <w:sz w:val="20"/>
        </w:rPr>
        <w:t>the</w:t>
      </w:r>
      <w:r>
        <w:rPr>
          <w:b/>
          <w:spacing w:val="-2"/>
          <w:sz w:val="20"/>
        </w:rPr>
        <w:t xml:space="preserve"> </w:t>
      </w:r>
      <w:r>
        <w:rPr>
          <w:b/>
          <w:sz w:val="20"/>
        </w:rPr>
        <w:t>lung</w:t>
      </w:r>
      <w:r>
        <w:rPr>
          <w:b/>
          <w:spacing w:val="-1"/>
          <w:sz w:val="20"/>
        </w:rPr>
        <w:t xml:space="preserve"> </w:t>
      </w:r>
      <w:r>
        <w:rPr>
          <w:b/>
          <w:sz w:val="20"/>
        </w:rPr>
        <w:t>weight</w:t>
      </w:r>
      <w:r>
        <w:rPr>
          <w:b/>
          <w:spacing w:val="-2"/>
          <w:sz w:val="20"/>
        </w:rPr>
        <w:t xml:space="preserve"> </w:t>
      </w:r>
      <w:r>
        <w:rPr>
          <w:b/>
          <w:sz w:val="20"/>
        </w:rPr>
        <w:t>in</w:t>
      </w:r>
      <w:r>
        <w:rPr>
          <w:b/>
          <w:spacing w:val="-1"/>
          <w:sz w:val="20"/>
        </w:rPr>
        <w:t xml:space="preserve"> </w:t>
      </w:r>
      <w:r>
        <w:rPr>
          <w:b/>
          <w:sz w:val="20"/>
        </w:rPr>
        <w:t>each</w:t>
      </w:r>
      <w:r>
        <w:rPr>
          <w:b/>
          <w:spacing w:val="-1"/>
          <w:sz w:val="20"/>
        </w:rPr>
        <w:t xml:space="preserve"> </w:t>
      </w:r>
      <w:r>
        <w:rPr>
          <w:b/>
          <w:sz w:val="20"/>
        </w:rPr>
        <w:t>experiment.</w:t>
      </w:r>
      <w:r>
        <w:rPr>
          <w:b/>
          <w:spacing w:val="-2"/>
          <w:sz w:val="20"/>
        </w:rPr>
        <w:t xml:space="preserve"> </w:t>
      </w:r>
      <w:r>
        <w:rPr>
          <w:sz w:val="20"/>
        </w:rPr>
        <w:t>The</w:t>
      </w:r>
      <w:r>
        <w:rPr>
          <w:spacing w:val="-1"/>
          <w:sz w:val="20"/>
        </w:rPr>
        <w:t xml:space="preserve"> </w:t>
      </w:r>
      <w:r>
        <w:rPr>
          <w:sz w:val="20"/>
        </w:rPr>
        <w:t>small</w:t>
      </w:r>
      <w:r>
        <w:rPr>
          <w:spacing w:val="-2"/>
          <w:sz w:val="20"/>
        </w:rPr>
        <w:t xml:space="preserve"> </w:t>
      </w:r>
      <w:r>
        <w:rPr>
          <w:sz w:val="20"/>
        </w:rPr>
        <w:t>dots</w:t>
      </w:r>
      <w:r>
        <w:rPr>
          <w:spacing w:val="-1"/>
          <w:sz w:val="20"/>
        </w:rPr>
        <w:t xml:space="preserve"> </w:t>
      </w:r>
      <w:r>
        <w:rPr>
          <w:spacing w:val="15"/>
          <w:sz w:val="20"/>
        </w:rPr>
        <w:t>(</w:t>
      </w:r>
      <w:r>
        <w:rPr>
          <w:noProof/>
          <w:spacing w:val="15"/>
          <w:position w:val="-3"/>
          <w:sz w:val="20"/>
        </w:rPr>
        <w:drawing>
          <wp:inline distT="0" distB="0" distL="0" distR="0">
            <wp:extent cx="116205" cy="1022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 cy="102235"/>
                    </a:xfrm>
                    <a:prstGeom prst="rect">
                      <a:avLst/>
                    </a:prstGeom>
                    <a:noFill/>
                    <a:ln>
                      <a:noFill/>
                    </a:ln>
                  </pic:spPr>
                </pic:pic>
              </a:graphicData>
            </a:graphic>
          </wp:inline>
        </w:drawing>
      </w:r>
      <w:r>
        <w:rPr>
          <w:sz w:val="20"/>
        </w:rPr>
        <w:t>)</w:t>
      </w:r>
      <w:r>
        <w:rPr>
          <w:spacing w:val="-1"/>
          <w:sz w:val="20"/>
        </w:rPr>
        <w:t xml:space="preserve"> </w:t>
      </w:r>
      <w:r>
        <w:rPr>
          <w:sz w:val="20"/>
        </w:rPr>
        <w:t>show</w:t>
      </w:r>
      <w:r>
        <w:rPr>
          <w:spacing w:val="-3"/>
          <w:sz w:val="20"/>
        </w:rPr>
        <w:t xml:space="preserve"> </w:t>
      </w:r>
      <w:r>
        <w:rPr>
          <w:sz w:val="20"/>
        </w:rPr>
        <w:t>the</w:t>
      </w:r>
      <w:r>
        <w:rPr>
          <w:spacing w:val="-1"/>
          <w:sz w:val="20"/>
        </w:rPr>
        <w:t xml:space="preserve"> </w:t>
      </w:r>
      <w:r>
        <w:rPr>
          <w:sz w:val="20"/>
        </w:rPr>
        <w:t>lung</w:t>
      </w:r>
      <w:r>
        <w:rPr>
          <w:spacing w:val="-1"/>
          <w:sz w:val="20"/>
        </w:rPr>
        <w:t xml:space="preserve"> </w:t>
      </w:r>
      <w:r>
        <w:rPr>
          <w:sz w:val="20"/>
        </w:rPr>
        <w:t>weight</w:t>
      </w:r>
      <w:r>
        <w:rPr>
          <w:spacing w:val="-2"/>
          <w:sz w:val="20"/>
        </w:rPr>
        <w:t xml:space="preserve"> </w:t>
      </w:r>
      <w:r>
        <w:rPr>
          <w:sz w:val="20"/>
        </w:rPr>
        <w:t xml:space="preserve">in Exp-1/-2/-3 (Figure 3A/B/C). The control, </w:t>
      </w:r>
      <w:proofErr w:type="spellStart"/>
      <w:r>
        <w:rPr>
          <w:sz w:val="20"/>
        </w:rPr>
        <w:t>nCA</w:t>
      </w:r>
      <w:proofErr w:type="spellEnd"/>
      <w:r>
        <w:rPr>
          <w:sz w:val="20"/>
        </w:rPr>
        <w:t xml:space="preserve"> and </w:t>
      </w:r>
      <w:proofErr w:type="spellStart"/>
      <w:r>
        <w:rPr>
          <w:sz w:val="20"/>
        </w:rPr>
        <w:t>nCA+PEG-fDAO</w:t>
      </w:r>
      <w:proofErr w:type="spellEnd"/>
      <w:r>
        <w:rPr>
          <w:sz w:val="20"/>
        </w:rPr>
        <w:t xml:space="preserve"> group were indicated as 1, 2,</w:t>
      </w:r>
      <w:r>
        <w:rPr>
          <w:spacing w:val="-27"/>
          <w:sz w:val="20"/>
        </w:rPr>
        <w:t xml:space="preserve"> </w:t>
      </w:r>
      <w:r>
        <w:rPr>
          <w:sz w:val="20"/>
        </w:rPr>
        <w:t>and</w:t>
      </w:r>
      <w:r>
        <w:rPr>
          <w:noProof/>
        </w:rPr>
        <mc:AlternateContent>
          <mc:Choice Requires="wps">
            <w:drawing>
              <wp:anchor distT="0" distB="0" distL="114300" distR="114300" simplePos="0" relativeHeight="251658240" behindDoc="1" locked="0" layoutInCell="1" allowOverlap="1">
                <wp:simplePos x="0" y="0"/>
                <wp:positionH relativeFrom="page">
                  <wp:posOffset>1792605</wp:posOffset>
                </wp:positionH>
                <wp:positionV relativeFrom="paragraph">
                  <wp:posOffset>95885</wp:posOffset>
                </wp:positionV>
                <wp:extent cx="135890" cy="0"/>
                <wp:effectExtent l="20955" t="19685" r="24130" b="1841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890" cy="0"/>
                        </a:xfrm>
                        <a:prstGeom prst="line">
                          <a:avLst/>
                        </a:prstGeom>
                        <a:noFill/>
                        <a:ln w="330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CBB9B"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1.15pt,7.55pt" to="151.8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XEb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" strokeweight="2.6pt">
                <w10:wrap anchorx="page"/>
              </v:line>
            </w:pict>
          </mc:Fallback>
        </mc:AlternateContent>
      </w:r>
      <w:r>
        <w:rPr>
          <w:sz w:val="20"/>
        </w:rPr>
        <w:t xml:space="preserve"> </w:t>
      </w:r>
      <w:r>
        <w:rPr>
          <w:position w:val="1"/>
        </w:rPr>
        <w:t xml:space="preserve">3. Solid bars </w:t>
      </w:r>
      <w:proofErr w:type="gramStart"/>
      <w:r>
        <w:rPr>
          <w:position w:val="1"/>
        </w:rPr>
        <w:t>(</w:t>
      </w:r>
      <w:r>
        <w:rPr>
          <w:position w:val="1"/>
          <w:sz w:val="28"/>
          <w:szCs w:val="28"/>
        </w:rPr>
        <w:t xml:space="preserve"> -</w:t>
      </w:r>
      <w:proofErr w:type="gramEnd"/>
      <w:r>
        <w:rPr>
          <w:position w:val="1"/>
          <w:sz w:val="28"/>
          <w:szCs w:val="28"/>
        </w:rPr>
        <w:t xml:space="preserve"> </w:t>
      </w:r>
      <w:r>
        <w:rPr>
          <w:position w:val="1"/>
        </w:rPr>
        <w:t>) and the vertical bars indicate mean and ± 2SD of the lung weight (mg). An asterisk (</w:t>
      </w:r>
      <w:r>
        <w:rPr>
          <w:sz w:val="13"/>
        </w:rPr>
        <w:t>*</w:t>
      </w:r>
      <w:r>
        <w:rPr>
          <w:position w:val="1"/>
        </w:rPr>
        <w:t>)</w:t>
      </w:r>
      <w:r>
        <w:t xml:space="preserve"> indicates a significant difference between the groups in each experiment.</w:t>
      </w:r>
    </w:p>
    <w:p w:rsidR="00A47F5E" w:rsidRDefault="00A47F5E" w:rsidP="00A47F5E">
      <w:pPr>
        <w:pStyle w:val="BodyText"/>
        <w:spacing w:line="360" w:lineRule="auto"/>
        <w:rPr>
          <w:sz w:val="22"/>
        </w:rPr>
      </w:pPr>
    </w:p>
    <w:p w:rsidR="00A47F5E" w:rsidRDefault="00A47F5E" w:rsidP="00A47F5E">
      <w:pPr>
        <w:spacing w:before="148" w:line="360" w:lineRule="auto"/>
        <w:ind w:left="109" w:right="229"/>
        <w:rPr>
          <w:sz w:val="20"/>
        </w:rPr>
      </w:pPr>
      <w:r>
        <w:rPr>
          <w:b/>
          <w:sz w:val="20"/>
        </w:rPr>
        <w:t xml:space="preserve">Figure 4. Fluorescence imaging of the lung tissues during each experiment. </w:t>
      </w:r>
      <w:r>
        <w:rPr>
          <w:sz w:val="20"/>
        </w:rPr>
        <w:t xml:space="preserve">The lung tissues of mice from the control, </w:t>
      </w:r>
      <w:proofErr w:type="spellStart"/>
      <w:r>
        <w:rPr>
          <w:sz w:val="20"/>
        </w:rPr>
        <w:t>nCA</w:t>
      </w:r>
      <w:proofErr w:type="spellEnd"/>
      <w:r>
        <w:rPr>
          <w:sz w:val="20"/>
        </w:rPr>
        <w:t xml:space="preserve">, and </w:t>
      </w:r>
      <w:proofErr w:type="spellStart"/>
      <w:r>
        <w:rPr>
          <w:sz w:val="20"/>
        </w:rPr>
        <w:t>nCA+PEG-fDAO</w:t>
      </w:r>
      <w:proofErr w:type="spellEnd"/>
      <w:r>
        <w:rPr>
          <w:sz w:val="20"/>
        </w:rPr>
        <w:t xml:space="preserve"> groups in Exp-2 (A) and Exp-3 (B) are shown.</w:t>
      </w:r>
    </w:p>
    <w:p w:rsidR="00A47F5E" w:rsidRDefault="00A47F5E" w:rsidP="00A47F5E">
      <w:pPr>
        <w:pStyle w:val="BodyText"/>
        <w:spacing w:line="360" w:lineRule="auto"/>
        <w:rPr>
          <w:sz w:val="22"/>
        </w:rPr>
      </w:pPr>
    </w:p>
    <w:p w:rsidR="00A47F5E" w:rsidRDefault="00A47F5E" w:rsidP="00A47F5E">
      <w:pPr>
        <w:pStyle w:val="BodyText"/>
        <w:spacing w:before="152" w:line="360" w:lineRule="auto"/>
        <w:ind w:left="109" w:right="142"/>
      </w:pPr>
      <w:r>
        <w:rPr>
          <w:b/>
        </w:rPr>
        <w:t xml:space="preserve">Figure 5. Pathological findings of the lung tissues in Exp-2 and Exp-3. </w:t>
      </w:r>
      <w:r>
        <w:t xml:space="preserve">Lung pathologies in Exp-2 (Figure 5A-F) and Exp-3 (Figure 5G-L) are shown, where A/B and G/H, C/D and I/J, E/F and K/L indicate the control, </w:t>
      </w:r>
      <w:proofErr w:type="spellStart"/>
      <w:r>
        <w:t>nCA</w:t>
      </w:r>
      <w:proofErr w:type="spellEnd"/>
      <w:r>
        <w:t xml:space="preserve"> and PEG-</w:t>
      </w:r>
      <w:proofErr w:type="spellStart"/>
      <w:r>
        <w:t>fDAO</w:t>
      </w:r>
      <w:proofErr w:type="spellEnd"/>
      <w:r>
        <w:t xml:space="preserve"> group, respectively. A/C/E/G/I/K and B/D/F/H/J/L show original magnifications of ×100 and ×400, respectively. The boxed areas are amplified in the right panels. The </w:t>
      </w:r>
      <w:proofErr w:type="spellStart"/>
      <w:r>
        <w:t>nCA</w:t>
      </w:r>
      <w:proofErr w:type="spellEnd"/>
      <w:r>
        <w:t xml:space="preserve"> group showed pneumonia with many eosinophilic filaments and neutrophils phagocytizing the filaments in Exp-2 (Figure 5C/D) and Exp-3 (Figure5I/J). In addition, a somewhat granulomatous appearance showing a mixed accumulation of neutrophils, macrophages, and lymphoid cells was noted in Exp-3 (Figure 5I/J). The inflammatory changes were milder in the PEG-</w:t>
      </w:r>
      <w:proofErr w:type="spellStart"/>
      <w:r>
        <w:t>fDAO</w:t>
      </w:r>
      <w:proofErr w:type="spellEnd"/>
      <w:r>
        <w:t xml:space="preserve"> group (Figure 5E/F/K/L) than in the </w:t>
      </w:r>
      <w:proofErr w:type="spellStart"/>
      <w:r>
        <w:t>nCA</w:t>
      </w:r>
      <w:proofErr w:type="spellEnd"/>
      <w:r>
        <w:t xml:space="preserve"> group (Figure 5C/D/I/J), showing thin eosinophilic filament-phagocytizing neutrophils in both Exp-2 and Exp-3.</w:t>
      </w: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ItalicMT">
    <w:altName w:val="Times New Roman"/>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F5E"/>
    <w:rsid w:val="00A47F5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D4BFA0-CFE8-4BC4-B183-F7FA9F07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F5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9"/>
    <w:qFormat/>
    <w:rsid w:val="00A47F5E"/>
    <w:pPr>
      <w:ind w:left="109"/>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F5E"/>
    <w:rPr>
      <w:rFonts w:ascii="Times New Roman" w:eastAsia="Times New Roman" w:hAnsi="Times New Roman" w:cs="Times New Roman"/>
      <w:b/>
      <w:bCs/>
      <w:sz w:val="20"/>
      <w:szCs w:val="20"/>
    </w:rPr>
  </w:style>
  <w:style w:type="paragraph" w:styleId="BodyText">
    <w:name w:val="Body Text"/>
    <w:basedOn w:val="Normal"/>
    <w:link w:val="BodyTextChar"/>
    <w:uiPriority w:val="1"/>
    <w:semiHidden/>
    <w:unhideWhenUsed/>
    <w:qFormat/>
    <w:rsid w:val="00A47F5E"/>
    <w:rPr>
      <w:sz w:val="20"/>
      <w:szCs w:val="20"/>
    </w:rPr>
  </w:style>
  <w:style w:type="character" w:customStyle="1" w:styleId="BodyTextChar">
    <w:name w:val="Body Text Char"/>
    <w:basedOn w:val="DefaultParagraphFont"/>
    <w:link w:val="BodyText"/>
    <w:uiPriority w:val="1"/>
    <w:semiHidden/>
    <w:rsid w:val="00A47F5E"/>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791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2304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2021-03-09T04:28:00Z</dcterms:created>
  <dcterms:modified xsi:type="dcterms:W3CDTF">2021-03-09T04:28:00Z</dcterms:modified>
</cp:coreProperties>
</file>