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DDCA3" w14:textId="77777777" w:rsidR="00D848EA" w:rsidRPr="00606317" w:rsidRDefault="00D848EA" w:rsidP="00D848EA">
      <w:pPr>
        <w:widowControl/>
        <w:overflowPunct w:val="0"/>
        <w:autoSpaceDE w:val="0"/>
        <w:autoSpaceDN w:val="0"/>
        <w:adjustRightInd w:val="0"/>
        <w:snapToGrid w:val="0"/>
        <w:spacing w:afterLines="100" w:after="312" w:line="480" w:lineRule="auto"/>
        <w:rPr>
          <w:rFonts w:ascii="Times New Roman" w:hAnsi="Times New Roman" w:cs="Times New Roman"/>
          <w:b/>
          <w:sz w:val="24"/>
          <w:szCs w:val="21"/>
        </w:rPr>
      </w:pPr>
      <w:r w:rsidRPr="00606317">
        <w:rPr>
          <w:rFonts w:ascii="Times New Roman" w:hAnsi="Times New Roman" w:cs="Times New Roman"/>
          <w:b/>
          <w:sz w:val="24"/>
          <w:szCs w:val="21"/>
        </w:rPr>
        <w:t>Supplementary Appendix</w:t>
      </w:r>
    </w:p>
    <w:p w14:paraId="48C61B27" w14:textId="77777777" w:rsidR="00D848EA" w:rsidRPr="00606317" w:rsidRDefault="00D848EA" w:rsidP="00D848EA">
      <w:pPr>
        <w:pStyle w:val="Subtitle"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t>Supplementary Appendix Table S1: List of DIRECTION study investigators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7364"/>
      </w:tblGrid>
      <w:tr w:rsidR="00D848EA" w:rsidRPr="00606317" w14:paraId="3DD3B290" w14:textId="77777777" w:rsidTr="00704D93">
        <w:trPr>
          <w:trHeight w:val="280"/>
        </w:trPr>
        <w:tc>
          <w:tcPr>
            <w:tcW w:w="1696" w:type="dxa"/>
            <w:noWrap/>
          </w:tcPr>
          <w:p w14:paraId="730C7B03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063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Investigator </w:t>
            </w:r>
          </w:p>
        </w:tc>
        <w:tc>
          <w:tcPr>
            <w:tcW w:w="7364" w:type="dxa"/>
            <w:noWrap/>
          </w:tcPr>
          <w:p w14:paraId="40D81CBF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063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Affiliation</w:t>
            </w:r>
          </w:p>
        </w:tc>
      </w:tr>
      <w:tr w:rsidR="00D848EA" w:rsidRPr="00606317" w14:paraId="164289E7" w14:textId="77777777" w:rsidTr="00704D93">
        <w:trPr>
          <w:trHeight w:val="280"/>
        </w:trPr>
        <w:tc>
          <w:tcPr>
            <w:tcW w:w="1696" w:type="dxa"/>
            <w:noWrap/>
          </w:tcPr>
          <w:p w14:paraId="7D761CB8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Hui Yang</w:t>
            </w:r>
          </w:p>
        </w:tc>
        <w:tc>
          <w:tcPr>
            <w:tcW w:w="7364" w:type="dxa"/>
            <w:noWrap/>
          </w:tcPr>
          <w:p w14:paraId="3738B9F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Affiliated Cancer Hospital of Zhengzhou University, Zhengzhou, China</w:t>
            </w:r>
          </w:p>
        </w:tc>
      </w:tr>
      <w:tr w:rsidR="00D848EA" w:rsidRPr="00606317" w14:paraId="5299369B" w14:textId="77777777" w:rsidTr="00704D93">
        <w:trPr>
          <w:trHeight w:val="280"/>
        </w:trPr>
        <w:tc>
          <w:tcPr>
            <w:tcW w:w="1696" w:type="dxa"/>
            <w:noWrap/>
          </w:tcPr>
          <w:p w14:paraId="11B1289B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Yansong Lin</w:t>
            </w:r>
          </w:p>
        </w:tc>
        <w:tc>
          <w:tcPr>
            <w:tcW w:w="7364" w:type="dxa"/>
            <w:noWrap/>
          </w:tcPr>
          <w:p w14:paraId="546F72F0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Peking Union Medical College Hospital, Beijing, China</w:t>
            </w:r>
          </w:p>
        </w:tc>
      </w:tr>
      <w:tr w:rsidR="00D848EA" w:rsidRPr="00606317" w14:paraId="61775EC6" w14:textId="77777777" w:rsidTr="00704D93">
        <w:trPr>
          <w:trHeight w:val="280"/>
        </w:trPr>
        <w:tc>
          <w:tcPr>
            <w:tcW w:w="1696" w:type="dxa"/>
            <w:noWrap/>
          </w:tcPr>
          <w:p w14:paraId="5AD0B4D8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Feng Shi</w:t>
            </w:r>
          </w:p>
        </w:tc>
        <w:tc>
          <w:tcPr>
            <w:tcW w:w="7364" w:type="dxa"/>
            <w:noWrap/>
          </w:tcPr>
          <w:p w14:paraId="13B6A8D3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Hunan Cancer Hospital, Changsha, China</w:t>
            </w:r>
          </w:p>
        </w:tc>
      </w:tr>
      <w:tr w:rsidR="00D848EA" w:rsidRPr="00606317" w14:paraId="1D9A32D2" w14:textId="77777777" w:rsidTr="00704D93">
        <w:trPr>
          <w:trHeight w:val="280"/>
        </w:trPr>
        <w:tc>
          <w:tcPr>
            <w:tcW w:w="1696" w:type="dxa"/>
            <w:noWrap/>
          </w:tcPr>
          <w:p w14:paraId="3B7BADA4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Aimin Yang</w:t>
            </w:r>
          </w:p>
        </w:tc>
        <w:tc>
          <w:tcPr>
            <w:tcW w:w="7364" w:type="dxa"/>
            <w:noWrap/>
          </w:tcPr>
          <w:p w14:paraId="12C15302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First Affiliated Hospital of Xi'an Jiaotong University, Xi’an, China</w:t>
            </w:r>
          </w:p>
        </w:tc>
      </w:tr>
      <w:tr w:rsidR="00D848EA" w:rsidRPr="00606317" w14:paraId="17E12F0C" w14:textId="77777777" w:rsidTr="00704D93">
        <w:trPr>
          <w:trHeight w:val="280"/>
        </w:trPr>
        <w:tc>
          <w:tcPr>
            <w:tcW w:w="1696" w:type="dxa"/>
            <w:noWrap/>
          </w:tcPr>
          <w:p w14:paraId="3F9C5384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Xingmin Han</w:t>
            </w:r>
          </w:p>
        </w:tc>
        <w:tc>
          <w:tcPr>
            <w:tcW w:w="7364" w:type="dxa"/>
            <w:noWrap/>
          </w:tcPr>
          <w:p w14:paraId="6B3CD5C1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First Affiliated Hospital of Zhengzhou University, Zhengzhou, China</w:t>
            </w:r>
          </w:p>
        </w:tc>
      </w:tr>
      <w:tr w:rsidR="00D848EA" w:rsidRPr="00606317" w14:paraId="1195DE29" w14:textId="77777777" w:rsidTr="00704D93">
        <w:trPr>
          <w:trHeight w:val="280"/>
        </w:trPr>
        <w:tc>
          <w:tcPr>
            <w:tcW w:w="1696" w:type="dxa"/>
            <w:noWrap/>
          </w:tcPr>
          <w:p w14:paraId="34D6A26C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Bin Liu</w:t>
            </w:r>
          </w:p>
        </w:tc>
        <w:tc>
          <w:tcPr>
            <w:tcW w:w="7364" w:type="dxa"/>
            <w:noWrap/>
          </w:tcPr>
          <w:p w14:paraId="2921D28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West China Hospital of Sichuan University, Chengdu, China</w:t>
            </w:r>
          </w:p>
        </w:tc>
      </w:tr>
      <w:tr w:rsidR="00D848EA" w:rsidRPr="00606317" w14:paraId="526169A9" w14:textId="77777777" w:rsidTr="00704D93">
        <w:trPr>
          <w:trHeight w:val="280"/>
        </w:trPr>
        <w:tc>
          <w:tcPr>
            <w:tcW w:w="1696" w:type="dxa"/>
            <w:noWrap/>
          </w:tcPr>
          <w:p w14:paraId="3D7873F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Zhiyong Li</w:t>
            </w:r>
          </w:p>
        </w:tc>
        <w:tc>
          <w:tcPr>
            <w:tcW w:w="7364" w:type="dxa"/>
            <w:noWrap/>
          </w:tcPr>
          <w:p w14:paraId="51054629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Affiliated Hospital of Xuzhou Medical University, Xuzhou, China</w:t>
            </w:r>
          </w:p>
        </w:tc>
      </w:tr>
      <w:tr w:rsidR="00D848EA" w:rsidRPr="00606317" w14:paraId="76C262F5" w14:textId="77777777" w:rsidTr="00704D93">
        <w:trPr>
          <w:trHeight w:val="280"/>
        </w:trPr>
        <w:tc>
          <w:tcPr>
            <w:tcW w:w="1696" w:type="dxa"/>
            <w:noWrap/>
          </w:tcPr>
          <w:p w14:paraId="7E1F5F4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Qinghai Ji</w:t>
            </w:r>
          </w:p>
        </w:tc>
        <w:tc>
          <w:tcPr>
            <w:tcW w:w="7364" w:type="dxa"/>
            <w:noWrap/>
          </w:tcPr>
          <w:p w14:paraId="1496C2F8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Head and Neck Surgery, Fudan University Shanghai Cancer Center, Shanghai, China</w:t>
            </w:r>
          </w:p>
        </w:tc>
      </w:tr>
      <w:tr w:rsidR="00D848EA" w:rsidRPr="00606317" w14:paraId="770E6003" w14:textId="77777777" w:rsidTr="00704D93">
        <w:trPr>
          <w:trHeight w:val="280"/>
        </w:trPr>
        <w:tc>
          <w:tcPr>
            <w:tcW w:w="1696" w:type="dxa"/>
            <w:noWrap/>
          </w:tcPr>
          <w:p w14:paraId="1A5B3A0E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Lijun Tang</w:t>
            </w:r>
          </w:p>
        </w:tc>
        <w:tc>
          <w:tcPr>
            <w:tcW w:w="7364" w:type="dxa"/>
            <w:noWrap/>
          </w:tcPr>
          <w:p w14:paraId="38CEF80A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First Affiliated Hospital of Nanjing Medical University, Nanjing, China</w:t>
            </w:r>
          </w:p>
        </w:tc>
      </w:tr>
      <w:tr w:rsidR="00D848EA" w:rsidRPr="00606317" w14:paraId="2464DBAB" w14:textId="77777777" w:rsidTr="00704D93">
        <w:trPr>
          <w:trHeight w:val="280"/>
        </w:trPr>
        <w:tc>
          <w:tcPr>
            <w:tcW w:w="1696" w:type="dxa"/>
            <w:noWrap/>
          </w:tcPr>
          <w:p w14:paraId="7D863EC2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Zhiyong Deng</w:t>
            </w:r>
          </w:p>
        </w:tc>
        <w:tc>
          <w:tcPr>
            <w:tcW w:w="7364" w:type="dxa"/>
            <w:noWrap/>
          </w:tcPr>
          <w:p w14:paraId="2222996E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Yunnan Cancer Hospital, Kunming, China</w:t>
            </w:r>
          </w:p>
        </w:tc>
      </w:tr>
      <w:tr w:rsidR="00D848EA" w:rsidRPr="00606317" w14:paraId="6C55B0A5" w14:textId="77777777" w:rsidTr="00704D93">
        <w:trPr>
          <w:trHeight w:val="280"/>
        </w:trPr>
        <w:tc>
          <w:tcPr>
            <w:tcW w:w="1696" w:type="dxa"/>
            <w:noWrap/>
          </w:tcPr>
          <w:p w14:paraId="4C4BE64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Yong Ding</w:t>
            </w:r>
          </w:p>
        </w:tc>
        <w:tc>
          <w:tcPr>
            <w:tcW w:w="7364" w:type="dxa"/>
            <w:noWrap/>
          </w:tcPr>
          <w:p w14:paraId="16CDB2EB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 Fifth Medical Center of Chinese PLA General Hospital, Beijing, China</w:t>
            </w:r>
          </w:p>
        </w:tc>
      </w:tr>
      <w:tr w:rsidR="00D848EA" w:rsidRPr="00606317" w14:paraId="7298C6EF" w14:textId="77777777" w:rsidTr="00704D93">
        <w:trPr>
          <w:trHeight w:val="280"/>
        </w:trPr>
        <w:tc>
          <w:tcPr>
            <w:tcW w:w="1696" w:type="dxa"/>
            <w:noWrap/>
          </w:tcPr>
          <w:p w14:paraId="2E668A86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Wei Fu</w:t>
            </w:r>
          </w:p>
        </w:tc>
        <w:tc>
          <w:tcPr>
            <w:tcW w:w="7364" w:type="dxa"/>
            <w:noWrap/>
          </w:tcPr>
          <w:p w14:paraId="2EDD15C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Affiliated Hospital of Guilin Medical University, Guilin, China</w:t>
            </w:r>
          </w:p>
        </w:tc>
      </w:tr>
      <w:tr w:rsidR="00D848EA" w:rsidRPr="00606317" w14:paraId="6F9211FA" w14:textId="77777777" w:rsidTr="00704D93">
        <w:trPr>
          <w:trHeight w:val="280"/>
        </w:trPr>
        <w:tc>
          <w:tcPr>
            <w:tcW w:w="1696" w:type="dxa"/>
            <w:noWrap/>
          </w:tcPr>
          <w:p w14:paraId="6A14AAA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Xianhe Xie</w:t>
            </w:r>
          </w:p>
        </w:tc>
        <w:tc>
          <w:tcPr>
            <w:tcW w:w="7364" w:type="dxa"/>
            <w:noWrap/>
          </w:tcPr>
          <w:p w14:paraId="35E36478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 of Oncology, The First Affiliated Hospital of Fujian Medical University, Fuzhou, China</w:t>
            </w:r>
          </w:p>
        </w:tc>
      </w:tr>
      <w:tr w:rsidR="00D848EA" w:rsidRPr="00606317" w14:paraId="0698932D" w14:textId="77777777" w:rsidTr="00704D93">
        <w:trPr>
          <w:trHeight w:val="280"/>
        </w:trPr>
        <w:tc>
          <w:tcPr>
            <w:tcW w:w="1696" w:type="dxa"/>
            <w:noWrap/>
          </w:tcPr>
          <w:p w14:paraId="51C8A179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Linfa Li</w:t>
            </w:r>
          </w:p>
        </w:tc>
        <w:tc>
          <w:tcPr>
            <w:tcW w:w="7364" w:type="dxa"/>
            <w:noWrap/>
          </w:tcPr>
          <w:p w14:paraId="18E7905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Zhejiang Cancer Hospital, Hangzhou, China</w:t>
            </w:r>
          </w:p>
        </w:tc>
      </w:tr>
      <w:tr w:rsidR="00D848EA" w:rsidRPr="00606317" w14:paraId="57B02B1C" w14:textId="77777777" w:rsidTr="00704D93">
        <w:trPr>
          <w:trHeight w:val="280"/>
        </w:trPr>
        <w:tc>
          <w:tcPr>
            <w:tcW w:w="1696" w:type="dxa"/>
            <w:noWrap/>
          </w:tcPr>
          <w:p w14:paraId="2652E2B7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Xiaohui He</w:t>
            </w:r>
          </w:p>
        </w:tc>
        <w:tc>
          <w:tcPr>
            <w:tcW w:w="7364" w:type="dxa"/>
            <w:noWrap/>
          </w:tcPr>
          <w:p w14:paraId="54D05741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Medical Oncology, Cancer Hospital Chinese Academy of Medical Sciences, Beijing, China</w:t>
            </w:r>
          </w:p>
        </w:tc>
      </w:tr>
      <w:tr w:rsidR="00D848EA" w:rsidRPr="00606317" w14:paraId="766E23FE" w14:textId="77777777" w:rsidTr="00704D93">
        <w:trPr>
          <w:trHeight w:val="280"/>
        </w:trPr>
        <w:tc>
          <w:tcPr>
            <w:tcW w:w="1696" w:type="dxa"/>
            <w:noWrap/>
          </w:tcPr>
          <w:p w14:paraId="1C72AA7D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Zhongwei Lv</w:t>
            </w:r>
          </w:p>
        </w:tc>
        <w:tc>
          <w:tcPr>
            <w:tcW w:w="7364" w:type="dxa"/>
            <w:noWrap/>
          </w:tcPr>
          <w:p w14:paraId="760344AA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Shanghai Tenth People's Hospital, Tongji University School of Medicine, Shanghai, China</w:t>
            </w:r>
          </w:p>
        </w:tc>
      </w:tr>
      <w:tr w:rsidR="00D848EA" w:rsidRPr="00606317" w14:paraId="49E85A2A" w14:textId="77777777" w:rsidTr="00704D93">
        <w:trPr>
          <w:trHeight w:val="280"/>
        </w:trPr>
        <w:tc>
          <w:tcPr>
            <w:tcW w:w="1696" w:type="dxa"/>
            <w:noWrap/>
          </w:tcPr>
          <w:p w14:paraId="7A67B963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Qingjie Ma</w:t>
            </w:r>
          </w:p>
        </w:tc>
        <w:tc>
          <w:tcPr>
            <w:tcW w:w="7364" w:type="dxa"/>
            <w:noWrap/>
          </w:tcPr>
          <w:p w14:paraId="783FFD61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China-Japan Union Hospital of Jilin University, Changchun, China</w:t>
            </w:r>
          </w:p>
        </w:tc>
      </w:tr>
      <w:tr w:rsidR="00D848EA" w:rsidRPr="00606317" w14:paraId="41F3A827" w14:textId="77777777" w:rsidTr="00704D93">
        <w:trPr>
          <w:trHeight w:val="280"/>
        </w:trPr>
        <w:tc>
          <w:tcPr>
            <w:tcW w:w="1696" w:type="dxa"/>
            <w:noWrap/>
          </w:tcPr>
          <w:p w14:paraId="71D7D4B2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Zan Shen</w:t>
            </w:r>
          </w:p>
        </w:tc>
        <w:tc>
          <w:tcPr>
            <w:tcW w:w="7364" w:type="dxa"/>
            <w:noWrap/>
          </w:tcPr>
          <w:p w14:paraId="0007AFE6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 of Medical Oncology, Affiliated Sixth People's Hospital, Shanghai Jiaotong University, Shanghai, China</w:t>
            </w:r>
          </w:p>
        </w:tc>
      </w:tr>
      <w:tr w:rsidR="00D848EA" w:rsidRPr="00606317" w14:paraId="4BFDDF03" w14:textId="77777777" w:rsidTr="00704D93">
        <w:trPr>
          <w:trHeight w:val="280"/>
        </w:trPr>
        <w:tc>
          <w:tcPr>
            <w:tcW w:w="1696" w:type="dxa"/>
            <w:noWrap/>
          </w:tcPr>
          <w:p w14:paraId="3B86B058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Zhuming Guo</w:t>
            </w:r>
          </w:p>
        </w:tc>
        <w:tc>
          <w:tcPr>
            <w:tcW w:w="7364" w:type="dxa"/>
            <w:noWrap/>
          </w:tcPr>
          <w:p w14:paraId="3927EEB8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Head and Neck Surgery, Sun Yat-sen University Cancer Center, Guangzhou, China</w:t>
            </w:r>
          </w:p>
        </w:tc>
      </w:tr>
      <w:tr w:rsidR="00D848EA" w:rsidRPr="00606317" w14:paraId="13DD0716" w14:textId="77777777" w:rsidTr="00704D93">
        <w:trPr>
          <w:trHeight w:val="280"/>
        </w:trPr>
        <w:tc>
          <w:tcPr>
            <w:tcW w:w="1696" w:type="dxa"/>
            <w:noWrap/>
          </w:tcPr>
          <w:p w14:paraId="65614B9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Zhendong Chen</w:t>
            </w:r>
          </w:p>
        </w:tc>
        <w:tc>
          <w:tcPr>
            <w:tcW w:w="7364" w:type="dxa"/>
            <w:noWrap/>
          </w:tcPr>
          <w:p w14:paraId="609D76A2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 of Oncology, The Second Hospital of Anhui Medical University, Hefei, China</w:t>
            </w:r>
          </w:p>
        </w:tc>
      </w:tr>
      <w:tr w:rsidR="00D848EA" w:rsidRPr="00606317" w14:paraId="09BE93C5" w14:textId="77777777" w:rsidTr="00704D93">
        <w:trPr>
          <w:trHeight w:val="280"/>
        </w:trPr>
        <w:tc>
          <w:tcPr>
            <w:tcW w:w="1696" w:type="dxa"/>
            <w:noWrap/>
          </w:tcPr>
          <w:p w14:paraId="21658F7E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Yali Cui</w:t>
            </w:r>
          </w:p>
        </w:tc>
        <w:tc>
          <w:tcPr>
            <w:tcW w:w="7364" w:type="dxa"/>
            <w:noWrap/>
          </w:tcPr>
          <w:p w14:paraId="503E869A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Department of Nuclear Medicine, Harbin Medical University Cancer Hospital, Harbin, </w:t>
            </w: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China</w:t>
            </w:r>
          </w:p>
        </w:tc>
      </w:tr>
      <w:tr w:rsidR="00D848EA" w:rsidRPr="00606317" w14:paraId="6260C8FA" w14:textId="77777777" w:rsidTr="00704D93">
        <w:trPr>
          <w:trHeight w:val="280"/>
        </w:trPr>
        <w:tc>
          <w:tcPr>
            <w:tcW w:w="1696" w:type="dxa"/>
            <w:noWrap/>
          </w:tcPr>
          <w:p w14:paraId="6F37AD87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Jian Tan</w:t>
            </w:r>
          </w:p>
        </w:tc>
        <w:tc>
          <w:tcPr>
            <w:tcW w:w="7364" w:type="dxa"/>
            <w:noWrap/>
          </w:tcPr>
          <w:p w14:paraId="4609006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Tianjin Medical University General Hospital, Tianjin, China</w:t>
            </w:r>
          </w:p>
        </w:tc>
      </w:tr>
      <w:tr w:rsidR="00D848EA" w:rsidRPr="00606317" w14:paraId="2E5CDEC1" w14:textId="77777777" w:rsidTr="00704D93">
        <w:trPr>
          <w:trHeight w:val="280"/>
        </w:trPr>
        <w:tc>
          <w:tcPr>
            <w:tcW w:w="1696" w:type="dxa"/>
            <w:noWrap/>
          </w:tcPr>
          <w:p w14:paraId="360B180E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Zairong Gao</w:t>
            </w:r>
          </w:p>
        </w:tc>
        <w:tc>
          <w:tcPr>
            <w:tcW w:w="7364" w:type="dxa"/>
            <w:noWrap/>
          </w:tcPr>
          <w:p w14:paraId="62A6A6E1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Union Hospital affiliated to Tongji Medical College of Huazhong University of Science and Technology, Wuhan, China</w:t>
            </w:r>
          </w:p>
        </w:tc>
      </w:tr>
      <w:tr w:rsidR="00D848EA" w:rsidRPr="00606317" w14:paraId="5F5DC742" w14:textId="77777777" w:rsidTr="00704D93">
        <w:trPr>
          <w:trHeight w:val="280"/>
        </w:trPr>
        <w:tc>
          <w:tcPr>
            <w:tcW w:w="1696" w:type="dxa"/>
            <w:noWrap/>
          </w:tcPr>
          <w:p w14:paraId="3BDA63DC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Shanghua Jing</w:t>
            </w:r>
          </w:p>
        </w:tc>
        <w:tc>
          <w:tcPr>
            <w:tcW w:w="7364" w:type="dxa"/>
            <w:noWrap/>
          </w:tcPr>
          <w:p w14:paraId="4435CF48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Otolaryngology-Head and Neck Surgery, The Fourth Hospital of Hebei Medical University, Shijiazhuang, China</w:t>
            </w:r>
          </w:p>
        </w:tc>
      </w:tr>
      <w:tr w:rsidR="00D848EA" w:rsidRPr="00606317" w14:paraId="768CDBFF" w14:textId="77777777" w:rsidTr="00704D93">
        <w:trPr>
          <w:trHeight w:val="280"/>
        </w:trPr>
        <w:tc>
          <w:tcPr>
            <w:tcW w:w="1696" w:type="dxa"/>
            <w:noWrap/>
          </w:tcPr>
          <w:p w14:paraId="2BB22178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Keyi Lu</w:t>
            </w:r>
          </w:p>
        </w:tc>
        <w:tc>
          <w:tcPr>
            <w:tcW w:w="7364" w:type="dxa"/>
            <w:noWrap/>
          </w:tcPr>
          <w:p w14:paraId="6BBAC10C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First Hospital of Shanxi Medical University, Taiyuan, China</w:t>
            </w:r>
          </w:p>
        </w:tc>
      </w:tr>
      <w:tr w:rsidR="00D848EA" w:rsidRPr="00606317" w14:paraId="06B14A5E" w14:textId="77777777" w:rsidTr="00704D93">
        <w:trPr>
          <w:trHeight w:val="280"/>
        </w:trPr>
        <w:tc>
          <w:tcPr>
            <w:tcW w:w="1696" w:type="dxa"/>
            <w:noWrap/>
          </w:tcPr>
          <w:p w14:paraId="14E0C28C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Xianyang Luo</w:t>
            </w:r>
          </w:p>
        </w:tc>
        <w:tc>
          <w:tcPr>
            <w:tcW w:w="7364" w:type="dxa"/>
            <w:noWrap/>
          </w:tcPr>
          <w:p w14:paraId="0D94208C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 of Otolaryngology-Head and Neck Surgery, The First Affiliated Hospital of Xiamen University, Xiamen, China</w:t>
            </w:r>
          </w:p>
        </w:tc>
      </w:tr>
      <w:tr w:rsidR="00D848EA" w:rsidRPr="00606317" w14:paraId="66EC5888" w14:textId="77777777" w:rsidTr="00704D93">
        <w:trPr>
          <w:trHeight w:val="280"/>
        </w:trPr>
        <w:tc>
          <w:tcPr>
            <w:tcW w:w="1696" w:type="dxa"/>
            <w:noWrap/>
          </w:tcPr>
          <w:p w14:paraId="5A7EB1C4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Yuan Zhang</w:t>
            </w:r>
          </w:p>
        </w:tc>
        <w:tc>
          <w:tcPr>
            <w:tcW w:w="7364" w:type="dxa"/>
            <w:noWrap/>
          </w:tcPr>
          <w:p w14:paraId="4976A031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Head and Neck Surgery, Jiangsu Cancer Hospital, Nanjing, China</w:t>
            </w:r>
          </w:p>
        </w:tc>
      </w:tr>
      <w:tr w:rsidR="00D848EA" w:rsidRPr="00606317" w14:paraId="222BC676" w14:textId="77777777" w:rsidTr="00704D93">
        <w:trPr>
          <w:trHeight w:val="280"/>
        </w:trPr>
        <w:tc>
          <w:tcPr>
            <w:tcW w:w="1696" w:type="dxa"/>
            <w:noWrap/>
          </w:tcPr>
          <w:p w14:paraId="140D465B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Yong Fang</w:t>
            </w:r>
          </w:p>
        </w:tc>
        <w:tc>
          <w:tcPr>
            <w:tcW w:w="7364" w:type="dxa"/>
            <w:noWrap/>
          </w:tcPr>
          <w:p w14:paraId="5C50C89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Medical Oncology, Sir Run Run Shaw Hospital Zhejiang University School of Medicine, Hangzhou, China</w:t>
            </w:r>
          </w:p>
        </w:tc>
      </w:tr>
      <w:tr w:rsidR="00D848EA" w:rsidRPr="00606317" w14:paraId="10E54F79" w14:textId="77777777" w:rsidTr="00704D93">
        <w:trPr>
          <w:trHeight w:val="280"/>
        </w:trPr>
        <w:tc>
          <w:tcPr>
            <w:tcW w:w="1696" w:type="dxa"/>
            <w:noWrap/>
          </w:tcPr>
          <w:p w14:paraId="0469578A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Zhendong Li</w:t>
            </w:r>
          </w:p>
        </w:tc>
        <w:tc>
          <w:tcPr>
            <w:tcW w:w="7364" w:type="dxa"/>
            <w:noWrap/>
          </w:tcPr>
          <w:p w14:paraId="58500539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Head and Neck Surgery, Liaoning Cancer Hospital and Institute, Shenyang, China</w:t>
            </w:r>
          </w:p>
        </w:tc>
      </w:tr>
      <w:tr w:rsidR="00D848EA" w:rsidRPr="00606317" w14:paraId="64050D7D" w14:textId="77777777" w:rsidTr="00704D93">
        <w:trPr>
          <w:trHeight w:val="280"/>
        </w:trPr>
        <w:tc>
          <w:tcPr>
            <w:tcW w:w="1696" w:type="dxa"/>
            <w:noWrap/>
          </w:tcPr>
          <w:p w14:paraId="4826A0C9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Yizhuang Cheng</w:t>
            </w:r>
          </w:p>
        </w:tc>
        <w:tc>
          <w:tcPr>
            <w:tcW w:w="7364" w:type="dxa"/>
            <w:noWrap/>
          </w:tcPr>
          <w:p w14:paraId="0CF311F8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Nuclear Medicine, The First Affiliated Hospital of Universtiy of Science and Technoloy of China, Hefei, China</w:t>
            </w:r>
          </w:p>
        </w:tc>
      </w:tr>
      <w:tr w:rsidR="00D848EA" w:rsidRPr="00606317" w14:paraId="497EB85C" w14:textId="77777777" w:rsidTr="00704D93">
        <w:trPr>
          <w:trHeight w:val="280"/>
        </w:trPr>
        <w:tc>
          <w:tcPr>
            <w:tcW w:w="1696" w:type="dxa"/>
            <w:noWrap/>
          </w:tcPr>
          <w:p w14:paraId="30E36FAB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Shangtong Lei</w:t>
            </w:r>
          </w:p>
        </w:tc>
        <w:tc>
          <w:tcPr>
            <w:tcW w:w="7364" w:type="dxa"/>
            <w:noWrap/>
          </w:tcPr>
          <w:p w14:paraId="203FC53F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General Surgery, Nanfang Hospital, Southern Medical University, Guangzhou, China</w:t>
            </w:r>
          </w:p>
        </w:tc>
      </w:tr>
      <w:tr w:rsidR="00D848EA" w:rsidRPr="00606317" w14:paraId="1EEAF688" w14:textId="77777777" w:rsidTr="00704D93">
        <w:trPr>
          <w:trHeight w:val="280"/>
        </w:trPr>
        <w:tc>
          <w:tcPr>
            <w:tcW w:w="1696" w:type="dxa"/>
            <w:noWrap/>
          </w:tcPr>
          <w:p w14:paraId="1D737D49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Xia Luan</w:t>
            </w:r>
          </w:p>
        </w:tc>
        <w:tc>
          <w:tcPr>
            <w:tcW w:w="7364" w:type="dxa"/>
            <w:noWrap/>
          </w:tcPr>
          <w:p w14:paraId="729A278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Department of Nuclear Medicine, The Fourth Affiliated Hospital of Harbin Medical </w:t>
            </w: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University, Harbin, China</w:t>
            </w:r>
          </w:p>
        </w:tc>
      </w:tr>
      <w:tr w:rsidR="00D848EA" w:rsidRPr="00606317" w14:paraId="5D1D5481" w14:textId="77777777" w:rsidTr="00704D93">
        <w:trPr>
          <w:trHeight w:val="280"/>
        </w:trPr>
        <w:tc>
          <w:tcPr>
            <w:tcW w:w="1696" w:type="dxa"/>
            <w:noWrap/>
          </w:tcPr>
          <w:p w14:paraId="37007162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Guang Chen</w:t>
            </w:r>
          </w:p>
        </w:tc>
        <w:tc>
          <w:tcPr>
            <w:tcW w:w="7364" w:type="dxa"/>
            <w:noWrap/>
          </w:tcPr>
          <w:p w14:paraId="270A9C5D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Thyroid Surgery, The First Hospital of Jilin University, Changchun, China</w:t>
            </w:r>
          </w:p>
        </w:tc>
      </w:tr>
      <w:tr w:rsidR="00D848EA" w:rsidRPr="00606317" w14:paraId="6CC30E1A" w14:textId="77777777" w:rsidTr="00704D93">
        <w:trPr>
          <w:trHeight w:val="280"/>
        </w:trPr>
        <w:tc>
          <w:tcPr>
            <w:tcW w:w="1696" w:type="dxa"/>
            <w:noWrap/>
          </w:tcPr>
          <w:p w14:paraId="493FC5F5" w14:textId="77777777" w:rsidR="00D848EA" w:rsidRPr="00606317" w:rsidRDefault="00D848EA" w:rsidP="00704D93">
            <w:pPr>
              <w:snapToGrid w:val="0"/>
              <w:spacing w:afterLines="100" w:after="312" w:line="48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Guihua Wang</w:t>
            </w:r>
          </w:p>
        </w:tc>
        <w:tc>
          <w:tcPr>
            <w:tcW w:w="7364" w:type="dxa"/>
            <w:noWrap/>
          </w:tcPr>
          <w:p w14:paraId="2E9A33D4" w14:textId="77777777" w:rsidR="00D848EA" w:rsidRPr="00606317" w:rsidRDefault="00D848EA" w:rsidP="00704D93">
            <w:pPr>
              <w:snapToGrid w:val="0"/>
              <w:spacing w:afterLines="100" w:after="312"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606317">
              <w:rPr>
                <w:rFonts w:ascii="Times New Roman" w:eastAsia="SimSun" w:hAnsi="Times New Roman" w:cs="Times New Roman"/>
                <w:sz w:val="20"/>
                <w:szCs w:val="20"/>
              </w:rPr>
              <w:t>Department of Oncology, Changsha Central Hospital, Changsha, China</w:t>
            </w:r>
          </w:p>
        </w:tc>
      </w:tr>
    </w:tbl>
    <w:p w14:paraId="1200DD3B" w14:textId="77777777" w:rsidR="00D848EA" w:rsidRPr="00606317" w:rsidRDefault="00D848EA" w:rsidP="00D848EA">
      <w:pPr>
        <w:pStyle w:val="Subtitle"/>
        <w:pageBreakBefore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lastRenderedPageBreak/>
        <w:t>Supplementary Appendix Table S2: Tumour responses assessed by IRC according to RECIST 1.1 in the iITT population*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126"/>
        <w:gridCol w:w="1745"/>
        <w:gridCol w:w="969"/>
      </w:tblGrid>
      <w:tr w:rsidR="00D848EA" w:rsidRPr="00606317" w14:paraId="2659910A" w14:textId="77777777" w:rsidTr="00704D93">
        <w:trPr>
          <w:trHeight w:val="485"/>
          <w:tblHeader/>
        </w:trPr>
        <w:tc>
          <w:tcPr>
            <w:tcW w:w="233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633D58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D94A07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  <w:t>Donafenib (</w:t>
            </w:r>
            <w:r w:rsidRPr="00606317">
              <w:rPr>
                <w:rFonts w:ascii="Times New Roman" w:eastAsia="SimHei" w:hAnsi="Times New Roman" w:cs="Times New Roman"/>
                <w:b/>
                <w:i/>
                <w:iCs/>
                <w:snapToGrid w:val="0"/>
                <w:sz w:val="16"/>
                <w:szCs w:val="16"/>
              </w:rPr>
              <w:t>n</w:t>
            </w:r>
            <w:r w:rsidRPr="00606317"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  <w:t>=120)</w:t>
            </w:r>
          </w:p>
        </w:tc>
        <w:tc>
          <w:tcPr>
            <w:tcW w:w="96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9DD0D6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  <w:t xml:space="preserve">Placebo </w:t>
            </w:r>
            <w:r w:rsidRPr="00606317">
              <w:rPr>
                <w:rFonts w:ascii="Times New Roman" w:eastAsia="SimHei" w:hAnsi="Times New Roman" w:cs="Times New Roman"/>
                <w:b/>
                <w:iCs/>
                <w:snapToGrid w:val="0"/>
                <w:sz w:val="16"/>
                <w:szCs w:val="16"/>
              </w:rPr>
              <w:t>(</w:t>
            </w:r>
            <w:r w:rsidRPr="00606317">
              <w:rPr>
                <w:rFonts w:ascii="Times New Roman" w:eastAsia="SimHei" w:hAnsi="Times New Roman" w:cs="Times New Roman"/>
                <w:b/>
                <w:i/>
                <w:snapToGrid w:val="0"/>
                <w:sz w:val="16"/>
                <w:szCs w:val="16"/>
              </w:rPr>
              <w:t>n</w:t>
            </w:r>
            <w:r w:rsidRPr="00606317">
              <w:rPr>
                <w:rFonts w:ascii="Times New Roman" w:eastAsia="SimHei" w:hAnsi="Times New Roman" w:cs="Times New Roman"/>
                <w:b/>
                <w:iCs/>
                <w:snapToGrid w:val="0"/>
                <w:sz w:val="16"/>
                <w:szCs w:val="16"/>
              </w:rPr>
              <w:t>=58)</w:t>
            </w:r>
          </w:p>
        </w:tc>
        <w:tc>
          <w:tcPr>
            <w:tcW w:w="53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0584B9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p </w:t>
            </w:r>
            <w:r w:rsidRPr="00606317">
              <w:rPr>
                <w:rFonts w:ascii="Times New Roman" w:hAnsi="Times New Roman" w:cs="Times New Roman"/>
                <w:b/>
                <w:sz w:val="16"/>
                <w:szCs w:val="16"/>
              </w:rPr>
              <w:t>value</w:t>
            </w: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†</w:t>
            </w:r>
          </w:p>
        </w:tc>
      </w:tr>
      <w:tr w:rsidR="00D848EA" w:rsidRPr="00606317" w14:paraId="3AEB77A5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DFFA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Best overall response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58D6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E52D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4A6C61A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5B9D06AC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9DA5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Complete response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94C6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5431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1A3AC4C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58A4CDB3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5EDA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Partial response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AA1C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28 (23.3%)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CB95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(1.7%)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2ECF0FF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38FA39ED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42AB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Stable disease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5EE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84 (70.0%)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E111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45 (77.6%)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6361C61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7AB660E7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087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Progressive disease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9E4F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3 (2.5%)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1B2C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11 (19.0%)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57D3FDA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65DFC15E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0867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Not evaluable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24EB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(0.8%)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31FD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(1.7%)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3358847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32CAC62E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2D0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 xml:space="preserve">Not assessed </w:t>
            </w:r>
            <w:r w:rsidRPr="00606317">
              <w:rPr>
                <w:rFonts w:ascii="OTNEJMScalaSansLF" w:eastAsia="OTNEJMScalaSansLF" w:hAnsi="Times New Roman" w:cs="OTNEJMScalaSansLF" w:hint="eastAsia"/>
                <w:kern w:val="0"/>
                <w:sz w:val="16"/>
                <w:szCs w:val="16"/>
              </w:rPr>
              <w:t>§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F603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4 (3.3%)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B91B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</w:tcPr>
          <w:p w14:paraId="68A23B5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</w:tr>
      <w:tr w:rsidR="00D848EA" w:rsidRPr="00606317" w14:paraId="43D5BFB0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1A33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Objective response rate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E1F1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28 (23.3%)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A6C3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(1.7%)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7990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0.0002</w:t>
            </w:r>
          </w:p>
        </w:tc>
      </w:tr>
      <w:tr w:rsidR="00D848EA" w:rsidRPr="00606317" w14:paraId="7B7F7618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7943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Disease control rate (partial response plus stable disease for ≥6 weeks)</w:t>
            </w: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E9EB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112 (93.3%)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B6896" w14:textId="77777777" w:rsidR="00D848EA" w:rsidRPr="00606317" w:rsidRDefault="00D848EA" w:rsidP="00704D93">
            <w:pPr>
              <w:keepNext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46 (79.3%)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80C5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0.0044</w:t>
            </w:r>
          </w:p>
        </w:tc>
      </w:tr>
      <w:tr w:rsidR="00D848EA" w:rsidRPr="00606317" w14:paraId="01780744" w14:textId="77777777" w:rsidTr="00704D93">
        <w:trPr>
          <w:trHeight w:val="387"/>
        </w:trPr>
        <w:tc>
          <w:tcPr>
            <w:tcW w:w="233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E271E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Disease control rate (partial response plus stable disease for ≥6 months) ‡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38761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63 (52.5%)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16717E" w14:textId="77777777" w:rsidR="00D848EA" w:rsidRPr="00606317" w:rsidRDefault="00D848EA" w:rsidP="00704D93">
            <w:pPr>
              <w:keepNext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17 (29.3%)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0CF09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0.0032</w:t>
            </w:r>
          </w:p>
        </w:tc>
      </w:tr>
    </w:tbl>
    <w:p w14:paraId="74BB66C9" w14:textId="77777777" w:rsidR="00D848EA" w:rsidRPr="00606317" w:rsidRDefault="00D848EA" w:rsidP="00D848EA">
      <w:pPr>
        <w:pStyle w:val="Subtitle"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eastAsia="SimHei" w:hAnsi="Times New Roman"/>
          <w:bCs/>
          <w:snapToGrid w:val="0"/>
          <w:sz w:val="20"/>
          <w:szCs w:val="20"/>
        </w:rPr>
        <w:t xml:space="preserve">Data are n (%). </w:t>
      </w:r>
      <w:r w:rsidRPr="00606317">
        <w:rPr>
          <w:rFonts w:ascii="Times New Roman" w:eastAsia="Microsoft YaHei" w:hAnsi="Times New Roman"/>
          <w:sz w:val="20"/>
          <w:szCs w:val="20"/>
        </w:rPr>
        <w:t>iITT=interim i</w:t>
      </w:r>
      <w:r w:rsidRPr="00606317">
        <w:rPr>
          <w:rFonts w:ascii="Times New Roman" w:hAnsi="Times New Roman"/>
          <w:sz w:val="20"/>
          <w:szCs w:val="20"/>
        </w:rPr>
        <w:t>ntention-to-treat.</w:t>
      </w:r>
      <w:r w:rsidRPr="00606317">
        <w:rPr>
          <w:rFonts w:ascii="Times New Roman" w:eastAsia="SimHei" w:hAnsi="Times New Roman"/>
          <w:bCs/>
          <w:snapToGrid w:val="0"/>
          <w:sz w:val="20"/>
          <w:szCs w:val="20"/>
        </w:rPr>
        <w:t xml:space="preserve"> IRC=Independent Review Committee. RECIST=Response Evaluation Criteria in Solid Tumours.</w:t>
      </w:r>
      <w:r w:rsidRPr="00606317">
        <w:rPr>
          <w:rFonts w:ascii="Times New Roman" w:eastAsia="SimHei" w:hAnsi="Times New Roman"/>
          <w:b/>
          <w:bCs/>
          <w:snapToGrid w:val="0"/>
          <w:sz w:val="20"/>
          <w:szCs w:val="20"/>
        </w:rPr>
        <w:t xml:space="preserve"> * </w:t>
      </w:r>
      <w:r w:rsidRPr="00606317">
        <w:rPr>
          <w:rFonts w:ascii="Times New Roman" w:eastAsia="SimHei" w:hAnsi="Times New Roman"/>
          <w:snapToGrid w:val="0"/>
          <w:sz w:val="20"/>
          <w:szCs w:val="20"/>
        </w:rPr>
        <w:t xml:space="preserve">13 patients (8 in donafenib, 5 in placebo) were excluded as they had no post-baseline tumour assessment and were still receiving double-blind treatment at data cutoff. † </w:t>
      </w:r>
      <w:r w:rsidRPr="00606317">
        <w:rPr>
          <w:rFonts w:ascii="Times New Roman" w:eastAsia="SimHei" w:hAnsi="Times New Roman"/>
          <w:i/>
          <w:snapToGrid w:val="0"/>
          <w:sz w:val="20"/>
          <w:szCs w:val="20"/>
        </w:rPr>
        <w:t>p</w:t>
      </w:r>
      <w:r w:rsidRPr="00606317">
        <w:rPr>
          <w:rFonts w:ascii="Times New Roman" w:eastAsia="SimHei" w:hAnsi="Times New Roman"/>
          <w:snapToGrid w:val="0"/>
          <w:sz w:val="20"/>
          <w:szCs w:val="20"/>
        </w:rPr>
        <w:t xml:space="preserve"> value was estimated by the stratified Cochran-Mantel-Haenszel test. ‡ Post-hoc analysis.</w:t>
      </w:r>
      <w:r w:rsidRPr="00606317">
        <w:rPr>
          <w:rFonts w:ascii="OTNEJMScalaSansLF" w:eastAsia="OTNEJMScalaSansLF" w:hAnsi="Times New Roman" w:cs="OTNEJMScalaSansLF" w:hint="eastAsia"/>
          <w:sz w:val="16"/>
          <w:szCs w:val="16"/>
        </w:rPr>
        <w:t xml:space="preserve"> </w:t>
      </w:r>
      <w:r w:rsidRPr="00606317">
        <w:rPr>
          <w:rFonts w:ascii="Times New Roman" w:eastAsia="SimHei" w:hAnsi="Times New Roman" w:hint="eastAsia"/>
          <w:snapToGrid w:val="0"/>
          <w:kern w:val="2"/>
          <w:sz w:val="20"/>
          <w:szCs w:val="20"/>
        </w:rPr>
        <w:t>§</w:t>
      </w:r>
      <w:r w:rsidRPr="00606317">
        <w:rPr>
          <w:rFonts w:ascii="Times New Roman" w:eastAsia="SimHei" w:hAnsi="Times New Roman"/>
          <w:snapToGrid w:val="0"/>
          <w:sz w:val="20"/>
          <w:szCs w:val="20"/>
        </w:rPr>
        <w:t xml:space="preserve"> drop-out before the first assessment</w:t>
      </w:r>
    </w:p>
    <w:p w14:paraId="546317DE" w14:textId="77777777" w:rsidR="00D848EA" w:rsidRPr="00606317" w:rsidRDefault="00D848EA" w:rsidP="00D848EA">
      <w:pPr>
        <w:pStyle w:val="Subtitle"/>
        <w:pageBreakBefore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lastRenderedPageBreak/>
        <w:t>Supplementary Appendix Table S3: Detail of Prior TKIs</w:t>
      </w:r>
    </w:p>
    <w:tbl>
      <w:tblPr>
        <w:tblW w:w="5000" w:type="pct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5119"/>
        <w:gridCol w:w="2168"/>
        <w:gridCol w:w="1783"/>
      </w:tblGrid>
      <w:tr w:rsidR="00D848EA" w:rsidRPr="00606317" w14:paraId="22FC640A" w14:textId="77777777" w:rsidTr="00704D93">
        <w:trPr>
          <w:trHeight w:val="340"/>
          <w:tblHeader/>
        </w:trPr>
        <w:tc>
          <w:tcPr>
            <w:tcW w:w="282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89785C6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</w:pP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7F3ECDF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/>
                <w:iCs/>
                <w:snapToGrid w:val="0"/>
                <w:sz w:val="16"/>
                <w:szCs w:val="16"/>
              </w:rPr>
              <w:t>Donafenib (n=128)</w:t>
            </w:r>
          </w:p>
        </w:tc>
        <w:tc>
          <w:tcPr>
            <w:tcW w:w="98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3D30F3D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b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/>
                <w:iCs/>
                <w:snapToGrid w:val="0"/>
                <w:sz w:val="16"/>
                <w:szCs w:val="16"/>
              </w:rPr>
              <w:t>Placebo (n=63)</w:t>
            </w:r>
          </w:p>
        </w:tc>
      </w:tr>
      <w:tr w:rsidR="00D848EA" w:rsidRPr="00606317" w14:paraId="673204EF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950C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="210" w:hangingChars="131" w:hanging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Prior TKIs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0B6C9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24 (18.8%)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3D86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11 (17.5%)</w:t>
            </w:r>
          </w:p>
        </w:tc>
      </w:tr>
      <w:tr w:rsidR="00D848EA" w:rsidRPr="00606317" w14:paraId="46FF61C5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43B11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Apatinib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AA06B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13 (10.2%)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8E6E9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(1.6%)</w:t>
            </w:r>
          </w:p>
        </w:tc>
      </w:tr>
      <w:tr w:rsidR="00D848EA" w:rsidRPr="00606317" w14:paraId="46A22935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69656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Sorafenib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23DED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5 (3.9%)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EA164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3 (4.8%)</w:t>
            </w:r>
          </w:p>
        </w:tc>
      </w:tr>
      <w:tr w:rsidR="00D848EA" w:rsidRPr="00606317" w14:paraId="1D59632B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3B2B7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Anlotinib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F5DD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3 (2.3%)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401E4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(1.6%)</w:t>
            </w:r>
          </w:p>
        </w:tc>
      </w:tr>
      <w:tr w:rsidR="00D848EA" w:rsidRPr="00606317" w14:paraId="2409ABAF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2C36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Lenvatinib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2C0F3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 (1.6%)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10000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5 (7.9%)</w:t>
            </w:r>
          </w:p>
        </w:tc>
      </w:tr>
      <w:tr w:rsidR="00D848EA" w:rsidRPr="00606317" w14:paraId="1CCF695C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C2E72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Gefitinib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E9C09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(0.8%)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F031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</w:t>
            </w:r>
          </w:p>
        </w:tc>
      </w:tr>
      <w:tr w:rsidR="00D848EA" w:rsidRPr="00606317" w14:paraId="2DBB4914" w14:textId="77777777" w:rsidTr="00704D93">
        <w:trPr>
          <w:trHeight w:val="340"/>
        </w:trPr>
        <w:tc>
          <w:tcPr>
            <w:tcW w:w="282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09B514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Sorafenib+Apatinib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74A51E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0</w:t>
            </w:r>
          </w:p>
        </w:tc>
        <w:tc>
          <w:tcPr>
            <w:tcW w:w="98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EF5C78" w14:textId="77777777" w:rsidR="00D848EA" w:rsidRPr="00606317" w:rsidRDefault="00D848EA" w:rsidP="00704D9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 (1.6%)</w:t>
            </w:r>
          </w:p>
        </w:tc>
      </w:tr>
    </w:tbl>
    <w:p w14:paraId="04EF43CF" w14:textId="77777777" w:rsidR="00D848EA" w:rsidRPr="00606317" w:rsidRDefault="00D848EA" w:rsidP="00D848EA">
      <w:pPr>
        <w:overflowPunct w:val="0"/>
        <w:autoSpaceDE w:val="0"/>
        <w:autoSpaceDN w:val="0"/>
        <w:adjustRightInd w:val="0"/>
        <w:snapToGrid w:val="0"/>
        <w:spacing w:afterLines="100" w:after="312" w:line="480" w:lineRule="auto"/>
        <w:rPr>
          <w:rFonts w:ascii="Times New Roman" w:eastAsia="SimHei" w:hAnsi="Times New Roman" w:cs="Times New Roman"/>
          <w:snapToGrid w:val="0"/>
          <w:sz w:val="20"/>
          <w:szCs w:val="20"/>
        </w:rPr>
      </w:pPr>
      <w:r w:rsidRPr="00606317">
        <w:rPr>
          <w:rFonts w:ascii="Times New Roman" w:eastAsia="SimHei" w:hAnsi="Times New Roman" w:cs="Times New Roman"/>
          <w:snapToGrid w:val="0"/>
          <w:sz w:val="20"/>
          <w:szCs w:val="20"/>
        </w:rPr>
        <w:t>TKI: Tyrosine Kinase Inhibitor</w:t>
      </w:r>
    </w:p>
    <w:p w14:paraId="6A0910DF" w14:textId="77777777" w:rsidR="00D848EA" w:rsidRPr="00606317" w:rsidRDefault="00D848EA" w:rsidP="00D848EA">
      <w:pPr>
        <w:pStyle w:val="Subtitle"/>
        <w:pageBreakBefore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lastRenderedPageBreak/>
        <w:t xml:space="preserve">Supplementary Appendix Table S4: </w:t>
      </w:r>
      <w:r w:rsidRPr="00606317">
        <w:rPr>
          <w:rFonts w:ascii="Times New Roman" w:hAnsi="Times New Roman"/>
          <w:b/>
          <w:snapToGrid w:val="0"/>
          <w:sz w:val="20"/>
          <w:szCs w:val="20"/>
        </w:rPr>
        <w:t>Summary of Treatment-emergent a</w:t>
      </w:r>
      <w:r w:rsidRPr="00606317">
        <w:rPr>
          <w:rFonts w:ascii="Times New Roman" w:hAnsi="Times New Roman"/>
          <w:b/>
          <w:sz w:val="20"/>
          <w:szCs w:val="20"/>
        </w:rPr>
        <w:t>dverse events in double-blind treatment period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5021"/>
        <w:gridCol w:w="2224"/>
        <w:gridCol w:w="1825"/>
      </w:tblGrid>
      <w:tr w:rsidR="00D848EA" w:rsidRPr="00606317" w14:paraId="45390BB6" w14:textId="77777777" w:rsidTr="00704D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8D92F7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bCs w:val="0"/>
                <w:snapToGrid w:val="0"/>
                <w:sz w:val="16"/>
                <w:szCs w:val="16"/>
              </w:rPr>
            </w:pPr>
          </w:p>
        </w:tc>
        <w:tc>
          <w:tcPr>
            <w:tcW w:w="122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EFE32F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Donafenib (n=128)</w:t>
            </w:r>
          </w:p>
        </w:tc>
        <w:tc>
          <w:tcPr>
            <w:tcW w:w="100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F5B54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Placebo (n=63)</w:t>
            </w:r>
          </w:p>
        </w:tc>
      </w:tr>
      <w:tr w:rsidR="00D848EA" w:rsidRPr="00606317" w14:paraId="775137E5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8831C8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left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 xml:space="preserve">Any </w:t>
            </w:r>
            <w:r w:rsidRPr="00606317">
              <w:rPr>
                <w:rFonts w:ascii="Times New Roman" w:eastAsia="SimHei" w:hAnsi="Times New Roman" w:cs="Times New Roman"/>
                <w:b w:val="0"/>
                <w:bCs w:val="0"/>
                <w:snapToGrid w:val="0"/>
                <w:sz w:val="16"/>
                <w:szCs w:val="16"/>
              </w:rPr>
              <w:t>TEAEs</w:t>
            </w:r>
          </w:p>
        </w:tc>
        <w:tc>
          <w:tcPr>
            <w:tcW w:w="1226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8EB72D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127 (99.2%)</w:t>
            </w:r>
          </w:p>
        </w:tc>
        <w:tc>
          <w:tcPr>
            <w:tcW w:w="1006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BA07FB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49 (77.8%)</w:t>
            </w:r>
          </w:p>
        </w:tc>
      </w:tr>
      <w:tr w:rsidR="00D848EA" w:rsidRPr="00606317" w14:paraId="371035DC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DA3BE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>Grade ≥3 TEAEs</w:t>
            </w:r>
          </w:p>
        </w:tc>
        <w:tc>
          <w:tcPr>
            <w:tcW w:w="122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392CE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65 (50.8%)</w:t>
            </w:r>
          </w:p>
        </w:tc>
        <w:tc>
          <w:tcPr>
            <w:tcW w:w="10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7BF91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16 (25.4%)</w:t>
            </w:r>
          </w:p>
        </w:tc>
      </w:tr>
      <w:tr w:rsidR="00D848EA" w:rsidRPr="00606317" w14:paraId="2A6A080C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EF037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>Serious adverse effects</w:t>
            </w:r>
          </w:p>
        </w:tc>
        <w:tc>
          <w:tcPr>
            <w:tcW w:w="122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652EE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29 (22.7%)</w:t>
            </w:r>
          </w:p>
        </w:tc>
        <w:tc>
          <w:tcPr>
            <w:tcW w:w="10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4DD4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12 (19.0%)</w:t>
            </w:r>
          </w:p>
        </w:tc>
      </w:tr>
      <w:tr w:rsidR="00D848EA" w:rsidRPr="00606317" w14:paraId="3F591817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C3759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 xml:space="preserve">TEAEs leading to dose interruption or reduction </w:t>
            </w:r>
          </w:p>
        </w:tc>
        <w:tc>
          <w:tcPr>
            <w:tcW w:w="122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84369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58 (45.3%)</w:t>
            </w:r>
          </w:p>
        </w:tc>
        <w:tc>
          <w:tcPr>
            <w:tcW w:w="10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302DC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7 (11.1%)</w:t>
            </w:r>
          </w:p>
        </w:tc>
      </w:tr>
      <w:tr w:rsidR="00D848EA" w:rsidRPr="00606317" w14:paraId="1B4705D0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FDFA4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>TEAEs leading to discontinuation of treatment</w:t>
            </w:r>
          </w:p>
        </w:tc>
        <w:tc>
          <w:tcPr>
            <w:tcW w:w="122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7854E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12 (9.4%)</w:t>
            </w:r>
          </w:p>
        </w:tc>
        <w:tc>
          <w:tcPr>
            <w:tcW w:w="10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E289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 (3.2%)</w:t>
            </w:r>
          </w:p>
        </w:tc>
      </w:tr>
      <w:tr w:rsidR="00D848EA" w:rsidRPr="00606317" w14:paraId="5BFCC9A8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B6CCD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>TEAEs leading to death</w:t>
            </w:r>
          </w:p>
        </w:tc>
        <w:tc>
          <w:tcPr>
            <w:tcW w:w="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DC0FA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 (1.6%)</w:t>
            </w:r>
          </w:p>
        </w:tc>
        <w:tc>
          <w:tcPr>
            <w:tcW w:w="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50FCB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2 (3.2%)</w:t>
            </w:r>
          </w:p>
        </w:tc>
      </w:tr>
      <w:tr w:rsidR="00D848EA" w:rsidRPr="00606317" w14:paraId="25C316C6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BD11A8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ind w:leftChars="100" w:left="210"/>
              <w:rPr>
                <w:rFonts w:ascii="Times New Roman" w:eastAsia="SimHei" w:hAnsi="Times New Roman" w:cs="Times New Roman"/>
                <w:bCs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  <w:t>TEAEs of special interest*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FF4A25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93 (72.7%)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704948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17 (27.0%)</w:t>
            </w:r>
          </w:p>
        </w:tc>
      </w:tr>
    </w:tbl>
    <w:p w14:paraId="484D7CF3" w14:textId="77777777" w:rsidR="00D848EA" w:rsidRPr="00606317" w:rsidRDefault="00D848EA" w:rsidP="00D848EA">
      <w:pPr>
        <w:overflowPunct w:val="0"/>
        <w:autoSpaceDE w:val="0"/>
        <w:autoSpaceDN w:val="0"/>
        <w:adjustRightInd w:val="0"/>
        <w:snapToGrid w:val="0"/>
        <w:spacing w:afterLines="100" w:after="312" w:line="480" w:lineRule="auto"/>
        <w:rPr>
          <w:rFonts w:ascii="Times New Roman" w:eastAsia="SimHei" w:hAnsi="Times New Roman" w:cs="Times New Roman"/>
          <w:snapToGrid w:val="0"/>
          <w:sz w:val="20"/>
          <w:szCs w:val="20"/>
        </w:rPr>
      </w:pPr>
      <w:r w:rsidRPr="00606317">
        <w:rPr>
          <w:rFonts w:ascii="Times New Roman" w:eastAsia="SimHei" w:hAnsi="Times New Roman" w:cs="Times New Roman"/>
          <w:bCs/>
          <w:snapToGrid w:val="0"/>
          <w:sz w:val="20"/>
          <w:szCs w:val="20"/>
        </w:rPr>
        <w:t xml:space="preserve">Data are n (%). </w:t>
      </w:r>
      <w:r w:rsidRPr="00606317">
        <w:rPr>
          <w:rFonts w:ascii="Times New Roman" w:eastAsia="SimHei" w:hAnsi="Times New Roman" w:cs="Times New Roman"/>
          <w:snapToGrid w:val="0"/>
          <w:sz w:val="20"/>
          <w:szCs w:val="20"/>
        </w:rPr>
        <w:t>TEAT= treatment-emergent adverse events. * Adverse events of special interest (AESI) including hypertension, proteinuria, QT interval prolongation and hemoptysis.</w:t>
      </w:r>
    </w:p>
    <w:p w14:paraId="5FBF5A01" w14:textId="77777777" w:rsidR="00D848EA" w:rsidRPr="00606317" w:rsidRDefault="00D848EA" w:rsidP="00D848EA">
      <w:pPr>
        <w:pStyle w:val="Subtitle"/>
        <w:pageBreakBefore/>
        <w:spacing w:afterLines="100" w:after="312" w:line="480" w:lineRule="auto"/>
        <w:jc w:val="left"/>
        <w:outlineLvl w:val="9"/>
        <w:rPr>
          <w:rFonts w:ascii="Times New Roman" w:hAnsi="Times New Roman"/>
          <w:b/>
          <w:snapToGrid w:val="0"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lastRenderedPageBreak/>
        <w:t xml:space="preserve">Supplementary Appendix Table S5: </w:t>
      </w:r>
      <w:r w:rsidRPr="00606317">
        <w:rPr>
          <w:rFonts w:ascii="Times New Roman" w:hAnsi="Times New Roman"/>
          <w:b/>
          <w:snapToGrid w:val="0"/>
          <w:sz w:val="20"/>
          <w:szCs w:val="20"/>
        </w:rPr>
        <w:t>Treatment-emergent adverse events (incidence ≥10%)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3795"/>
        <w:gridCol w:w="1348"/>
        <w:gridCol w:w="1458"/>
        <w:gridCol w:w="1012"/>
        <w:gridCol w:w="1457"/>
      </w:tblGrid>
      <w:tr w:rsidR="00D848EA" w:rsidRPr="00606317" w14:paraId="126FD5E7" w14:textId="77777777" w:rsidTr="00704D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AECCF8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</w:p>
        </w:tc>
        <w:tc>
          <w:tcPr>
            <w:tcW w:w="1547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9E133F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Donafenib (n=128)</w:t>
            </w:r>
          </w:p>
        </w:tc>
        <w:tc>
          <w:tcPr>
            <w:tcW w:w="1361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F9496F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Placebo (n=63)</w:t>
            </w:r>
          </w:p>
        </w:tc>
      </w:tr>
      <w:tr w:rsidR="00D848EA" w:rsidRPr="00606317" w14:paraId="757185F3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76DA86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4E34F9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All</w:t>
            </w:r>
          </w:p>
        </w:tc>
        <w:tc>
          <w:tcPr>
            <w:tcW w:w="804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F702BB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Grade ≥3</w:t>
            </w:r>
          </w:p>
        </w:tc>
        <w:tc>
          <w:tcPr>
            <w:tcW w:w="55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D49F49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All</w:t>
            </w:r>
          </w:p>
        </w:tc>
        <w:tc>
          <w:tcPr>
            <w:tcW w:w="80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939B21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  <w:t>Grade ≥3</w:t>
            </w:r>
          </w:p>
        </w:tc>
      </w:tr>
      <w:tr w:rsidR="00D848EA" w:rsidRPr="00606317" w14:paraId="448A4BC0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F2CAF9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Hand-foot syndrome</w:t>
            </w:r>
          </w:p>
        </w:tc>
        <w:tc>
          <w:tcPr>
            <w:tcW w:w="743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05823E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108 (84.4%)</w:t>
            </w:r>
          </w:p>
        </w:tc>
        <w:tc>
          <w:tcPr>
            <w:tcW w:w="804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066CAD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16 (12.5%)</w:t>
            </w:r>
          </w:p>
        </w:tc>
        <w:tc>
          <w:tcPr>
            <w:tcW w:w="558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2802CC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3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A42177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370D1BAF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tcBorders>
              <w:top w:val="nil"/>
            </w:tcBorders>
            <w:shd w:val="clear" w:color="auto" w:fill="auto"/>
            <w:vAlign w:val="center"/>
          </w:tcPr>
          <w:p w14:paraId="0888EEB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Alopecia</w:t>
            </w:r>
          </w:p>
        </w:tc>
        <w:tc>
          <w:tcPr>
            <w:tcW w:w="743" w:type="pct"/>
            <w:tcBorders>
              <w:top w:val="nil"/>
            </w:tcBorders>
            <w:shd w:val="clear" w:color="auto" w:fill="auto"/>
            <w:vAlign w:val="center"/>
          </w:tcPr>
          <w:p w14:paraId="083A1CB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86 (67.2%)</w:t>
            </w:r>
          </w:p>
        </w:tc>
        <w:tc>
          <w:tcPr>
            <w:tcW w:w="804" w:type="pct"/>
            <w:tcBorders>
              <w:top w:val="nil"/>
            </w:tcBorders>
            <w:shd w:val="clear" w:color="auto" w:fill="auto"/>
            <w:vAlign w:val="center"/>
          </w:tcPr>
          <w:p w14:paraId="386CBAE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tcBorders>
              <w:top w:val="nil"/>
            </w:tcBorders>
            <w:shd w:val="clear" w:color="auto" w:fill="auto"/>
            <w:vAlign w:val="center"/>
          </w:tcPr>
          <w:p w14:paraId="3E4BE82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3" w:type="pct"/>
            <w:tcBorders>
              <w:top w:val="nil"/>
            </w:tcBorders>
            <w:shd w:val="clear" w:color="auto" w:fill="auto"/>
            <w:vAlign w:val="center"/>
          </w:tcPr>
          <w:p w14:paraId="0115A95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39184696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CEBD63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Diarrhea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4E854EB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83 (64.8%)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6B29F42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(3.1%)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4387AFE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47739B4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2DA9CFD2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7358BBE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Hypertension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2E2CD3A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61 (47.7%)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8C1500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18 (14.1%)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B277DD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(3.2%)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512CF5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B55D780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696652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Proteinuria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32B2ABE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51 (39.8%)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B78D17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508D6A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7 (11.1%)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2F200B1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56DC062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2739568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Weight loss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5DB8DA1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49 (38.3%)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793CA4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(3.1%)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BC2B29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5 (7.9%)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749632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3170085F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E7A5B0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Hypocalcemia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703C77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42 (32.8%)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70897A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8 (6.3%)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FAE663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40950F1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2A60DB41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31FDEE6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Rash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75AF4FE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35 (27.3%)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619998D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C88C82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 (4.8%)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0673FA9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1F28F91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0C81E2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Hypokalemia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7838F02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30 (23.4%)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B62781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4BA5D58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3FCBD2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2AAFB5BF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517A58D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Upper respiratory tract infection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5DAED53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30 (23.4%)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735CCA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05F84B2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12 (19.0%)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2167EB0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8F64677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31DC2A3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Hypophosphatemia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664B706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25 (19.5%)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772491C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0FAA35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 (4.8%)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A59253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(3.2%)</w:t>
            </w:r>
          </w:p>
        </w:tc>
      </w:tr>
      <w:tr w:rsidR="00D848EA" w:rsidRPr="00606317" w14:paraId="5639CBC2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AFA0AA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Anorexia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1576ED0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21 (16.4%)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E6FE8E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646CB1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4E953A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354FE43E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24AB8E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Alanine aminotransferase increased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7A35CB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20 (15.6%)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127BAB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0C31A7E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 (4.8%)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680224E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33255C2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54F3E09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Cough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2AFCA27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19 (14.8%)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8F1178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4216D2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9 (14.3%)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6164CDA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66402E6B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D10E85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Aspartate aminotransferase increased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3CAF1F6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18 (14.1%)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554E11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444B7F4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F5DA2E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15F02B12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4741B44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Urinary tract infection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3EAE203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18 (14.1%)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916098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D78B1C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A48CD1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41CCEC69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39B10AD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Oral mucositis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57FA720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17 (13.3%)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DF5B47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619E47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(1.6%)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7A5FA1B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50028015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D9651A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eastAsia="SimHei" w:hAnsi="Times New Roman" w:cs="Times New Roman"/>
                <w:b w:val="0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lastRenderedPageBreak/>
              <w:t>Fatigue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3AC882B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17 (13.3%)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94C505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FB2347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8 (12.7%)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29317B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44EA5E58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AF877F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Headache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791F7D3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17 (13.3%)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812DD0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6B624BF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64AC66A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457019F8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6E323BB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Nausea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1829F55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15 (11.7%)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CB4AE1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A8792C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(6.3%)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E15CD4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CB23731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78A1136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γ-glutamyltransferase increased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5671A41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15 (11.7%)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60AFF79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9BB414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(1.6%)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7FC3918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DA2B1B7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2BFC1C28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Abnormal liver function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1D0FDB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15 (11.7%)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9A1ADB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4 (3.1%)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A914E3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371BE6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66DEB0A5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35887EB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Abdominal pain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5072060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14 (10.9%)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15E025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4E8C047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(3.2%)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6C93382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7593CEF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82BA0DB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White blood cell decreased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CC6AF2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14 (10.9%)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3D3A2A7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B7C9D2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5 (7.9%)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76A6C82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B4C50CA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358382A7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Hyperuricemia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113814D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14 (10.9%)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F8348B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A89E74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 (4.8%)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777980B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E276698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09C41A8C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Arthralgia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433B131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14 (10.9%)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C578BC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59B37C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3 (4.8%)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EB69964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2C37F5B1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pct"/>
            <w:shd w:val="clear" w:color="auto" w:fill="auto"/>
            <w:vAlign w:val="center"/>
          </w:tcPr>
          <w:p w14:paraId="4897CA2E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Anemia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234356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14 (10.9%)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7F0AEF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(1.6%)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7743230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6 (9.5%)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1FB635BA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79CFE2FD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bottom w:val="nil"/>
            </w:tcBorders>
            <w:shd w:val="clear" w:color="auto" w:fill="auto"/>
            <w:vAlign w:val="center"/>
          </w:tcPr>
          <w:p w14:paraId="79D947F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Platelet count decreased</w:t>
            </w:r>
          </w:p>
        </w:tc>
        <w:tc>
          <w:tcPr>
            <w:tcW w:w="0" w:type="pct"/>
            <w:tcBorders>
              <w:bottom w:val="nil"/>
            </w:tcBorders>
            <w:shd w:val="clear" w:color="auto" w:fill="auto"/>
            <w:vAlign w:val="center"/>
          </w:tcPr>
          <w:p w14:paraId="1FAA9F3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13 (10.2%)</w:t>
            </w:r>
          </w:p>
        </w:tc>
        <w:tc>
          <w:tcPr>
            <w:tcW w:w="0" w:type="pct"/>
            <w:tcBorders>
              <w:bottom w:val="nil"/>
            </w:tcBorders>
            <w:shd w:val="clear" w:color="auto" w:fill="auto"/>
            <w:vAlign w:val="center"/>
          </w:tcPr>
          <w:p w14:paraId="6FAA6B06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(0.8%)</w:t>
            </w:r>
          </w:p>
        </w:tc>
        <w:tc>
          <w:tcPr>
            <w:tcW w:w="0" w:type="pct"/>
            <w:tcBorders>
              <w:bottom w:val="nil"/>
            </w:tcBorders>
            <w:shd w:val="clear" w:color="auto" w:fill="auto"/>
            <w:vAlign w:val="center"/>
          </w:tcPr>
          <w:p w14:paraId="77D8BCE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2 (3.2%)</w:t>
            </w:r>
          </w:p>
        </w:tc>
        <w:tc>
          <w:tcPr>
            <w:tcW w:w="0" w:type="pct"/>
            <w:tcBorders>
              <w:bottom w:val="nil"/>
            </w:tcBorders>
            <w:shd w:val="clear" w:color="auto" w:fill="auto"/>
            <w:vAlign w:val="center"/>
          </w:tcPr>
          <w:p w14:paraId="50D44109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D848EA" w:rsidRPr="00606317" w14:paraId="0E6FF0A5" w14:textId="77777777" w:rsidTr="00704D9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743F341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b w:val="0"/>
                <w:sz w:val="16"/>
                <w:szCs w:val="16"/>
              </w:rPr>
              <w:t>Laryngeal pain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4D7DB75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13 (10.2%)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80ADEFD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4194E53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1 (1.6%)</w:t>
            </w:r>
          </w:p>
        </w:tc>
        <w:tc>
          <w:tcPr>
            <w:tcW w:w="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9DEABC2" w14:textId="77777777" w:rsidR="00D848EA" w:rsidRPr="00606317" w:rsidRDefault="00D848EA" w:rsidP="00704D93">
            <w:pPr>
              <w:overflowPunct w:val="0"/>
              <w:autoSpaceDE w:val="0"/>
              <w:autoSpaceDN w:val="0"/>
              <w:adjustRightInd w:val="0"/>
              <w:snapToGrid w:val="0"/>
              <w:spacing w:afterLines="100" w:after="312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Hei" w:hAnsi="Times New Roman" w:cs="Times New Roman"/>
                <w:snapToGrid w:val="0"/>
                <w:sz w:val="16"/>
                <w:szCs w:val="16"/>
              </w:rPr>
            </w:pPr>
            <w:r w:rsidRPr="0060631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14:paraId="776FA222" w14:textId="77777777" w:rsidR="00D848EA" w:rsidRPr="00606317" w:rsidRDefault="00D848EA" w:rsidP="00D848EA">
      <w:pPr>
        <w:overflowPunct w:val="0"/>
        <w:autoSpaceDE w:val="0"/>
        <w:autoSpaceDN w:val="0"/>
        <w:adjustRightInd w:val="0"/>
        <w:snapToGrid w:val="0"/>
        <w:spacing w:afterLines="100" w:after="312" w:line="480" w:lineRule="auto"/>
        <w:rPr>
          <w:rFonts w:ascii="Times New Roman" w:eastAsia="SimHei" w:hAnsi="Times New Roman" w:cs="Times New Roman"/>
          <w:bCs/>
          <w:snapToGrid w:val="0"/>
          <w:sz w:val="20"/>
          <w:szCs w:val="20"/>
        </w:rPr>
      </w:pPr>
      <w:r w:rsidRPr="00606317">
        <w:rPr>
          <w:rFonts w:ascii="Times New Roman" w:eastAsia="SimHei" w:hAnsi="Times New Roman" w:cs="Times New Roman"/>
          <w:bCs/>
          <w:snapToGrid w:val="0"/>
          <w:sz w:val="20"/>
          <w:szCs w:val="20"/>
        </w:rPr>
        <w:t>Data are n (%).</w:t>
      </w:r>
    </w:p>
    <w:p w14:paraId="10ABFB66" w14:textId="77777777" w:rsidR="00D848EA" w:rsidRPr="00606317" w:rsidRDefault="00D848EA" w:rsidP="00D848EA">
      <w:pPr>
        <w:pStyle w:val="Subtitle"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  <w:sectPr w:rsidR="00D848EA" w:rsidRPr="00606317" w:rsidSect="00D848EA">
          <w:pgSz w:w="11906" w:h="16838"/>
          <w:pgMar w:top="1440" w:right="1418" w:bottom="1440" w:left="1418" w:header="851" w:footer="992" w:gutter="0"/>
          <w:lnNumType w:countBy="1" w:restart="continuous"/>
          <w:cols w:space="425"/>
          <w:docGrid w:type="lines" w:linePitch="312"/>
        </w:sectPr>
      </w:pPr>
    </w:p>
    <w:p w14:paraId="30D83413" w14:textId="77777777" w:rsidR="00D848EA" w:rsidRPr="00047F2F" w:rsidRDefault="00D848EA" w:rsidP="00D848EA">
      <w:pPr>
        <w:pStyle w:val="Subtitle"/>
        <w:spacing w:afterLines="100" w:after="312" w:line="480" w:lineRule="auto"/>
        <w:jc w:val="left"/>
        <w:outlineLvl w:val="9"/>
        <w:rPr>
          <w:rFonts w:ascii="Times New Roman" w:hAnsi="Times New Roman"/>
          <w:b/>
          <w:sz w:val="20"/>
          <w:szCs w:val="20"/>
        </w:rPr>
      </w:pPr>
      <w:r w:rsidRPr="00606317">
        <w:rPr>
          <w:rFonts w:ascii="Times New Roman" w:hAnsi="Times New Roman"/>
          <w:b/>
          <w:sz w:val="20"/>
          <w:szCs w:val="20"/>
        </w:rPr>
        <w:lastRenderedPageBreak/>
        <w:t xml:space="preserve">Supplementary Appendix Figure S1:  </w:t>
      </w:r>
      <w:r w:rsidRPr="00606317">
        <w:rPr>
          <w:rFonts w:ascii="Times New Roman" w:hAnsi="Times New Roman" w:cs="Arial"/>
          <w:b/>
          <w:sz w:val="20"/>
          <w:szCs w:val="20"/>
        </w:rPr>
        <w:t>Changes from baseline in thyroglobulin concentrations in patients at the end of cycle 2</w:t>
      </w:r>
      <w:r w:rsidRPr="00606317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5854A32" wp14:editId="657C0C72">
            <wp:extent cx="5758408" cy="2752436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23"/>
                    <a:stretch/>
                  </pic:blipFill>
                  <pic:spPr bwMode="auto">
                    <a:xfrm>
                      <a:off x="0" y="0"/>
                      <a:ext cx="5780485" cy="276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28355" w14:textId="77777777" w:rsidR="00D848EA" w:rsidRPr="00F85922" w:rsidRDefault="00D848EA" w:rsidP="00D848EA">
      <w:pPr>
        <w:spacing w:afterLines="100" w:after="312" w:line="480" w:lineRule="auto"/>
        <w:rPr>
          <w:rFonts w:ascii="Times New Roman" w:eastAsia="Microsoft YaHei" w:hAnsi="Times New Roman" w:cs="Times New Roman"/>
          <w:b/>
          <w:bCs/>
          <w:sz w:val="20"/>
          <w:szCs w:val="20"/>
        </w:rPr>
      </w:pPr>
      <w:r w:rsidRPr="00606317">
        <w:rPr>
          <w:rFonts w:ascii="Times New Roman" w:eastAsia="SimHei" w:hAnsi="Times New Roman" w:cs="Arial"/>
          <w:bCs/>
          <w:snapToGrid w:val="0"/>
          <w:sz w:val="20"/>
          <w:szCs w:val="20"/>
        </w:rPr>
        <w:t xml:space="preserve">Data are n (%). </w:t>
      </w:r>
      <w:r w:rsidRPr="00606317">
        <w:rPr>
          <w:rFonts w:ascii="Times New Roman" w:hAnsi="Times New Roman" w:cs="Times New Roman"/>
          <w:sz w:val="20"/>
          <w:szCs w:val="20"/>
        </w:rPr>
        <w:t xml:space="preserve">Error bars in (A) are two standard errors. </w:t>
      </w:r>
      <w:r w:rsidRPr="00606317">
        <w:rPr>
          <w:rFonts w:ascii="Times New Roman" w:eastAsia="SimHei" w:hAnsi="Times New Roman" w:cs="Times New Roman"/>
          <w:bCs/>
          <w:snapToGrid w:val="0"/>
          <w:sz w:val="20"/>
          <w:szCs w:val="20"/>
        </w:rPr>
        <w:t>TgAb=</w:t>
      </w:r>
      <w:r w:rsidRPr="00606317">
        <w:rPr>
          <w:rFonts w:ascii="Times New Roman" w:hAnsi="Times New Roman" w:cs="Times New Roman"/>
          <w:sz w:val="20"/>
          <w:szCs w:val="20"/>
        </w:rPr>
        <w:t>thyroglobulin antibody. Total number of patients with negative TgAb at baseline and cycle 2 were 85 (66.4%) and 43 (68.3%) in Donafenib and Placebo group, respectively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A9E0021" w14:textId="77777777" w:rsidR="00000F57" w:rsidRDefault="00D848EA"/>
    <w:sectPr w:rsidR="00000F57" w:rsidSect="00B90FDF">
      <w:pgSz w:w="11906" w:h="16838"/>
      <w:pgMar w:top="1440" w:right="1418" w:bottom="1440" w:left="1418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OTNEJMScalaSansLF">
    <w:altName w:val="Microsoft YaHei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8EA"/>
    <w:rsid w:val="0007695B"/>
    <w:rsid w:val="005615C6"/>
    <w:rsid w:val="005E078B"/>
    <w:rsid w:val="00781D71"/>
    <w:rsid w:val="007D4061"/>
    <w:rsid w:val="008B4EED"/>
    <w:rsid w:val="00B03778"/>
    <w:rsid w:val="00CD1A17"/>
    <w:rsid w:val="00D848EA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93CB1"/>
  <w15:chartTrackingRefBased/>
  <w15:docId w15:val="{078B14B2-2FD9-42B7-BE7B-5579CCE22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8EA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D848EA"/>
    <w:pPr>
      <w:widowControl/>
      <w:spacing w:after="60"/>
      <w:jc w:val="center"/>
      <w:outlineLvl w:val="1"/>
    </w:pPr>
    <w:rPr>
      <w:rFonts w:asciiTheme="majorHAnsi" w:eastAsiaTheme="majorEastAsia" w:hAnsiTheme="majorHAnsi" w:cs="Times New Roman"/>
      <w:kern w:val="0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D848EA"/>
    <w:rPr>
      <w:rFonts w:asciiTheme="majorHAnsi" w:eastAsiaTheme="majorEastAsia" w:hAnsiTheme="majorHAnsi" w:cs="Times New Roman"/>
      <w:szCs w:val="24"/>
      <w:lang w:eastAsia="zh-CN"/>
    </w:rPr>
  </w:style>
  <w:style w:type="table" w:styleId="TableGrid">
    <w:name w:val="Table Grid"/>
    <w:basedOn w:val="TableNormal"/>
    <w:uiPriority w:val="39"/>
    <w:qFormat/>
    <w:rsid w:val="00D848EA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TableNormal"/>
    <w:uiPriority w:val="42"/>
    <w:qFormat/>
    <w:rsid w:val="00D848EA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84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1167</Words>
  <Characters>6658</Characters>
  <Application>Microsoft Office Word</Application>
  <DocSecurity>0</DocSecurity>
  <Lines>55</Lines>
  <Paragraphs>15</Paragraphs>
  <ScaleCrop>false</ScaleCrop>
  <Company>Springer Nature</Company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2022-10-19T05:38:00Z</dcterms:created>
  <dcterms:modified xsi:type="dcterms:W3CDTF">2022-10-19T05:38:00Z</dcterms:modified>
</cp:coreProperties>
</file>