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2BE8" w:rsidRDefault="00D97D3F">
      <w:pPr>
        <w:jc w:val="center"/>
        <w:rPr>
          <w:rFonts w:ascii="Times New Roman" w:hAnsi="Times New Roman"/>
          <w:b/>
          <w:color w:val="000000" w:themeColor="text1"/>
          <w:sz w:val="32"/>
          <w:szCs w:val="44"/>
        </w:rPr>
      </w:pPr>
      <w:bookmarkStart w:id="0" w:name="_Hlk95940339"/>
      <w:bookmarkEnd w:id="0"/>
      <w:r>
        <w:rPr>
          <w:rFonts w:ascii="Times New Roman" w:hAnsi="Times New Roman"/>
          <w:b/>
          <w:color w:val="000000" w:themeColor="text1"/>
          <w:sz w:val="32"/>
          <w:szCs w:val="44"/>
        </w:rPr>
        <w:t>Supporting Information</w:t>
      </w:r>
    </w:p>
    <w:p w:rsidR="005D2BE8" w:rsidRDefault="005D2BE8">
      <w:pPr>
        <w:jc w:val="center"/>
        <w:rPr>
          <w:rFonts w:ascii="Times New Roman" w:hAnsi="Times New Roman"/>
          <w:b/>
          <w:color w:val="000000" w:themeColor="text1"/>
          <w:sz w:val="32"/>
          <w:szCs w:val="44"/>
        </w:rPr>
      </w:pPr>
    </w:p>
    <w:p w:rsidR="005D2BE8" w:rsidRDefault="00D97D3F">
      <w:pPr>
        <w:pStyle w:val="Title2"/>
        <w:spacing w:line="360" w:lineRule="auto"/>
        <w:jc w:val="center"/>
        <w:rPr>
          <w:rFonts w:eastAsiaTheme="minorEastAsia"/>
          <w:color w:val="000000" w:themeColor="text1"/>
          <w:lang w:eastAsia="zh-CN"/>
        </w:rPr>
      </w:pPr>
      <w:r>
        <w:rPr>
          <w:rFonts w:eastAsia="宋体"/>
          <w:i/>
          <w:iCs/>
          <w:color w:val="000000"/>
          <w:sz w:val="32"/>
          <w:szCs w:val="28"/>
          <w:lang w:eastAsia="zh-CN"/>
        </w:rPr>
        <w:t>In vivo</w:t>
      </w:r>
      <w:r>
        <w:rPr>
          <w:rFonts w:eastAsia="宋体"/>
          <w:iCs/>
          <w:color w:val="000000"/>
          <w:sz w:val="32"/>
          <w:szCs w:val="28"/>
          <w:lang w:eastAsia="zh-CN"/>
        </w:rPr>
        <w:t xml:space="preserve"> bioluminescence imaging of natural bacteria </w:t>
      </w:r>
      <w:r>
        <w:rPr>
          <w:rFonts w:eastAsia="宋体"/>
          <w:i/>
          <w:iCs/>
          <w:color w:val="000000"/>
          <w:sz w:val="32"/>
          <w:szCs w:val="28"/>
          <w:lang w:eastAsia="zh-CN"/>
        </w:rPr>
        <w:t>via</w:t>
      </w:r>
      <w:r>
        <w:rPr>
          <w:rFonts w:eastAsia="宋体"/>
          <w:iCs/>
          <w:color w:val="000000"/>
          <w:sz w:val="32"/>
          <w:szCs w:val="28"/>
          <w:lang w:eastAsia="zh-CN"/>
        </w:rPr>
        <w:t xml:space="preserve"> ATP-binding cassette sugar transporter</w:t>
      </w:r>
    </w:p>
    <w:p w:rsidR="005D2BE8" w:rsidRDefault="00D97D3F">
      <w:pPr>
        <w:pStyle w:val="AuthorsFull"/>
        <w:spacing w:line="360" w:lineRule="auto"/>
        <w:rPr>
          <w:i w:val="0"/>
          <w:color w:val="000000"/>
        </w:rPr>
      </w:pPr>
      <w:r>
        <w:rPr>
          <w:rFonts w:eastAsia="宋体" w:hint="eastAsia"/>
          <w:i w:val="0"/>
          <w:color w:val="000000"/>
          <w:lang w:eastAsia="zh-CN"/>
        </w:rPr>
        <w:t>Qian</w:t>
      </w:r>
      <w:r>
        <w:rPr>
          <w:rFonts w:eastAsia="宋体"/>
          <w:i w:val="0"/>
          <w:color w:val="000000"/>
          <w:lang w:eastAsia="zh-CN"/>
        </w:rPr>
        <w:t xml:space="preserve"> </w:t>
      </w:r>
      <w:r>
        <w:rPr>
          <w:rFonts w:eastAsia="宋体" w:hint="eastAsia"/>
          <w:i w:val="0"/>
          <w:color w:val="000000"/>
          <w:lang w:eastAsia="zh-CN"/>
        </w:rPr>
        <w:t>Zhang</w:t>
      </w:r>
      <w:r>
        <w:rPr>
          <w:i w:val="0"/>
          <w:color w:val="000000"/>
        </w:rPr>
        <w:t>,</w:t>
      </w:r>
      <w:r>
        <w:rPr>
          <w:i w:val="0"/>
          <w:color w:val="000000"/>
          <w:vertAlign w:val="superscript"/>
        </w:rPr>
        <w:t>1,‡</w:t>
      </w:r>
      <w:r>
        <w:rPr>
          <w:i w:val="0"/>
          <w:color w:val="000000"/>
        </w:rPr>
        <w:t xml:space="preserve"> </w:t>
      </w:r>
      <w:r>
        <w:rPr>
          <w:rFonts w:eastAsia="宋体"/>
          <w:i w:val="0"/>
          <w:color w:val="000000"/>
          <w:lang w:eastAsia="zh-CN"/>
        </w:rPr>
        <w:t>Bin Song,</w:t>
      </w:r>
      <w:r>
        <w:rPr>
          <w:rFonts w:eastAsia="宋体"/>
          <w:i w:val="0"/>
          <w:color w:val="000000"/>
          <w:vertAlign w:val="superscript"/>
          <w:lang w:eastAsia="zh-CN"/>
        </w:rPr>
        <w:t>1,</w:t>
      </w:r>
      <w:r>
        <w:rPr>
          <w:i w:val="0"/>
          <w:color w:val="000000"/>
          <w:vertAlign w:val="superscript"/>
        </w:rPr>
        <w:t>‡</w:t>
      </w:r>
      <w:r>
        <w:rPr>
          <w:rFonts w:eastAsia="宋体"/>
          <w:i w:val="0"/>
          <w:color w:val="000000"/>
          <w:vertAlign w:val="superscript"/>
          <w:lang w:eastAsia="zh-CN"/>
        </w:rPr>
        <w:t xml:space="preserve"> </w:t>
      </w:r>
      <w:proofErr w:type="spellStart"/>
      <w:r>
        <w:rPr>
          <w:rFonts w:eastAsia="宋体"/>
          <w:i w:val="0"/>
          <w:color w:val="000000"/>
          <w:lang w:eastAsia="zh-CN"/>
        </w:rPr>
        <w:t>Yunmin</w:t>
      </w:r>
      <w:proofErr w:type="spellEnd"/>
      <w:r>
        <w:rPr>
          <w:rFonts w:eastAsia="宋体"/>
          <w:i w:val="0"/>
          <w:color w:val="000000"/>
          <w:lang w:eastAsia="zh-CN"/>
        </w:rPr>
        <w:t xml:space="preserve"> Yang</w:t>
      </w:r>
      <w:r>
        <w:rPr>
          <w:i w:val="0"/>
          <w:color w:val="000000"/>
        </w:rPr>
        <w:t>,</w:t>
      </w:r>
      <w:r>
        <w:rPr>
          <w:i w:val="0"/>
          <w:color w:val="000000"/>
          <w:vertAlign w:val="superscript"/>
        </w:rPr>
        <w:t>1,‡</w:t>
      </w:r>
      <w:r>
        <w:rPr>
          <w:rFonts w:eastAsia="宋体"/>
          <w:i w:val="0"/>
          <w:color w:val="000000"/>
          <w:lang w:eastAsia="zh-CN"/>
        </w:rPr>
        <w:t xml:space="preserve"> </w:t>
      </w:r>
      <w:proofErr w:type="spellStart"/>
      <w:r>
        <w:rPr>
          <w:rFonts w:eastAsia="宋体" w:hint="eastAsia"/>
          <w:i w:val="0"/>
          <w:color w:val="000000"/>
          <w:lang w:eastAsia="zh-CN"/>
        </w:rPr>
        <w:t>Ya</w:t>
      </w:r>
      <w:r>
        <w:rPr>
          <w:rFonts w:eastAsia="宋体"/>
          <w:i w:val="0"/>
          <w:color w:val="000000"/>
          <w:lang w:eastAsia="zh-CN"/>
        </w:rPr>
        <w:t>nan</w:t>
      </w:r>
      <w:proofErr w:type="spellEnd"/>
      <w:r>
        <w:rPr>
          <w:rFonts w:eastAsia="宋体"/>
          <w:i w:val="0"/>
          <w:color w:val="000000"/>
          <w:lang w:eastAsia="zh-CN"/>
        </w:rPr>
        <w:t xml:space="preserve"> Xu,</w:t>
      </w:r>
      <w:r>
        <w:rPr>
          <w:rFonts w:eastAsia="宋体"/>
          <w:i w:val="0"/>
          <w:color w:val="000000"/>
          <w:vertAlign w:val="superscript"/>
          <w:lang w:eastAsia="zh-CN"/>
        </w:rPr>
        <w:t xml:space="preserve">1 </w:t>
      </w:r>
      <w:r>
        <w:rPr>
          <w:i w:val="0"/>
          <w:color w:val="000000"/>
        </w:rPr>
        <w:t>Jian Ji,</w:t>
      </w:r>
      <w:r>
        <w:rPr>
          <w:i w:val="0"/>
          <w:color w:val="000000"/>
          <w:vertAlign w:val="superscript"/>
        </w:rPr>
        <w:t>2</w:t>
      </w:r>
      <w:r>
        <w:rPr>
          <w:i w:val="0"/>
          <w:color w:val="000000"/>
        </w:rPr>
        <w:t xml:space="preserve"> Wenjun Cao,</w:t>
      </w:r>
      <w:r>
        <w:rPr>
          <w:i w:val="0"/>
          <w:color w:val="000000"/>
          <w:vertAlign w:val="superscript"/>
        </w:rPr>
        <w:t>2</w:t>
      </w:r>
      <w:r>
        <w:rPr>
          <w:rFonts w:eastAsia="宋体"/>
          <w:i w:val="0"/>
          <w:color w:val="000000"/>
          <w:lang w:eastAsia="zh-CN"/>
        </w:rPr>
        <w:t xml:space="preserve"> </w:t>
      </w:r>
      <w:proofErr w:type="spellStart"/>
      <w:r>
        <w:rPr>
          <w:rFonts w:eastAsia="宋体"/>
          <w:i w:val="0"/>
          <w:color w:val="000000"/>
          <w:lang w:eastAsia="zh-CN"/>
        </w:rPr>
        <w:t>J</w:t>
      </w:r>
      <w:r>
        <w:rPr>
          <w:rFonts w:eastAsia="宋体" w:hint="eastAsia"/>
          <w:i w:val="0"/>
          <w:color w:val="000000"/>
          <w:lang w:eastAsia="zh-CN"/>
        </w:rPr>
        <w:t>ianping</w:t>
      </w:r>
      <w:proofErr w:type="spellEnd"/>
      <w:r>
        <w:rPr>
          <w:rFonts w:eastAsia="宋体"/>
          <w:i w:val="0"/>
          <w:color w:val="000000"/>
          <w:lang w:eastAsia="zh-CN"/>
        </w:rPr>
        <w:t xml:space="preserve"> Lu,</w:t>
      </w:r>
      <w:r>
        <w:rPr>
          <w:rFonts w:eastAsia="宋体"/>
          <w:i w:val="0"/>
          <w:color w:val="000000"/>
          <w:vertAlign w:val="superscript"/>
          <w:lang w:eastAsia="zh-CN"/>
        </w:rPr>
        <w:t>1</w:t>
      </w:r>
      <w:r>
        <w:rPr>
          <w:rFonts w:eastAsia="宋体"/>
          <w:i w:val="0"/>
          <w:color w:val="000000"/>
          <w:lang w:eastAsia="zh-CN"/>
        </w:rPr>
        <w:t xml:space="preserve"> </w:t>
      </w:r>
      <w:proofErr w:type="spellStart"/>
      <w:r>
        <w:rPr>
          <w:rFonts w:eastAsia="宋体"/>
          <w:i w:val="0"/>
          <w:color w:val="000000"/>
          <w:lang w:eastAsia="zh-CN"/>
        </w:rPr>
        <w:t>Jiali</w:t>
      </w:r>
      <w:proofErr w:type="spellEnd"/>
      <w:r>
        <w:rPr>
          <w:rFonts w:eastAsia="宋体"/>
          <w:i w:val="0"/>
          <w:color w:val="000000"/>
          <w:lang w:eastAsia="zh-CN"/>
        </w:rPr>
        <w:t xml:space="preserve"> Ding,</w:t>
      </w:r>
      <w:r>
        <w:rPr>
          <w:rFonts w:eastAsia="宋体"/>
          <w:i w:val="0"/>
          <w:color w:val="000000"/>
          <w:vertAlign w:val="superscript"/>
          <w:lang w:eastAsia="zh-CN"/>
        </w:rPr>
        <w:t>1</w:t>
      </w:r>
      <w:r>
        <w:rPr>
          <w:rFonts w:eastAsia="宋体"/>
          <w:i w:val="0"/>
          <w:color w:val="000000"/>
          <w:lang w:eastAsia="zh-CN"/>
        </w:rPr>
        <w:t xml:space="preserve"> </w:t>
      </w:r>
      <w:proofErr w:type="spellStart"/>
      <w:r>
        <w:rPr>
          <w:rFonts w:eastAsia="宋体"/>
          <w:i w:val="0"/>
          <w:color w:val="000000"/>
          <w:lang w:eastAsia="zh-CN"/>
        </w:rPr>
        <w:t>Haiting</w:t>
      </w:r>
      <w:proofErr w:type="spellEnd"/>
      <w:r>
        <w:rPr>
          <w:rFonts w:eastAsia="宋体"/>
          <w:i w:val="0"/>
          <w:color w:val="000000"/>
          <w:lang w:eastAsia="zh-CN"/>
        </w:rPr>
        <w:t xml:space="preserve"> Cao,</w:t>
      </w:r>
      <w:r>
        <w:rPr>
          <w:rFonts w:eastAsia="宋体"/>
          <w:i w:val="0"/>
          <w:color w:val="000000"/>
          <w:vertAlign w:val="superscript"/>
          <w:lang w:eastAsia="zh-CN"/>
        </w:rPr>
        <w:t>1</w:t>
      </w:r>
      <w:r>
        <w:rPr>
          <w:rFonts w:eastAsia="宋体"/>
          <w:i w:val="0"/>
          <w:color w:val="000000"/>
          <w:lang w:eastAsia="zh-CN"/>
        </w:rPr>
        <w:t xml:space="preserve"> </w:t>
      </w:r>
      <w:proofErr w:type="spellStart"/>
      <w:r>
        <w:rPr>
          <w:rFonts w:eastAsia="宋体"/>
          <w:i w:val="0"/>
          <w:color w:val="000000"/>
          <w:lang w:eastAsia="zh-CN"/>
        </w:rPr>
        <w:t>Binbin</w:t>
      </w:r>
      <w:proofErr w:type="spellEnd"/>
      <w:r>
        <w:rPr>
          <w:rFonts w:eastAsia="宋体"/>
          <w:i w:val="0"/>
          <w:color w:val="000000"/>
          <w:lang w:eastAsia="zh-CN"/>
        </w:rPr>
        <w:t xml:space="preserve"> Chu,</w:t>
      </w:r>
      <w:r>
        <w:rPr>
          <w:rFonts w:eastAsia="宋体"/>
          <w:i w:val="0"/>
          <w:color w:val="000000"/>
          <w:vertAlign w:val="superscript"/>
          <w:lang w:eastAsia="zh-CN"/>
        </w:rPr>
        <w:t>1</w:t>
      </w:r>
      <w:r>
        <w:rPr>
          <w:rFonts w:eastAsia="宋体"/>
          <w:i w:val="0"/>
          <w:color w:val="000000"/>
          <w:lang w:eastAsia="zh-CN"/>
        </w:rPr>
        <w:t xml:space="preserve"> </w:t>
      </w:r>
      <w:bookmarkStart w:id="1" w:name="_Hlk92878211"/>
      <w:proofErr w:type="spellStart"/>
      <w:r>
        <w:rPr>
          <w:rFonts w:eastAsia="DengXian"/>
          <w:i w:val="0"/>
          <w:lang w:eastAsia="zh-CN"/>
        </w:rPr>
        <w:t>Jiaxu</w:t>
      </w:r>
      <w:proofErr w:type="spellEnd"/>
      <w:r>
        <w:rPr>
          <w:rFonts w:eastAsia="DengXian"/>
          <w:i w:val="0"/>
          <w:lang w:eastAsia="zh-CN"/>
        </w:rPr>
        <w:t xml:space="preserve"> Hong,</w:t>
      </w:r>
      <w:bookmarkEnd w:id="1"/>
      <w:r>
        <w:rPr>
          <w:rFonts w:eastAsia="DengXian"/>
          <w:i w:val="0"/>
          <w:vertAlign w:val="superscript"/>
          <w:lang w:eastAsia="zh-CN"/>
        </w:rPr>
        <w:t>2,</w:t>
      </w:r>
      <w:r>
        <w:rPr>
          <w:i w:val="0"/>
          <w:vertAlign w:val="superscript"/>
        </w:rPr>
        <w:t xml:space="preserve">* </w:t>
      </w:r>
      <w:proofErr w:type="spellStart"/>
      <w:r>
        <w:rPr>
          <w:i w:val="0"/>
          <w:color w:val="000000"/>
        </w:rPr>
        <w:t>Houyu</w:t>
      </w:r>
      <w:proofErr w:type="spellEnd"/>
      <w:r>
        <w:rPr>
          <w:i w:val="0"/>
          <w:color w:val="000000"/>
        </w:rPr>
        <w:t xml:space="preserve"> Wang</w:t>
      </w:r>
      <w:r>
        <w:rPr>
          <w:rFonts w:eastAsia="宋体"/>
          <w:i w:val="0"/>
          <w:color w:val="000000"/>
          <w:vertAlign w:val="superscript"/>
          <w:lang w:eastAsia="zh-CN"/>
        </w:rPr>
        <w:t>1,</w:t>
      </w:r>
      <w:r>
        <w:rPr>
          <w:i w:val="0"/>
          <w:color w:val="000000"/>
          <w:vertAlign w:val="superscript"/>
        </w:rPr>
        <w:t>*</w:t>
      </w:r>
      <w:r>
        <w:rPr>
          <w:rFonts w:eastAsia="宋体"/>
          <w:i w:val="0"/>
          <w:color w:val="000000"/>
          <w:lang w:eastAsia="zh-CN"/>
        </w:rPr>
        <w:t xml:space="preserve"> </w:t>
      </w:r>
      <w:r>
        <w:rPr>
          <w:i w:val="0"/>
          <w:color w:val="000000"/>
        </w:rPr>
        <w:t>&amp; Yao He</w:t>
      </w:r>
      <w:r>
        <w:rPr>
          <w:i w:val="0"/>
          <w:color w:val="000000"/>
          <w:vertAlign w:val="superscript"/>
        </w:rPr>
        <w:t>1,*</w:t>
      </w:r>
    </w:p>
    <w:p w:rsidR="005D2BE8" w:rsidRDefault="00D97D3F">
      <w:pPr>
        <w:pStyle w:val="Addresses"/>
        <w:spacing w:line="360" w:lineRule="auto"/>
        <w:rPr>
          <w:rFonts w:eastAsia="宋体"/>
          <w:color w:val="000000"/>
          <w:lang w:eastAsia="zh-CN"/>
        </w:rPr>
      </w:pPr>
      <w:r>
        <w:rPr>
          <w:rFonts w:eastAsia="宋体"/>
          <w:color w:val="000000"/>
          <w:lang w:eastAsia="zh-CN"/>
        </w:rPr>
        <w:t xml:space="preserve"> </w:t>
      </w:r>
    </w:p>
    <w:p w:rsidR="005D2BE8" w:rsidRDefault="005D2BE8">
      <w:pPr>
        <w:pStyle w:val="Addresses"/>
        <w:spacing w:line="360" w:lineRule="auto"/>
        <w:rPr>
          <w:rFonts w:eastAsia="宋体"/>
          <w:color w:val="000000"/>
          <w:lang w:eastAsia="zh-CN"/>
        </w:rPr>
      </w:pPr>
    </w:p>
    <w:p w:rsidR="005D2BE8" w:rsidRDefault="00D97D3F">
      <w:pPr>
        <w:pStyle w:val="Addresses"/>
        <w:spacing w:line="360" w:lineRule="auto"/>
        <w:jc w:val="both"/>
      </w:pPr>
      <w:r>
        <w:rPr>
          <w:szCs w:val="21"/>
          <w:vertAlign w:val="superscript"/>
        </w:rPr>
        <w:t>1</w:t>
      </w:r>
      <w:r>
        <w:rPr>
          <w:szCs w:val="21"/>
        </w:rPr>
        <w:t>Suzhou Key Laboratory of Nanotechnology and Biomedicine, Institute of Functional Nano &amp; Soft Materials &amp; Collaborative Innovation Center of Suzhou Nano Science and Technology (NANO-CIC)</w:t>
      </w:r>
      <w:r>
        <w:rPr>
          <w:rFonts w:eastAsia="宋体" w:hint="eastAsia"/>
          <w:lang w:eastAsia="zh-CN"/>
        </w:rPr>
        <w:t xml:space="preserve">, </w:t>
      </w:r>
      <w:r>
        <w:t>Soochow University, Suzhou 215123, China</w:t>
      </w:r>
    </w:p>
    <w:p w:rsidR="005D2BE8" w:rsidRDefault="005D2BE8">
      <w:pPr>
        <w:pStyle w:val="Addresses"/>
        <w:spacing w:line="360" w:lineRule="auto"/>
        <w:jc w:val="both"/>
        <w:rPr>
          <w:vertAlign w:val="superscript"/>
        </w:rPr>
      </w:pPr>
    </w:p>
    <w:p w:rsidR="005D2BE8" w:rsidRDefault="00D97D3F">
      <w:pPr>
        <w:pStyle w:val="Addresses"/>
        <w:spacing w:line="360" w:lineRule="auto"/>
        <w:jc w:val="both"/>
        <w:rPr>
          <w:lang w:eastAsia="zh-CN"/>
        </w:rPr>
      </w:pPr>
      <w:r>
        <w:rPr>
          <w:vertAlign w:val="superscript"/>
        </w:rPr>
        <w:t>2</w:t>
      </w:r>
      <w:r>
        <w:t xml:space="preserve">Department of Ophthalmology and Vision Science, Shanghai Eye, Ear, Nose and Throat Hospital, Fudan University, Shanghai, China. </w:t>
      </w:r>
    </w:p>
    <w:p w:rsidR="005D2BE8" w:rsidRDefault="005D2BE8">
      <w:pPr>
        <w:pStyle w:val="Addresses"/>
        <w:spacing w:line="360" w:lineRule="auto"/>
        <w:jc w:val="both"/>
      </w:pPr>
    </w:p>
    <w:p w:rsidR="005D2BE8" w:rsidRDefault="00D97D3F">
      <w:pPr>
        <w:pStyle w:val="Addresses"/>
        <w:spacing w:line="360" w:lineRule="auto"/>
      </w:pPr>
      <w:r>
        <w:t>*Corresponding authors. Email: jiaxu.hong@fdeent.org; houyuwang@suda.edu.cn; yaohe@suda.edu.cn</w:t>
      </w:r>
    </w:p>
    <w:p w:rsidR="005D2BE8" w:rsidRDefault="005D2BE8">
      <w:pPr>
        <w:pStyle w:val="Addresses"/>
        <w:spacing w:line="360" w:lineRule="auto"/>
        <w:rPr>
          <w:lang w:val="de-DE" w:eastAsia="zh-CN"/>
        </w:rPr>
      </w:pPr>
    </w:p>
    <w:p w:rsidR="005D2BE8" w:rsidRDefault="00D97D3F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vertAlign w:val="superscript"/>
        </w:rPr>
        <w:t>‡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These authors contributed equally.</w:t>
      </w: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D97D3F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5D2BE8" w:rsidRDefault="005D2BE8">
      <w:pPr>
        <w:widowControl/>
        <w:jc w:val="left"/>
        <w:rPr>
          <w:color w:val="000000" w:themeColor="text1"/>
        </w:rPr>
      </w:pPr>
    </w:p>
    <w:p w:rsidR="005D2BE8" w:rsidRDefault="00D97D3F">
      <w:pPr>
        <w:spacing w:line="360" w:lineRule="auto"/>
        <w:jc w:val="left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Calculation of FRET efficiency and BRET ratio. </w:t>
      </w:r>
    </w:p>
    <w:p w:rsidR="005D2BE8" w:rsidRDefault="00D97D3F">
      <w:pPr>
        <w:spacing w:line="360" w:lineRule="auto"/>
        <w:ind w:firstLineChars="100" w:firstLine="24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FRET efficiencies between Cy5 and ICG in GP-Si-BPs were calculated according to the following equation: </w:t>
      </w:r>
    </w:p>
    <w:p w:rsidR="005D2BE8" w:rsidRDefault="00D97D3F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E=1-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F'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/</m:t>
        </m:r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w:bookmarkStart w:id="2" w:name="OLE_LINK1"/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  <w:bookmarkEnd w:id="2"/>
          </m:sub>
        </m:sSub>
      </m:oMath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(1)</w:t>
      </w:r>
    </w:p>
    <w:p w:rsidR="005D2BE8" w:rsidRDefault="00D97D3F">
      <w:pPr>
        <w:spacing w:line="360" w:lineRule="auto"/>
        <w:ind w:firstLineChars="100" w:firstLine="24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F'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sub>
        </m:sSub>
      </m:oMath>
      <w:r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sub>
        </m:sSub>
      </m:oMath>
      <w:r>
        <w:rPr>
          <w:rFonts w:ascii="Times New Roman" w:hAnsi="Times New Roman"/>
          <w:color w:val="000000" w:themeColor="text1"/>
          <w:sz w:val="24"/>
          <w:szCs w:val="24"/>
        </w:rPr>
        <w:t xml:space="preserve"> were the donor fluorescence intensities with and without an acceptor, respectively. The optimal FRET efficiency between Cy5 and ICG was calculated to be 32% (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Fig. 2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). </w:t>
      </w:r>
    </w:p>
    <w:p w:rsidR="005D2BE8" w:rsidRDefault="00D97D3F">
      <w:pPr>
        <w:spacing w:line="360" w:lineRule="auto"/>
        <w:ind w:firstLineChars="100" w:firstLine="24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Förster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distances (R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0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) of these two steps were also calculated to be 1.03 nm according to the following equations: </w:t>
      </w:r>
    </w:p>
    <w:p w:rsidR="005D2BE8" w:rsidRDefault="00D97D3F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/>
            <w:color w:val="000000" w:themeColor="text1"/>
            <w:sz w:val="24"/>
            <w:szCs w:val="24"/>
          </w:rPr>
          <m:t>J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λ</m:t>
            </m:r>
          </m:e>
        </m:d>
        <m:r>
          <w:rPr>
            <w:rFonts w:ascii="Cambria Math" w:hAnsi="Cambria Math"/>
            <w:color w:val="000000" w:themeColor="text1"/>
            <w:sz w:val="24"/>
            <w:szCs w:val="24"/>
          </w:rPr>
          <m:t>=[</m:t>
        </m:r>
        <m:nary>
          <m:naryPr>
            <m:limLoc m:val="subSup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D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λ</m:t>
                </m:r>
              </m:e>
            </m:d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A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λ</m:t>
                </m:r>
              </m:e>
            </m:d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λ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4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dλ</m:t>
            </m:r>
          </m:e>
        </m:nary>
        <m:r>
          <w:rPr>
            <w:rFonts w:ascii="Cambria Math" w:hAnsi="Cambria Math"/>
            <w:color w:val="000000" w:themeColor="text1"/>
            <w:sz w:val="24"/>
            <w:szCs w:val="24"/>
          </w:rPr>
          <m:t>]/[</m:t>
        </m:r>
        <m:nary>
          <m:naryPr>
            <m:limLoc m:val="subSup"/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naryPr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D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 w:val="24"/>
                    <w:szCs w:val="24"/>
                  </w:rPr>
                  <m:t>λ</m:t>
                </m:r>
              </m:e>
            </m:d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dλ</m:t>
            </m:r>
          </m:e>
        </m:nary>
        <m:r>
          <w:rPr>
            <w:rFonts w:ascii="Cambria Math" w:hAnsi="Cambria Math"/>
            <w:color w:val="000000" w:themeColor="text1"/>
            <w:sz w:val="24"/>
            <w:szCs w:val="24"/>
          </w:rPr>
          <m:t>]</m:t>
        </m:r>
      </m:oMath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(2)</w:t>
      </w:r>
    </w:p>
    <w:p w:rsidR="005D2BE8" w:rsidRDefault="00E8182D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=0.0211[</m:t>
        </m:r>
        <m:sSup>
          <m:sSupPr>
            <m:ctrlPr>
              <w:rPr>
                <w:rFonts w:ascii="Cambria Math" w:hAnsi="Cambria Math"/>
                <w:i/>
                <w:iCs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κ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n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-4</m:t>
            </m:r>
          </m:sup>
        </m:sSup>
        <m:sSub>
          <m:sSub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4"/>
                <w:szCs w:val="24"/>
              </w:rPr>
              <m:t>Φ</m:t>
            </m:r>
          </m:e>
          <m:sub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D</m:t>
            </m:r>
          </m:sub>
        </m:sSub>
        <m:r>
          <w:rPr>
            <w:rFonts w:ascii="Cambria Math" w:hAnsi="Cambria Math"/>
            <w:color w:val="000000" w:themeColor="text1"/>
            <w:sz w:val="24"/>
            <w:szCs w:val="24"/>
          </w:rPr>
          <m:t>J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λ</m:t>
            </m:r>
          </m:e>
        </m:d>
        <m:sSup>
          <m:sSup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]</m:t>
            </m:r>
          </m:e>
          <m:sup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1/6</m:t>
            </m:r>
          </m:sup>
        </m:sSup>
      </m:oMath>
      <w:r w:rsidR="00D97D3F">
        <w:rPr>
          <w:rFonts w:ascii="Times New Roman" w:hAnsi="Times New Roman"/>
          <w:color w:val="000000" w:themeColor="text1"/>
          <w:sz w:val="24"/>
          <w:szCs w:val="24"/>
        </w:rPr>
        <w:t xml:space="preserve">    (3)</w:t>
      </w:r>
    </w:p>
    <w:p w:rsidR="005D2BE8" w:rsidRDefault="00D97D3F">
      <w:pPr>
        <w:spacing w:line="360" w:lineRule="auto"/>
        <w:ind w:firstLineChars="100" w:firstLine="24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where F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D</w:t>
      </w:r>
      <m:oMath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λ</m:t>
            </m:r>
          </m:e>
        </m:d>
      </m:oMath>
      <w:r>
        <w:rPr>
          <w:rFonts w:ascii="Times New Roman" w:hAnsi="Times New Roman"/>
          <w:color w:val="000000" w:themeColor="text1"/>
          <w:sz w:val="24"/>
          <w:szCs w:val="24"/>
        </w:rPr>
        <w:t xml:space="preserve"> was the area-normalized emission spectrum of donor, ε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A</w:t>
      </w:r>
      <m:oMath>
        <m:d>
          <m:dPr>
            <m:ctrlPr>
              <w:rPr>
                <w:rFonts w:ascii="Cambria Math" w:hAnsi="Cambria Math"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4"/>
                <w:szCs w:val="24"/>
              </w:rPr>
              <m:t>λ</m:t>
            </m:r>
          </m:e>
        </m:d>
      </m:oMath>
      <w:r>
        <w:rPr>
          <w:rFonts w:ascii="Times New Roman" w:hAnsi="Times New Roman"/>
          <w:color w:val="000000" w:themeColor="text1"/>
          <w:sz w:val="24"/>
          <w:szCs w:val="24"/>
        </w:rPr>
        <w:t xml:space="preserve"> was the molar absorption spectrum of the acceptor in M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/>
          <w:color w:val="000000" w:themeColor="text1"/>
          <w:sz w:val="24"/>
          <w:szCs w:val="24"/>
        </w:rPr>
        <w:t>cm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 xml:space="preserve">λ </m:t>
        </m:r>
      </m:oMath>
      <w:r>
        <w:rPr>
          <w:rFonts w:ascii="Times New Roman" w:hAnsi="Times New Roman"/>
          <w:color w:val="000000" w:themeColor="text1"/>
          <w:sz w:val="24"/>
          <w:szCs w:val="24"/>
        </w:rPr>
        <w:t xml:space="preserve">was the wavelength in nm, 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</w:rPr>
        <w:t>κ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was orientation factor (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</w:rPr>
        <w:t>κ</w:t>
      </w:r>
      <w:r>
        <w:rPr>
          <w:rFonts w:ascii="Times New Roman" w:hAnsi="Times New Roman"/>
          <w:i/>
          <w:iCs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/>
          <w:color w:val="000000" w:themeColor="text1"/>
          <w:sz w:val="24"/>
          <w:szCs w:val="24"/>
        </w:rPr>
        <w:t>=2/3 due to dynamic averaging donor-acceptor systems), Φ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D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was quantum yield of the donor, and n=1.35 was the refractive index of the surrounding medium. </w:t>
      </w:r>
    </w:p>
    <w:p w:rsidR="005D2BE8" w:rsidRDefault="005D2BE8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D2BE8" w:rsidRDefault="005D2BE8">
      <w:pPr>
        <w:jc w:val="center"/>
        <w:rPr>
          <w:color w:val="000000" w:themeColor="text1"/>
        </w:rPr>
      </w:pPr>
    </w:p>
    <w:p w:rsidR="005D2BE8" w:rsidRDefault="005D2BE8">
      <w:pPr>
        <w:jc w:val="center"/>
        <w:rPr>
          <w:color w:val="000000" w:themeColor="text1"/>
        </w:rPr>
      </w:pPr>
    </w:p>
    <w:p w:rsidR="005D2BE8" w:rsidRDefault="005D2BE8">
      <w:pPr>
        <w:jc w:val="center"/>
        <w:rPr>
          <w:color w:val="000000" w:themeColor="text1"/>
        </w:rPr>
      </w:pPr>
    </w:p>
    <w:p w:rsidR="005D2BE8" w:rsidRDefault="00D97D3F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3418205" cy="2616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9530" cy="261702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tabs>
          <w:tab w:val="left" w:pos="6860"/>
        </w:tabs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Fig</w:t>
      </w: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1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 DLS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analysis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of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SiNPs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GP-Si-Luc and GP-Si-BPs. </w:t>
      </w:r>
      <w:r w:rsidR="00FD601A" w:rsidRPr="00FD601A">
        <w:rPr>
          <w:rFonts w:ascii="Times New Roman" w:hAnsi="Times New Roman"/>
          <w:color w:val="000000" w:themeColor="text1"/>
          <w:sz w:val="24"/>
          <w:szCs w:val="24"/>
        </w:rPr>
        <w:t>Source data are provided as a Source data file.</w:t>
      </w:r>
    </w:p>
    <w:p w:rsidR="005D2BE8" w:rsidRDefault="005D2BE8">
      <w:pPr>
        <w:rPr>
          <w:color w:val="000000" w:themeColor="text1"/>
        </w:rPr>
      </w:pPr>
    </w:p>
    <w:p w:rsidR="005D2BE8" w:rsidRDefault="005D2BE8">
      <w:pPr>
        <w:jc w:val="center"/>
        <w:rPr>
          <w:color w:val="000000" w:themeColor="text1"/>
        </w:rPr>
      </w:pPr>
    </w:p>
    <w:p w:rsidR="005D2BE8" w:rsidRDefault="00D97D3F" w:rsidP="00834E1A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:rsidR="005D2BE8" w:rsidRDefault="005D2BE8">
      <w:pPr>
        <w:jc w:val="center"/>
        <w:rPr>
          <w:color w:val="000000" w:themeColor="text1"/>
        </w:rPr>
      </w:pPr>
    </w:p>
    <w:p w:rsidR="005D2BE8" w:rsidRDefault="00D97D3F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3341370" cy="412051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6691" cy="412715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Fig. 2. SEM images of 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>bac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teria treated with Trojan BLI probes. a, </w:t>
      </w:r>
      <w:r>
        <w:rPr>
          <w:rFonts w:ascii="Times New Roman" w:hAnsi="Times New Roman"/>
          <w:color w:val="000000" w:themeColor="text1"/>
          <w:sz w:val="24"/>
        </w:rPr>
        <w:t xml:space="preserve">SEM images of MRSA or MDR </w:t>
      </w:r>
      <w:r>
        <w:rPr>
          <w:rFonts w:ascii="Times New Roman" w:hAnsi="Times New Roman"/>
          <w:i/>
          <w:iCs/>
          <w:color w:val="000000" w:themeColor="text1"/>
          <w:sz w:val="24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treated by PBS (control), 0.06 mM of Si-BPs or GP-Si-BPs at 37 </w:t>
      </w:r>
      <w:proofErr w:type="spellStart"/>
      <w:r>
        <w:rPr>
          <w:rFonts w:ascii="Times New Roman" w:hAnsi="Times New Roman"/>
          <w:color w:val="000000" w:themeColor="text1"/>
          <w:sz w:val="24"/>
          <w:vertAlign w:val="superscript"/>
        </w:rPr>
        <w:t>o</w:t>
      </w:r>
      <w:r>
        <w:rPr>
          <w:rFonts w:ascii="Times New Roman" w:hAnsi="Times New Roman"/>
          <w:color w:val="000000" w:themeColor="text1"/>
          <w:sz w:val="24"/>
        </w:rPr>
        <w:t>C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for 2.5 h. After incubation, the treated bacteria were rinsed with PBS buffer for several times. </w:t>
      </w:r>
      <w:r>
        <w:rPr>
          <w:rFonts w:ascii="Times New Roman" w:hAnsi="Times New Roman"/>
          <w:b/>
          <w:bCs/>
          <w:color w:val="000000" w:themeColor="text1"/>
          <w:sz w:val="24"/>
        </w:rPr>
        <w:t>b,</w:t>
      </w:r>
      <w:r>
        <w:rPr>
          <w:rFonts w:ascii="Times New Roman" w:hAnsi="Times New Roman"/>
          <w:color w:val="000000" w:themeColor="text1"/>
          <w:sz w:val="24"/>
        </w:rPr>
        <w:t xml:space="preserve"> SEM images of MRSA or MDR </w:t>
      </w:r>
      <w:r>
        <w:rPr>
          <w:rFonts w:ascii="Times New Roman" w:hAnsi="Times New Roman"/>
          <w:i/>
          <w:iCs/>
          <w:color w:val="000000" w:themeColor="text1"/>
          <w:sz w:val="24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treated by PBS (control), 0.06 mM of Si-Luc or GP-Si-Luc at 37 </w:t>
      </w:r>
      <w:proofErr w:type="spellStart"/>
      <w:r>
        <w:rPr>
          <w:rFonts w:ascii="Times New Roman" w:hAnsi="Times New Roman"/>
          <w:color w:val="000000" w:themeColor="text1"/>
          <w:sz w:val="24"/>
          <w:vertAlign w:val="superscript"/>
        </w:rPr>
        <w:t>o</w:t>
      </w:r>
      <w:r>
        <w:rPr>
          <w:rFonts w:ascii="Times New Roman" w:hAnsi="Times New Roman"/>
          <w:color w:val="000000" w:themeColor="text1"/>
          <w:sz w:val="24"/>
        </w:rPr>
        <w:t>C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for 2.5 h. After incubation, the treated bacteria were rinsed with PBS buffer for several times. The bacterial cell concentration was ~1.0 ×10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</w:rPr>
        <w:t xml:space="preserve"> CFU. Scale bars, 200 nm. </w:t>
      </w: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D97D3F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4641850" cy="2440305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3720" cy="244103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>Supplementary Fig. 3.</w:t>
      </w:r>
      <w:r>
        <w:rPr>
          <w:rFonts w:ascii="Times New Roman" w:hAnsi="Times New Roman"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Comparison of ATP contents inside bacteria and outside bacteria determined by ATP assay kit. 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>a</w:t>
      </w:r>
      <w:r>
        <w:rPr>
          <w:rFonts w:ascii="Times New Roman" w:hAnsi="Times New Roman"/>
          <w:bCs/>
          <w:color w:val="000000" w:themeColor="text1"/>
          <w:sz w:val="24"/>
        </w:rPr>
        <w:t xml:space="preserve">, Linear correlation between luminescence intensities and ATP concentrations in ATP kit assay. </w:t>
      </w:r>
      <w:r>
        <w:rPr>
          <w:rFonts w:ascii="Times New Roman" w:hAnsi="Times New Roman" w:hint="eastAsia"/>
          <w:b/>
          <w:bCs/>
          <w:color w:val="000000" w:themeColor="text1"/>
          <w:sz w:val="24"/>
        </w:rPr>
        <w:t>b</w:t>
      </w:r>
      <w:r>
        <w:rPr>
          <w:rFonts w:ascii="Times New Roman" w:hAnsi="Times New Roman"/>
          <w:bCs/>
          <w:color w:val="000000" w:themeColor="text1"/>
          <w:sz w:val="24"/>
        </w:rPr>
        <w:t xml:space="preserve">, Comparison of ATP contents inside MDR </w:t>
      </w:r>
      <w:r>
        <w:rPr>
          <w:rFonts w:ascii="Times New Roman" w:hAnsi="Times New Roman"/>
          <w:bCs/>
          <w:i/>
          <w:color w:val="000000" w:themeColor="text1"/>
          <w:sz w:val="24"/>
        </w:rPr>
        <w:t>E. coli</w:t>
      </w:r>
      <w:r>
        <w:rPr>
          <w:rFonts w:ascii="Times New Roman" w:hAnsi="Times New Roman"/>
          <w:bCs/>
          <w:color w:val="000000" w:themeColor="text1"/>
          <w:sz w:val="24"/>
        </w:rPr>
        <w:t xml:space="preserve"> and outside MDR </w:t>
      </w:r>
      <w:r>
        <w:rPr>
          <w:rFonts w:ascii="Times New Roman" w:hAnsi="Times New Roman"/>
          <w:bCs/>
          <w:i/>
          <w:color w:val="000000" w:themeColor="text1"/>
          <w:sz w:val="24"/>
        </w:rPr>
        <w:t>E. coli</w:t>
      </w:r>
      <w:r>
        <w:rPr>
          <w:rFonts w:ascii="Times New Roman" w:hAnsi="Times New Roman"/>
          <w:bCs/>
          <w:color w:val="000000" w:themeColor="text1"/>
          <w:sz w:val="24"/>
        </w:rPr>
        <w:t xml:space="preserve">. </w:t>
      </w:r>
      <w:r>
        <w:rPr>
          <w:rFonts w:ascii="Times New Roman" w:hAnsi="Times New Roman"/>
          <w:color w:val="000000" w:themeColor="text1"/>
          <w:sz w:val="24"/>
        </w:rPr>
        <w:t>The bacterial cell concentration was ~1.0 ×10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</w:rPr>
        <w:t xml:space="preserve"> CFU. Statistical analysis was performed using a one-way ANOVA analysis.</w:t>
      </w:r>
      <w:r>
        <w:rPr>
          <w:rFonts w:ascii="Times New Roman" w:hAnsi="Times New Roman" w:hint="eastAsia"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Error bars represent the standard deviation obtained from three independent measurements.</w:t>
      </w:r>
      <w:r w:rsidR="00FD601A" w:rsidRPr="00FD601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D601A" w:rsidRPr="00FD601A">
        <w:rPr>
          <w:rFonts w:ascii="Times New Roman" w:hAnsi="Times New Roman"/>
          <w:color w:val="000000" w:themeColor="text1"/>
          <w:sz w:val="24"/>
          <w:szCs w:val="24"/>
        </w:rPr>
        <w:t>Source data are provided as a Source data file.</w:t>
      </w: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D97D3F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>
            <wp:extent cx="3171825" cy="2487930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4567" cy="249815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Fig. 4. </w:t>
      </w:r>
      <w:r>
        <w:rPr>
          <w:rFonts w:ascii="Times New Roman" w:hAnsi="Times New Roman"/>
          <w:color w:val="000000" w:themeColor="text1"/>
          <w:sz w:val="24"/>
        </w:rPr>
        <w:t xml:space="preserve">Attenuation of the luminescence at 0.06 mM GP-Si-BPs in the presence of 0.06 mM GP-Si-Luc by addition of the ATP inhibitor of </w:t>
      </w:r>
      <w:proofErr w:type="spellStart"/>
      <w:r>
        <w:rPr>
          <w:rFonts w:ascii="Times New Roman" w:hAnsi="Times New Roman"/>
          <w:color w:val="000000" w:themeColor="text1"/>
          <w:sz w:val="24"/>
        </w:rPr>
        <w:t>dicyclohexylcarbodiimide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(DCC). All imaging experiments were repeated three times with similar results. Error bars represent the standard deviation obtained from three independent measurements.</w:t>
      </w:r>
      <w:r w:rsidR="00440B24">
        <w:rPr>
          <w:rFonts w:ascii="Times New Roman" w:hAnsi="Times New Roman"/>
          <w:color w:val="000000" w:themeColor="text1"/>
          <w:sz w:val="24"/>
        </w:rPr>
        <w:t xml:space="preserve"> </w:t>
      </w:r>
      <w:r w:rsidR="00440B24" w:rsidRPr="00FD601A">
        <w:rPr>
          <w:rFonts w:ascii="Times New Roman" w:hAnsi="Times New Roman"/>
          <w:color w:val="000000" w:themeColor="text1"/>
          <w:sz w:val="24"/>
          <w:szCs w:val="24"/>
        </w:rPr>
        <w:t>Source data are provided as a Source data file.</w:t>
      </w:r>
    </w:p>
    <w:p w:rsidR="005D2BE8" w:rsidRDefault="005D2BE8">
      <w:pPr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5D2BE8">
      <w:pPr>
        <w:rPr>
          <w:color w:val="000000" w:themeColor="text1"/>
        </w:rPr>
      </w:pPr>
    </w:p>
    <w:p w:rsidR="005D2BE8" w:rsidRDefault="00D97D3F">
      <w:pPr>
        <w:jc w:val="center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2947670" cy="5704205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246" cy="572157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bookmarkStart w:id="3" w:name="_Hlk112443274"/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Fig. 5. Quantification curves of GP, Cy5, ICG, D-Luciferin and Luciferase. a, </w:t>
      </w:r>
      <w:r>
        <w:rPr>
          <w:rFonts w:ascii="Times New Roman" w:hAnsi="Times New Roman"/>
          <w:color w:val="000000" w:themeColor="text1"/>
          <w:sz w:val="24"/>
        </w:rPr>
        <w:t xml:space="preserve">UV-vis absorption spectra of GP with various concentrations ranged from 20 to 100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μg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mL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-1 </w:t>
      </w:r>
      <w:r>
        <w:rPr>
          <w:rFonts w:ascii="Times New Roman" w:hAnsi="Times New Roman"/>
          <w:color w:val="000000" w:themeColor="text1"/>
          <w:sz w:val="24"/>
        </w:rPr>
        <w:t>and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corresponding calibration curve.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b, </w:t>
      </w:r>
      <w:r>
        <w:rPr>
          <w:rFonts w:ascii="Times New Roman" w:hAnsi="Times New Roman"/>
          <w:color w:val="000000" w:themeColor="text1"/>
          <w:sz w:val="24"/>
        </w:rPr>
        <w:t xml:space="preserve">UV-vis absorption spectra of Cy5 with various concentrations ranged from 2 to 10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μg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mL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-1 </w:t>
      </w:r>
      <w:r>
        <w:rPr>
          <w:rFonts w:ascii="Times New Roman" w:hAnsi="Times New Roman"/>
          <w:color w:val="000000" w:themeColor="text1"/>
          <w:sz w:val="24"/>
        </w:rPr>
        <w:t>and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corresponding calibration curve.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c, </w:t>
      </w:r>
      <w:r>
        <w:rPr>
          <w:rFonts w:ascii="Times New Roman" w:hAnsi="Times New Roman"/>
          <w:color w:val="000000" w:themeColor="text1"/>
          <w:sz w:val="24"/>
        </w:rPr>
        <w:t xml:space="preserve">UV-vis absorption spectra of ICG with various concentrations ranged from 2 to 10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μg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mL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-1</w:t>
      </w:r>
      <w:r>
        <w:rPr>
          <w:rFonts w:ascii="Times New Roman" w:hAnsi="Times New Roman"/>
          <w:color w:val="000000" w:themeColor="text1"/>
          <w:sz w:val="24"/>
        </w:rPr>
        <w:t xml:space="preserve"> and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corresponding calibration curve. 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d, </w:t>
      </w:r>
      <w:r>
        <w:rPr>
          <w:rFonts w:ascii="Times New Roman" w:hAnsi="Times New Roman"/>
          <w:color w:val="000000" w:themeColor="text1"/>
          <w:sz w:val="24"/>
        </w:rPr>
        <w:t xml:space="preserve">UV-vis absorption spectra of D-luciferin with various concentrations ranged from 10 to 100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μg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mL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-1</w:t>
      </w:r>
      <w:r>
        <w:rPr>
          <w:rFonts w:ascii="Times New Roman" w:hAnsi="Times New Roman"/>
          <w:color w:val="000000" w:themeColor="text1"/>
          <w:sz w:val="24"/>
        </w:rPr>
        <w:t xml:space="preserve"> and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corresponding calibration curve. 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e, </w:t>
      </w:r>
      <w:r>
        <w:rPr>
          <w:rFonts w:ascii="Times New Roman" w:hAnsi="Times New Roman"/>
          <w:color w:val="000000" w:themeColor="text1"/>
          <w:sz w:val="24"/>
        </w:rPr>
        <w:t>Calibration curve of luciferase protein using the BCA assay. Error bars represent the standard deviation obtained from three independent measurements.</w:t>
      </w:r>
      <w:bookmarkEnd w:id="3"/>
      <w:r w:rsidR="00440B24">
        <w:rPr>
          <w:rFonts w:ascii="Times New Roman" w:hAnsi="Times New Roman"/>
          <w:color w:val="000000" w:themeColor="text1"/>
          <w:sz w:val="24"/>
        </w:rPr>
        <w:t xml:space="preserve"> </w:t>
      </w:r>
      <w:r w:rsidR="00440B24" w:rsidRPr="00FD601A">
        <w:rPr>
          <w:rFonts w:ascii="Times New Roman" w:hAnsi="Times New Roman"/>
          <w:color w:val="000000" w:themeColor="text1"/>
          <w:sz w:val="24"/>
          <w:szCs w:val="24"/>
        </w:rPr>
        <w:t>Source data are provided as a Source data file.</w:t>
      </w:r>
    </w:p>
    <w:p w:rsidR="005D2BE8" w:rsidRDefault="00D97D3F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  <w:r>
        <w:rPr>
          <w:noProof/>
          <w:color w:val="000000" w:themeColor="text1"/>
        </w:rPr>
        <w:lastRenderedPageBreak/>
        <w:drawing>
          <wp:inline distT="0" distB="0" distL="0" distR="0">
            <wp:extent cx="5190490" cy="6521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176" cy="6522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>Supplementary Fig. 6. The effects of GP concentration and incubation time on the uptake of GP-Si-BPs by bacteria.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</w:rPr>
        <w:t>a,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</w:rPr>
        <w:t>Flow cytometry analysis</w:t>
      </w:r>
      <w:r>
        <w:rPr>
          <w:rFonts w:ascii="Times New Roman" w:hAnsi="Times New Roman"/>
          <w:color w:val="000000" w:themeColor="text1"/>
          <w:sz w:val="24"/>
        </w:rPr>
        <w:t xml:space="preserve"> of MRSA co-incubated with GP-Si-BPs with GP concentration (0, 0.14, 0.28, 0.56, 1.12 mM) at 37 </w:t>
      </w:r>
      <w:proofErr w:type="spellStart"/>
      <w:r>
        <w:rPr>
          <w:rFonts w:ascii="Times New Roman" w:hAnsi="Times New Roman"/>
          <w:color w:val="000000" w:themeColor="text1"/>
          <w:sz w:val="24"/>
          <w:vertAlign w:val="superscript"/>
        </w:rPr>
        <w:t>o</w:t>
      </w:r>
      <w:r>
        <w:rPr>
          <w:rFonts w:ascii="Times New Roman" w:hAnsi="Times New Roman"/>
          <w:color w:val="000000" w:themeColor="text1"/>
          <w:sz w:val="24"/>
        </w:rPr>
        <w:t>C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for 0.5 h, 1.5 h, 2.5 h and 3.5 h, respectively. </w:t>
      </w:r>
      <w:r>
        <w:rPr>
          <w:rFonts w:ascii="Times New Roman" w:hAnsi="Times New Roman"/>
          <w:b/>
          <w:bCs/>
          <w:color w:val="000000" w:themeColor="text1"/>
          <w:sz w:val="24"/>
        </w:rPr>
        <w:t>b,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</w:rPr>
        <w:t>Flow cytometry analysis</w:t>
      </w:r>
      <w:r>
        <w:rPr>
          <w:rFonts w:ascii="Times New Roman" w:hAnsi="Times New Roman"/>
          <w:color w:val="000000" w:themeColor="text1"/>
          <w:sz w:val="24"/>
        </w:rPr>
        <w:t xml:space="preserve"> of MDR </w:t>
      </w:r>
      <w:r>
        <w:rPr>
          <w:rFonts w:ascii="Times New Roman" w:hAnsi="Times New Roman"/>
          <w:i/>
          <w:iCs/>
          <w:color w:val="000000" w:themeColor="text1"/>
          <w:sz w:val="24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co-incubated with GP-GP-Si-BPs with GP concentration (0, 0.14, 0.28, 0.56, 1.12 mM) at 37 </w:t>
      </w:r>
      <w:proofErr w:type="spellStart"/>
      <w:r>
        <w:rPr>
          <w:rFonts w:ascii="Times New Roman" w:hAnsi="Times New Roman"/>
          <w:color w:val="000000" w:themeColor="text1"/>
          <w:sz w:val="24"/>
          <w:vertAlign w:val="superscript"/>
        </w:rPr>
        <w:t>o</w:t>
      </w:r>
      <w:r>
        <w:rPr>
          <w:rFonts w:ascii="Times New Roman" w:hAnsi="Times New Roman"/>
          <w:color w:val="000000" w:themeColor="text1"/>
          <w:sz w:val="24"/>
        </w:rPr>
        <w:t>C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for 0.5 h, 1.5 h, 2.5 h and 3.5 h, respectively.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</w:p>
    <w:p w:rsidR="005D2BE8" w:rsidRDefault="00D97D3F">
      <w:pPr>
        <w:widowControl/>
        <w:jc w:val="center"/>
        <w:rPr>
          <w:rFonts w:ascii="Times New Roman" w:hAnsi="Times New Roman"/>
          <w:bCs/>
          <w:color w:val="000000" w:themeColor="text1"/>
          <w:sz w:val="24"/>
        </w:rPr>
      </w:pPr>
      <w:r>
        <w:rPr>
          <w:rFonts w:ascii="Times New Roman" w:hAnsi="Times New Roman"/>
          <w:bCs/>
          <w:noProof/>
          <w:color w:val="000000" w:themeColor="text1"/>
          <w:sz w:val="24"/>
        </w:rPr>
        <w:lastRenderedPageBreak/>
        <w:drawing>
          <wp:inline distT="0" distB="0" distL="0" distR="0">
            <wp:extent cx="5287645" cy="3457575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3987" cy="34614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spacing w:line="360" w:lineRule="auto"/>
        <w:rPr>
          <w:rFonts w:ascii="Times New Roman" w:hAnsi="Times New Roman"/>
          <w:b/>
          <w:bCs/>
          <w:color w:val="000000" w:themeColor="text1"/>
          <w:kern w:val="0"/>
          <w:sz w:val="24"/>
        </w:rPr>
      </w:pPr>
      <w:bookmarkStart w:id="4" w:name="_Hlk106614183"/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Fig. 7. 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CLSM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images of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 bac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teria treated with GP-Si-BPs, GP-Si-Luc or GP-Si-BPs + GP-Si-Luc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a,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eastAsia="AdvOT1ef757c0" w:hAnsi="Times New Roman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or </w:t>
      </w:r>
      <w:r>
        <w:rPr>
          <w:rFonts w:ascii="Times New Roman" w:hAnsi="Times New Roman"/>
          <w:i/>
          <w:iCs/>
          <w:color w:val="000000" w:themeColor="text1"/>
          <w:sz w:val="24"/>
        </w:rPr>
        <w:t>Salmonella typhimurium</w:t>
      </w:r>
      <w:r>
        <w:rPr>
          <w:rFonts w:ascii="Times New Roman" w:hAnsi="Times New Roman"/>
          <w:color w:val="000000" w:themeColor="text1"/>
          <w:sz w:val="24"/>
        </w:rPr>
        <w:t xml:space="preserve"> (</w:t>
      </w:r>
      <w:proofErr w:type="spellStart"/>
      <w:r>
        <w:rPr>
          <w:rFonts w:ascii="Times New Roman" w:hAnsi="Times New Roman"/>
          <w:color w:val="000000" w:themeColor="text1"/>
          <w:sz w:val="24"/>
        </w:rPr>
        <w:t>STm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</w:t>
      </w:r>
      <w:r>
        <w:rPr>
          <w:rFonts w:ascii="Times New Roman" w:hAnsi="Times New Roman"/>
          <w:color w:val="000000" w:themeColor="text1"/>
          <w:kern w:val="0"/>
          <w:sz w:val="24"/>
        </w:rPr>
        <w:t>GP-Si-BPs</w:t>
      </w:r>
      <w:r>
        <w:rPr>
          <w:rFonts w:ascii="Times New Roman" w:hAnsi="Times New Roman"/>
          <w:color w:val="000000" w:themeColor="text1"/>
          <w:sz w:val="24"/>
        </w:rPr>
        <w:t xml:space="preserve"> and corresponding flow cytometry analysis of uptake rates.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b,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sz w:val="24"/>
        </w:rPr>
        <w:t xml:space="preserve"> or </w:t>
      </w:r>
      <w:proofErr w:type="spellStart"/>
      <w:r>
        <w:rPr>
          <w:rFonts w:ascii="Times New Roman" w:hAnsi="Times New Roman"/>
          <w:color w:val="000000" w:themeColor="text1"/>
          <w:sz w:val="24"/>
        </w:rPr>
        <w:t>STm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GP-Si-Luc and corresponding flow cytometry analysis of uptake rates.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c,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eastAsia="AdvOT1ef757c0" w:hAnsi="Times New Roman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or </w:t>
      </w:r>
      <w:proofErr w:type="spellStart"/>
      <w:r>
        <w:rPr>
          <w:rFonts w:ascii="Times New Roman" w:hAnsi="Times New Roman"/>
          <w:color w:val="000000" w:themeColor="text1"/>
          <w:sz w:val="24"/>
        </w:rPr>
        <w:t>STm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GP-Si-BPs + GP-Si-Luc.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After incubation, the treated bacteria were rinsed with PBS buffer for several times. The bacterial cell concentration is ~10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</w:rPr>
        <w:t xml:space="preserve"> CFU. Scale bars, 25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μm</w:t>
      </w:r>
      <w:bookmarkEnd w:id="4"/>
      <w:proofErr w:type="spellEnd"/>
      <w:r>
        <w:rPr>
          <w:rFonts w:ascii="Times New Roman" w:hAnsi="Times New Roman"/>
          <w:color w:val="000000" w:themeColor="text1"/>
          <w:sz w:val="24"/>
        </w:rPr>
        <w:t>. All imaging experiments were repeated three times with similar results.</w:t>
      </w:r>
    </w:p>
    <w:p w:rsidR="005D2BE8" w:rsidRDefault="00D97D3F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:rsidR="005D2BE8" w:rsidRDefault="00D97D3F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>
            <wp:extent cx="5153660" cy="3363595"/>
            <wp:effectExtent l="0" t="0" r="889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4823" cy="336420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spacing w:line="360" w:lineRule="auto"/>
        <w:rPr>
          <w:rFonts w:ascii="Times New Roman" w:hAnsi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Fig. 8. 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CLSM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images of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bacteria treated with Si-BPs, Si-Luc or Si-BPs + Si-Luc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a,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MRSA or MDR </w:t>
      </w:r>
      <w:r>
        <w:rPr>
          <w:rFonts w:ascii="Times New Roman" w:hAnsi="Times New Roman"/>
          <w:i/>
          <w:iCs/>
          <w:color w:val="000000" w:themeColor="text1"/>
          <w:sz w:val="24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</w:t>
      </w:r>
      <w:r>
        <w:rPr>
          <w:rFonts w:ascii="Times New Roman" w:hAnsi="Times New Roman"/>
          <w:color w:val="000000" w:themeColor="text1"/>
          <w:kern w:val="0"/>
          <w:sz w:val="24"/>
        </w:rPr>
        <w:t>Si-BPs</w:t>
      </w:r>
      <w:r>
        <w:rPr>
          <w:rFonts w:ascii="Times New Roman" w:hAnsi="Times New Roman"/>
          <w:color w:val="000000" w:themeColor="text1"/>
          <w:sz w:val="24"/>
        </w:rPr>
        <w:t xml:space="preserve"> and corresponding flow cytometry analysis of uptake rates.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b,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MRSA or MDR </w:t>
      </w:r>
      <w:r>
        <w:rPr>
          <w:rFonts w:ascii="Times New Roman" w:hAnsi="Times New Roman"/>
          <w:i/>
          <w:iCs/>
          <w:color w:val="000000" w:themeColor="text1"/>
          <w:sz w:val="24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Si-Luc and corresponding flow cytometry analysis of uptake rates.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c,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MRSA or MDR </w:t>
      </w:r>
      <w:r>
        <w:rPr>
          <w:rFonts w:ascii="Times New Roman" w:hAnsi="Times New Roman"/>
          <w:i/>
          <w:iCs/>
          <w:color w:val="000000" w:themeColor="text1"/>
          <w:sz w:val="24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Si-BPs + Si-Luc.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After incubation, the treated bacteria were rinsed with PBS buffer for several times. The bacterial cell concentration is ~10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</w:rPr>
        <w:t xml:space="preserve"> CFU. Scale bars, 25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μm</w:t>
      </w:r>
      <w:proofErr w:type="spellEnd"/>
      <w:r>
        <w:rPr>
          <w:rFonts w:ascii="Times New Roman" w:hAnsi="Times New Roman"/>
          <w:color w:val="000000" w:themeColor="text1"/>
          <w:sz w:val="24"/>
        </w:rPr>
        <w:t>. All imaging experiments were repeated three times with similar results.</w:t>
      </w: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D97D3F">
      <w:pPr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noProof/>
          <w:color w:val="000000" w:themeColor="text1"/>
          <w:sz w:val="24"/>
        </w:rPr>
        <w:lastRenderedPageBreak/>
        <w:drawing>
          <wp:inline distT="0" distB="0" distL="0" distR="0">
            <wp:extent cx="5273675" cy="3677285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71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spacing w:line="360" w:lineRule="auto"/>
        <w:rPr>
          <w:rFonts w:ascii="Times New Roman" w:hAnsi="Times New Roman"/>
          <w:b/>
          <w:bCs/>
          <w:color w:val="000000" w:themeColor="text1"/>
          <w:kern w:val="0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Fig. 9. 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CLSM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images of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bacteria treated with Si-BPs, Si-Luc and Si-BPs + Si-Luc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.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a,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sz w:val="24"/>
        </w:rPr>
        <w:t xml:space="preserve"> or </w:t>
      </w:r>
      <w:r>
        <w:rPr>
          <w:rFonts w:ascii="Times New Roman" w:hAnsi="Times New Roman"/>
          <w:i/>
          <w:iCs/>
          <w:color w:val="000000" w:themeColor="text1"/>
          <w:sz w:val="24"/>
        </w:rPr>
        <w:t>Salmonella typhimurium</w:t>
      </w:r>
      <w:r>
        <w:rPr>
          <w:rFonts w:ascii="Times New Roman" w:hAnsi="Times New Roman"/>
          <w:color w:val="000000" w:themeColor="text1"/>
          <w:sz w:val="24"/>
        </w:rPr>
        <w:t xml:space="preserve"> (</w:t>
      </w:r>
      <w:proofErr w:type="spellStart"/>
      <w:r>
        <w:rPr>
          <w:rFonts w:ascii="Times New Roman" w:hAnsi="Times New Roman"/>
          <w:color w:val="000000" w:themeColor="text1"/>
          <w:sz w:val="24"/>
        </w:rPr>
        <w:t>STm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)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</w:t>
      </w:r>
      <w:r>
        <w:rPr>
          <w:rFonts w:ascii="Times New Roman" w:hAnsi="Times New Roman"/>
          <w:color w:val="000000" w:themeColor="text1"/>
          <w:kern w:val="0"/>
          <w:sz w:val="24"/>
        </w:rPr>
        <w:t>Si-BPs</w:t>
      </w:r>
      <w:r>
        <w:rPr>
          <w:rFonts w:ascii="Times New Roman" w:hAnsi="Times New Roman"/>
          <w:color w:val="000000" w:themeColor="text1"/>
          <w:sz w:val="24"/>
        </w:rPr>
        <w:t xml:space="preserve"> and corresponding flow cytometry analysis of uptake rates.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b,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sz w:val="24"/>
        </w:rPr>
        <w:t xml:space="preserve"> or </w:t>
      </w:r>
      <w:proofErr w:type="spellStart"/>
      <w:r>
        <w:rPr>
          <w:rFonts w:ascii="Times New Roman" w:hAnsi="Times New Roman"/>
          <w:color w:val="000000" w:themeColor="text1"/>
          <w:sz w:val="24"/>
        </w:rPr>
        <w:t>STm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Si-Luc and corresponding flow cytometry analysis of uptake rates.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c, </w:t>
      </w:r>
      <w:r>
        <w:rPr>
          <w:rFonts w:ascii="Times New Roman" w:hAnsi="Times New Roman"/>
          <w:color w:val="000000" w:themeColor="text1"/>
          <w:sz w:val="24"/>
        </w:rPr>
        <w:t>Confocal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 xml:space="preserve">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sz w:val="24"/>
        </w:rPr>
        <w:t xml:space="preserve"> or </w:t>
      </w:r>
      <w:proofErr w:type="spellStart"/>
      <w:r>
        <w:rPr>
          <w:rFonts w:ascii="Times New Roman" w:hAnsi="Times New Roman"/>
          <w:color w:val="000000" w:themeColor="text1"/>
          <w:sz w:val="24"/>
        </w:rPr>
        <w:t>STm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</w:rPr>
        <w:t xml:space="preserve">after the </w:t>
      </w:r>
      <w:r>
        <w:rPr>
          <w:rFonts w:ascii="Times New Roman" w:hAnsi="Times New Roman"/>
          <w:color w:val="000000" w:themeColor="text1"/>
          <w:sz w:val="24"/>
        </w:rPr>
        <w:t>incubat</w:t>
      </w:r>
      <w:r>
        <w:rPr>
          <w:rFonts w:ascii="Times New Roman" w:hAnsi="Times New Roman" w:hint="eastAsia"/>
          <w:color w:val="000000" w:themeColor="text1"/>
          <w:sz w:val="24"/>
        </w:rPr>
        <w:t>ion</w:t>
      </w:r>
      <w:r>
        <w:rPr>
          <w:rFonts w:ascii="Times New Roman" w:hAnsi="Times New Roman"/>
          <w:color w:val="000000" w:themeColor="text1"/>
          <w:sz w:val="24"/>
        </w:rPr>
        <w:t xml:space="preserve"> with 0.06 mM Si-BPs + Si-Luc.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After incubation, the treated bacteria were rinsed with PBS buffer for several times. The bacterial cell concentration is ~10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</w:rPr>
        <w:t xml:space="preserve"> CFU. Scale bars, 25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μm</w:t>
      </w:r>
      <w:proofErr w:type="spellEnd"/>
      <w:r>
        <w:rPr>
          <w:rFonts w:ascii="Times New Roman" w:hAnsi="Times New Roman"/>
          <w:color w:val="000000" w:themeColor="text1"/>
          <w:sz w:val="24"/>
        </w:rPr>
        <w:t>. All imaging experiments were repeated three times with similar results.</w:t>
      </w: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D97D3F">
      <w:pPr>
        <w:widowControl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 w:val="24"/>
          <w:szCs w:val="24"/>
        </w:rPr>
        <w:lastRenderedPageBreak/>
        <w:drawing>
          <wp:inline distT="0" distB="0" distL="0" distR="0">
            <wp:extent cx="5274310" cy="4318635"/>
            <wp:effectExtent l="0" t="0" r="3175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89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Supplementary Fig. 10. Confirmation of the successful construction of </w:t>
      </w:r>
      <w:proofErr w:type="spellStart"/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ΔlamB</w:t>
      </w:r>
      <w:proofErr w:type="spellEnd"/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ΔmalE</w:t>
      </w:r>
      <w:proofErr w:type="spellEnd"/>
      <w:r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. a, </w:t>
      </w:r>
      <w:r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A scheme illustrating the </w:t>
      </w:r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location of primers of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ΔlamB-seqF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and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ΔlamB-seqR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relative to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lamB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. </w:t>
      </w:r>
      <w:r>
        <w:rPr>
          <w:rFonts w:ascii="Times New Roman" w:hAnsi="Times New Roman"/>
          <w:b/>
          <w:color w:val="000000" w:themeColor="text1"/>
          <w:kern w:val="0"/>
          <w:sz w:val="24"/>
          <w:lang w:bidi="ar"/>
        </w:rPr>
        <w:t>b</w:t>
      </w:r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, Confirmation of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lamB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knockout by PCR. </w:t>
      </w:r>
      <w:r>
        <w:rPr>
          <w:rFonts w:ascii="Times New Roman" w:hAnsi="Times New Roman"/>
          <w:b/>
          <w:color w:val="000000" w:themeColor="text1"/>
          <w:kern w:val="0"/>
          <w:sz w:val="24"/>
          <w:lang w:bidi="ar"/>
        </w:rPr>
        <w:t>c</w:t>
      </w:r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, </w:t>
      </w:r>
      <w:r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A scheme illustrating the</w:t>
      </w:r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location of primers of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ΔmalE-seqF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and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ΔmalE-seqR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relative to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malE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. </w:t>
      </w:r>
      <w:r>
        <w:rPr>
          <w:rFonts w:ascii="Times New Roman" w:hAnsi="Times New Roman"/>
          <w:b/>
          <w:color w:val="000000" w:themeColor="text1"/>
          <w:kern w:val="0"/>
          <w:sz w:val="24"/>
          <w:lang w:bidi="ar"/>
        </w:rPr>
        <w:t>d</w:t>
      </w:r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, Confirmation of </w:t>
      </w:r>
      <w:proofErr w:type="spellStart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>malE</w:t>
      </w:r>
      <w:proofErr w:type="spellEnd"/>
      <w:r>
        <w:rPr>
          <w:rFonts w:ascii="Times New Roman" w:hAnsi="Times New Roman"/>
          <w:bCs/>
          <w:color w:val="000000" w:themeColor="text1"/>
          <w:kern w:val="0"/>
          <w:sz w:val="24"/>
          <w:lang w:bidi="ar"/>
        </w:rPr>
        <w:t xml:space="preserve"> knockout by PCR.</w:t>
      </w:r>
    </w:p>
    <w:p w:rsidR="005D2BE8" w:rsidRDefault="00D97D3F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hint="eastAsia"/>
          <w:noProof/>
          <w:color w:val="000000" w:themeColor="text1"/>
          <w:sz w:val="24"/>
        </w:rPr>
        <w:lastRenderedPageBreak/>
        <w:drawing>
          <wp:inline distT="0" distB="0" distL="0" distR="0">
            <wp:extent cx="5274310" cy="48336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Supplementary Fig. 11. Flow cytometry analysis of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uptake rates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of bacteria mutants of </w:t>
      </w:r>
      <w:proofErr w:type="spellStart"/>
      <w:r>
        <w:rPr>
          <w:rFonts w:ascii="Times New Roman" w:hAnsi="Times New Roman"/>
          <w:b/>
          <w:color w:val="000000" w:themeColor="text1"/>
          <w:sz w:val="24"/>
          <w:szCs w:val="24"/>
        </w:rPr>
        <w:t>ΔlamB</w:t>
      </w:r>
      <w:proofErr w:type="spellEnd"/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b/>
          <w:color w:val="000000" w:themeColor="text1"/>
          <w:sz w:val="24"/>
          <w:szCs w:val="24"/>
        </w:rPr>
        <w:t>ΔmalE</w:t>
      </w:r>
      <w:proofErr w:type="spellEnd"/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after incubation with 0.06 mM GP-Si-BPs or GP-Si-Luc. </w:t>
      </w:r>
      <w:r>
        <w:rPr>
          <w:rFonts w:ascii="Times New Roman" w:hAnsi="Times New Roman"/>
          <w:color w:val="000000" w:themeColor="text1"/>
          <w:sz w:val="24"/>
          <w:szCs w:val="24"/>
        </w:rPr>
        <w:t>The bacterial cell concentration is ~10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CFU.</w:t>
      </w: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D97D3F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-</w:t>
      </w:r>
    </w:p>
    <w:p w:rsidR="005D2BE8" w:rsidRDefault="005D2BE8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D97D3F">
      <w:pPr>
        <w:widowControl/>
        <w:jc w:val="center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noProof/>
          <w:color w:val="000000" w:themeColor="text1"/>
          <w:sz w:val="24"/>
        </w:rPr>
        <w:lastRenderedPageBreak/>
        <w:drawing>
          <wp:inline distT="0" distB="0" distL="0" distR="0">
            <wp:extent cx="3833495" cy="46945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1287" cy="470407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981" w:rsidRDefault="00D97D3F" w:rsidP="00440B24">
      <w:pPr>
        <w:spacing w:line="360" w:lineRule="auto"/>
        <w:ind w:leftChars="200" w:left="42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Supplementary Fig. 12.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CLSM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images of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 the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GP-Si-BPs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-treated bacteria after treatments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of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 pure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GP, glucose and </w:t>
      </w:r>
      <w:proofErr w:type="spellStart"/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>maltotriose</w:t>
      </w:r>
      <w:proofErr w:type="spellEnd"/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 with</w:t>
      </w:r>
      <w:r>
        <w:rPr>
          <w:rFonts w:ascii="Times New Roman" w:hAnsi="Times New Roman" w:hint="eastAsia"/>
          <w:b/>
          <w:bCs/>
          <w:color w:val="000000" w:themeColor="text1"/>
          <w:kern w:val="0"/>
          <w:sz w:val="24"/>
        </w:rPr>
        <w:t xml:space="preserve"> different concentrations.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a-b,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Confocal fluorescence 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 (</w:t>
      </w:r>
      <w:r>
        <w:rPr>
          <w:rFonts w:ascii="Times New Roman" w:hAnsi="Times New Roman"/>
          <w:b/>
          <w:color w:val="000000" w:themeColor="text1"/>
          <w:kern w:val="0"/>
          <w:sz w:val="24"/>
        </w:rPr>
        <w:t>a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) or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E. coli</w:t>
      </w:r>
      <w:r>
        <w:rPr>
          <w:rFonts w:ascii="Times New Roman" w:hAnsi="Times New Roman"/>
          <w:color w:val="000000" w:themeColor="text1"/>
          <w:sz w:val="24"/>
        </w:rPr>
        <w:t xml:space="preserve"> (</w:t>
      </w:r>
      <w:r>
        <w:rPr>
          <w:rFonts w:ascii="Times New Roman" w:hAnsi="Times New Roman"/>
          <w:b/>
          <w:color w:val="000000" w:themeColor="text1"/>
          <w:sz w:val="24"/>
        </w:rPr>
        <w:t>b</w:t>
      </w:r>
      <w:r>
        <w:rPr>
          <w:rFonts w:ascii="Times New Roman" w:hAnsi="Times New Roman"/>
          <w:color w:val="000000" w:themeColor="text1"/>
          <w:sz w:val="24"/>
        </w:rPr>
        <w:t xml:space="preserve">) </w:t>
      </w:r>
      <w:r>
        <w:rPr>
          <w:rFonts w:ascii="Times New Roman" w:hAnsi="Times New Roman"/>
          <w:color w:val="000000" w:themeColor="text1"/>
          <w:kern w:val="0"/>
          <w:sz w:val="24"/>
        </w:rPr>
        <w:t>incubated with GP with different concentrations (e.g.</w:t>
      </w:r>
      <w:r>
        <w:rPr>
          <w:rFonts w:ascii="Times New Roman" w:hAnsi="Times New Roman" w:hint="eastAsia"/>
          <w:color w:val="000000" w:themeColor="text1"/>
          <w:kern w:val="0"/>
          <w:sz w:val="24"/>
        </w:rPr>
        <w:t xml:space="preserve">,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0, 0.28, 1.12 mM) for 5 min and then incubated with </w:t>
      </w:r>
      <w:r>
        <w:rPr>
          <w:rFonts w:ascii="Times New Roman" w:hAnsi="Times New Roman"/>
          <w:color w:val="000000" w:themeColor="text1"/>
          <w:sz w:val="24"/>
        </w:rPr>
        <w:t>0.06 mM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 GP-Si-BPs for </w:t>
      </w:r>
      <w:r>
        <w:rPr>
          <w:rFonts w:ascii="Times New Roman" w:hAnsi="Times New Roman" w:hint="eastAsia"/>
          <w:color w:val="000000" w:themeColor="text1"/>
          <w:kern w:val="0"/>
          <w:sz w:val="24"/>
        </w:rPr>
        <w:t xml:space="preserve">another </w:t>
      </w:r>
      <w:r>
        <w:rPr>
          <w:rFonts w:ascii="Times New Roman" w:hAnsi="Times New Roman"/>
          <w:color w:val="000000" w:themeColor="text1"/>
          <w:kern w:val="0"/>
          <w:sz w:val="24"/>
        </w:rPr>
        <w:t>2.5 h.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 c-d,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Confocal fluorescence 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 incubated with glucose (</w:t>
      </w:r>
      <w:r>
        <w:rPr>
          <w:rFonts w:ascii="Times New Roman" w:hAnsi="Times New Roman"/>
          <w:b/>
          <w:color w:val="000000" w:themeColor="text1"/>
          <w:kern w:val="0"/>
          <w:sz w:val="24"/>
        </w:rPr>
        <w:t>c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) or </w:t>
      </w:r>
      <w:proofErr w:type="spellStart"/>
      <w:r>
        <w:rPr>
          <w:rFonts w:ascii="Times New Roman" w:hAnsi="Times New Roman"/>
          <w:color w:val="000000" w:themeColor="text1"/>
          <w:kern w:val="0"/>
          <w:sz w:val="24"/>
        </w:rPr>
        <w:t>maltotriose</w:t>
      </w:r>
      <w:proofErr w:type="spellEnd"/>
      <w:r>
        <w:rPr>
          <w:rFonts w:ascii="Times New Roman" w:hAnsi="Times New Roman"/>
          <w:color w:val="000000" w:themeColor="text1"/>
          <w:kern w:val="0"/>
          <w:sz w:val="24"/>
        </w:rPr>
        <w:t xml:space="preserve"> (</w:t>
      </w:r>
      <w:r>
        <w:rPr>
          <w:rFonts w:ascii="Times New Roman" w:hAnsi="Times New Roman"/>
          <w:b/>
          <w:color w:val="000000" w:themeColor="text1"/>
          <w:kern w:val="0"/>
          <w:sz w:val="24"/>
        </w:rPr>
        <w:t>d</w:t>
      </w:r>
      <w:r>
        <w:rPr>
          <w:rFonts w:ascii="Times New Roman" w:hAnsi="Times New Roman"/>
          <w:color w:val="000000" w:themeColor="text1"/>
          <w:kern w:val="0"/>
          <w:sz w:val="24"/>
        </w:rPr>
        <w:t>) with different concentrations (e.g</w:t>
      </w:r>
      <w:r>
        <w:rPr>
          <w:rFonts w:ascii="Times New Roman" w:hAnsi="Times New Roman"/>
          <w:i/>
          <w:iCs/>
          <w:color w:val="000000" w:themeColor="text1"/>
          <w:kern w:val="0"/>
          <w:sz w:val="24"/>
        </w:rPr>
        <w:t>.</w:t>
      </w:r>
      <w:r>
        <w:rPr>
          <w:rFonts w:ascii="Times New Roman" w:hAnsi="Times New Roman" w:hint="eastAsia"/>
          <w:color w:val="000000" w:themeColor="text1"/>
          <w:kern w:val="0"/>
          <w:sz w:val="24"/>
        </w:rPr>
        <w:t xml:space="preserve">,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0, 0.28, 1.12 mM) for 5 min and then incubated with </w:t>
      </w:r>
      <w:r>
        <w:rPr>
          <w:rFonts w:ascii="Times New Roman" w:hAnsi="Times New Roman"/>
          <w:color w:val="000000" w:themeColor="text1"/>
          <w:sz w:val="24"/>
        </w:rPr>
        <w:t>0.06 mM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GP-Si-BPs for </w:t>
      </w:r>
      <w:r>
        <w:rPr>
          <w:rFonts w:ascii="Times New Roman" w:hAnsi="Times New Roman" w:hint="eastAsia"/>
          <w:color w:val="000000" w:themeColor="text1"/>
          <w:kern w:val="0"/>
          <w:sz w:val="24"/>
        </w:rPr>
        <w:t xml:space="preserve">another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2.5 h. </w:t>
      </w:r>
      <w:r>
        <w:rPr>
          <w:rFonts w:ascii="Times New Roman" w:hAnsi="Times New Roman"/>
          <w:b/>
          <w:bCs/>
          <w:color w:val="000000" w:themeColor="text1"/>
          <w:kern w:val="0"/>
          <w:sz w:val="24"/>
        </w:rPr>
        <w:t xml:space="preserve">e, 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Corresponding histograms of fluorescent intensity images of </w:t>
      </w:r>
      <w:r>
        <w:rPr>
          <w:rFonts w:ascii="Times New Roman" w:eastAsia="AdvOT1ef757c0" w:hAnsi="Times New Roman"/>
          <w:i/>
          <w:color w:val="000000" w:themeColor="text1"/>
          <w:kern w:val="0"/>
          <w:sz w:val="24"/>
          <w:lang w:bidi="ar"/>
        </w:rPr>
        <w:t>S. aureus</w:t>
      </w:r>
      <w:r>
        <w:rPr>
          <w:rFonts w:ascii="Times New Roman" w:hAnsi="Times New Roman"/>
          <w:color w:val="000000" w:themeColor="text1"/>
          <w:kern w:val="0"/>
          <w:sz w:val="24"/>
        </w:rPr>
        <w:t xml:space="preserve"> incubated with glucose or </w:t>
      </w:r>
      <w:proofErr w:type="spellStart"/>
      <w:r>
        <w:rPr>
          <w:rFonts w:ascii="Times New Roman" w:hAnsi="Times New Roman"/>
          <w:color w:val="000000" w:themeColor="text1"/>
          <w:kern w:val="0"/>
          <w:sz w:val="24"/>
        </w:rPr>
        <w:t>maltotriose</w:t>
      </w:r>
      <w:proofErr w:type="spellEnd"/>
      <w:r>
        <w:rPr>
          <w:rFonts w:ascii="Times New Roman" w:hAnsi="Times New Roman"/>
          <w:color w:val="000000" w:themeColor="text1"/>
          <w:kern w:val="0"/>
          <w:sz w:val="24"/>
        </w:rPr>
        <w:t xml:space="preserve">. </w:t>
      </w:r>
      <w:r>
        <w:rPr>
          <w:rFonts w:ascii="Times New Roman" w:hAnsi="Times New Roman"/>
          <w:color w:val="000000" w:themeColor="text1"/>
          <w:sz w:val="24"/>
        </w:rPr>
        <w:t>The bacterial cell concentration is ~10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7</w:t>
      </w:r>
      <w:r>
        <w:rPr>
          <w:rFonts w:ascii="Times New Roman" w:hAnsi="Times New Roman"/>
          <w:color w:val="000000" w:themeColor="text1"/>
          <w:sz w:val="24"/>
        </w:rPr>
        <w:t xml:space="preserve"> CFU. Scale bars, 25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μm</w:t>
      </w:r>
      <w:proofErr w:type="spellEnd"/>
      <w:r>
        <w:rPr>
          <w:rFonts w:ascii="Times New Roman" w:hAnsi="Times New Roman"/>
          <w:color w:val="000000" w:themeColor="text1"/>
          <w:sz w:val="24"/>
        </w:rPr>
        <w:t>. Statistical analysis was performed using a one-way ANOVA analysis.</w:t>
      </w:r>
      <w:r>
        <w:rPr>
          <w:rFonts w:ascii="Times New Roman" w:hAnsi="Times New Roman" w:hint="eastAsia"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Error bars represent the standard deviation obtained from three independent measurements. All imaging experiments were repeated three times with similar results.</w:t>
      </w:r>
      <w:r w:rsidR="00440B24">
        <w:rPr>
          <w:rFonts w:ascii="Times New Roman" w:hAnsi="Times New Roman"/>
          <w:color w:val="000000" w:themeColor="text1"/>
          <w:sz w:val="24"/>
        </w:rPr>
        <w:t xml:space="preserve"> </w:t>
      </w:r>
      <w:r w:rsidR="00440B24" w:rsidRPr="00FD601A">
        <w:rPr>
          <w:rFonts w:ascii="Times New Roman" w:hAnsi="Times New Roman"/>
          <w:color w:val="000000" w:themeColor="text1"/>
          <w:sz w:val="24"/>
          <w:szCs w:val="24"/>
        </w:rPr>
        <w:t>Source data are provided as a Source data file.</w:t>
      </w:r>
    </w:p>
    <w:p w:rsidR="005D2BE8" w:rsidRDefault="00D97D3F" w:rsidP="00A72981">
      <w:pPr>
        <w:spacing w:line="360" w:lineRule="auto"/>
        <w:ind w:leftChars="200" w:left="42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  <w:r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2672715" cy="391223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5933" cy="39170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spacing w:line="360" w:lineRule="auto"/>
        <w:rPr>
          <w:rFonts w:ascii="Times New Roman" w:hAnsi="Times New Roman"/>
          <w:color w:val="000000" w:themeColor="text1"/>
          <w:kern w:val="0"/>
          <w:sz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Supplementary Fig. 13.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>Evaluation of the selectivity of GP-Si-BPs and GP-Si-Luc for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bacteria over mammalian cells. a, </w:t>
      </w:r>
      <w:r>
        <w:rPr>
          <w:rFonts w:ascii="Times New Roman" w:hAnsi="Times New Roman"/>
          <w:color w:val="000000"/>
          <w:kern w:val="0"/>
          <w:sz w:val="24"/>
        </w:rPr>
        <w:t xml:space="preserve">Confocal fluorescence images of pure human blood, the mixture of human blood and MRSA or MDR </w:t>
      </w:r>
      <w:r>
        <w:rPr>
          <w:rFonts w:ascii="Times New Roman" w:hAnsi="Times New Roman"/>
          <w:i/>
          <w:iCs/>
          <w:color w:val="000000"/>
          <w:kern w:val="0"/>
          <w:sz w:val="24"/>
        </w:rPr>
        <w:t>E. coli</w:t>
      </w:r>
      <w:r>
        <w:rPr>
          <w:rFonts w:ascii="Times New Roman" w:hAnsi="Times New Roman"/>
          <w:color w:val="000000"/>
          <w:kern w:val="0"/>
          <w:sz w:val="24"/>
        </w:rPr>
        <w:t xml:space="preserve"> after incubation with GP-Si-BPs, GP-Si-Luc and GP-Si-BPs + GP-Si-Luc. Arrows indicate red blood cells (RBCs)</w:t>
      </w:r>
      <w:r>
        <w:rPr>
          <w:rFonts w:ascii="Times New Roman" w:hAnsi="Times New Roman"/>
          <w:color w:val="000000" w:themeColor="text1"/>
          <w:sz w:val="24"/>
        </w:rPr>
        <w:t xml:space="preserve">. Scale bars, 25 </w:t>
      </w:r>
      <w:proofErr w:type="spellStart"/>
      <w:r>
        <w:rPr>
          <w:rFonts w:ascii="Times New Roman" w:hAnsi="Times New Roman"/>
          <w:color w:val="000000" w:themeColor="text1"/>
          <w:sz w:val="24"/>
        </w:rPr>
        <w:t>μm</w:t>
      </w:r>
      <w:proofErr w:type="spellEnd"/>
      <w:r>
        <w:rPr>
          <w:rFonts w:ascii="Times New Roman" w:hAnsi="Times New Roman"/>
          <w:color w:val="000000" w:themeColor="text1"/>
          <w:sz w:val="24"/>
        </w:rPr>
        <w:t>. All imaging experiments were repeated three times with similar results.</w:t>
      </w:r>
    </w:p>
    <w:p w:rsidR="005D2BE8" w:rsidRDefault="005D2BE8">
      <w:pPr>
        <w:spacing w:line="360" w:lineRule="auto"/>
        <w:rPr>
          <w:rFonts w:ascii="Times New Roman" w:eastAsiaTheme="minorEastAsia" w:hAnsi="Times New Roman"/>
          <w:color w:val="000000" w:themeColor="text1"/>
          <w:kern w:val="0"/>
          <w:sz w:val="24"/>
          <w:lang w:bidi="ar"/>
        </w:rPr>
      </w:pPr>
    </w:p>
    <w:p w:rsidR="005D2BE8" w:rsidRDefault="005D2BE8">
      <w:pPr>
        <w:spacing w:line="360" w:lineRule="auto"/>
        <w:rPr>
          <w:rFonts w:ascii="Times New Roman" w:eastAsiaTheme="minorEastAsia" w:hAnsi="Times New Roman"/>
          <w:color w:val="000000" w:themeColor="text1"/>
          <w:kern w:val="0"/>
          <w:sz w:val="24"/>
          <w:lang w:bidi="ar"/>
        </w:rPr>
      </w:pPr>
    </w:p>
    <w:p w:rsidR="005D2BE8" w:rsidRDefault="00D97D3F">
      <w:pPr>
        <w:widowControl/>
        <w:jc w:val="left"/>
        <w:rPr>
          <w:rFonts w:ascii="Times New Roman" w:eastAsiaTheme="minorEastAsia" w:hAnsi="Times New Roman"/>
          <w:color w:val="000000" w:themeColor="text1"/>
          <w:kern w:val="0"/>
          <w:sz w:val="24"/>
          <w:lang w:bidi="ar"/>
        </w:rPr>
      </w:pPr>
      <w:r>
        <w:rPr>
          <w:rFonts w:ascii="Times New Roman" w:eastAsiaTheme="minorEastAsia" w:hAnsi="Times New Roman"/>
          <w:color w:val="000000" w:themeColor="text1"/>
          <w:kern w:val="0"/>
          <w:sz w:val="24"/>
          <w:lang w:bidi="ar"/>
        </w:rPr>
        <w:br w:type="page"/>
      </w:r>
    </w:p>
    <w:p w:rsidR="005D2BE8" w:rsidRDefault="00D97D3F">
      <w:pPr>
        <w:widowControl/>
        <w:spacing w:line="360" w:lineRule="auto"/>
        <w:jc w:val="center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>
            <wp:extent cx="4726305" cy="250126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0111" cy="250349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bookmarkStart w:id="5" w:name="_Hlk75435406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Supplementary Fig. 14.</w:t>
      </w:r>
      <w:bookmarkEnd w:id="5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i/>
          <w:color w:val="000000" w:themeColor="text1"/>
          <w:kern w:val="0"/>
          <w:sz w:val="24"/>
        </w:rPr>
        <w:t>Ex vivo</w:t>
      </w:r>
      <w:r>
        <w:rPr>
          <w:rFonts w:ascii="Times New Roman" w:hAnsi="Times New Roman"/>
          <w:color w:val="000000" w:themeColor="text1"/>
          <w:sz w:val="24"/>
        </w:rPr>
        <w:t xml:space="preserve"> bio</w:t>
      </w:r>
      <w:r>
        <w:rPr>
          <w:rFonts w:ascii="Times New Roman" w:hAnsi="Times New Roman"/>
          <w:iCs/>
          <w:color w:val="000000" w:themeColor="text1"/>
          <w:sz w:val="24"/>
        </w:rPr>
        <w:t xml:space="preserve">luminescence imaging of </w:t>
      </w:r>
      <w:r>
        <w:rPr>
          <w:rFonts w:ascii="Times New Roman" w:hAnsi="Times New Roman"/>
          <w:iCs/>
          <w:color w:val="000000" w:themeColor="text1"/>
          <w:kern w:val="0"/>
          <w:sz w:val="24"/>
        </w:rPr>
        <w:t>kidney tissues isolated from</w:t>
      </w:r>
      <w:r>
        <w:rPr>
          <w:rFonts w:ascii="Times New Roman" w:hAnsi="Times New Roman"/>
          <w:i/>
          <w:iCs/>
          <w:color w:val="000000" w:themeColor="text1"/>
          <w:sz w:val="24"/>
          <w:lang w:val="en-GB"/>
        </w:rPr>
        <w:t xml:space="preserve"> S. aureus </w:t>
      </w:r>
      <w:r>
        <w:rPr>
          <w:rFonts w:ascii="Times New Roman" w:hAnsi="Times New Roman"/>
          <w:bCs/>
          <w:color w:val="000000" w:themeColor="text1"/>
          <w:sz w:val="24"/>
        </w:rPr>
        <w:t>(</w:t>
      </w:r>
      <w:r>
        <w:rPr>
          <w:rFonts w:ascii="Times New Roman" w:hAnsi="Times New Roman"/>
          <w:color w:val="000000" w:themeColor="text1"/>
          <w:sz w:val="24"/>
        </w:rPr>
        <w:t>~1.0 × 10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>8</w:t>
      </w:r>
      <w:r>
        <w:rPr>
          <w:rFonts w:ascii="Times New Roman" w:hAnsi="Times New Roman"/>
          <w:iCs/>
          <w:color w:val="000000" w:themeColor="text1"/>
          <w:sz w:val="24"/>
        </w:rPr>
        <w:t xml:space="preserve"> CFU) </w:t>
      </w:r>
      <w:r>
        <w:rPr>
          <w:rFonts w:ascii="Times New Roman" w:hAnsi="Times New Roman"/>
          <w:bCs/>
          <w:color w:val="000000" w:themeColor="text1"/>
          <w:sz w:val="24"/>
        </w:rPr>
        <w:t>nephritis-bearing mice with different treatments as indicated. All imaging</w:t>
      </w:r>
      <w:r>
        <w:rPr>
          <w:rFonts w:ascii="Times New Roman" w:hAnsi="Times New Roman" w:hint="eastAsia"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</w:rPr>
        <w:t>experiments were repeated three times with similar results.</w:t>
      </w: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color w:val="000000" w:themeColor="text1"/>
          <w:sz w:val="24"/>
        </w:rPr>
      </w:pP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p w:rsidR="005D2BE8" w:rsidRDefault="00D97D3F">
      <w:pPr>
        <w:widowControl/>
        <w:spacing w:line="360" w:lineRule="auto"/>
        <w:jc w:val="center"/>
        <w:rPr>
          <w:rFonts w:ascii="Times New Roman" w:hAnsi="Times New Roman"/>
          <w:color w:val="000000" w:themeColor="text1"/>
        </w:rPr>
      </w:pPr>
      <w:r>
        <w:rPr>
          <w:noProof/>
        </w:rPr>
        <w:lastRenderedPageBreak/>
        <w:drawing>
          <wp:inline distT="0" distB="0" distL="0" distR="0">
            <wp:extent cx="4400550" cy="22733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00776" cy="227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15. </w:t>
      </w:r>
      <w:r>
        <w:rPr>
          <w:rFonts w:ascii="Times New Roman" w:hAnsi="Times New Roman"/>
          <w:i/>
          <w:color w:val="000000" w:themeColor="text1"/>
          <w:kern w:val="0"/>
          <w:sz w:val="24"/>
        </w:rPr>
        <w:t>Ex vivo</w:t>
      </w:r>
      <w:r>
        <w:rPr>
          <w:rFonts w:ascii="Times New Roman" w:hAnsi="Times New Roman"/>
          <w:color w:val="000000" w:themeColor="text1"/>
          <w:sz w:val="24"/>
        </w:rPr>
        <w:t xml:space="preserve"> bioluminescence imaging of</w:t>
      </w:r>
      <w:r>
        <w:rPr>
          <w:rFonts w:ascii="Times New Roman" w:hAnsi="Times New Roman"/>
          <w:iCs/>
          <w:color w:val="000000" w:themeColor="text1"/>
          <w:kern w:val="0"/>
          <w:sz w:val="24"/>
        </w:rPr>
        <w:t xml:space="preserve"> kidney tissues isolated from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>
        <w:rPr>
          <w:rFonts w:ascii="Times New Roman" w:hAnsi="Times New Roman"/>
          <w:i/>
          <w:color w:val="000000" w:themeColor="text1"/>
          <w:sz w:val="24"/>
        </w:rPr>
        <w:t>S. aureus</w:t>
      </w:r>
      <w:r>
        <w:rPr>
          <w:rFonts w:ascii="Times New Roman" w:hAnsi="Times New Roman"/>
          <w:bCs/>
          <w:color w:val="000000" w:themeColor="text1"/>
          <w:sz w:val="24"/>
        </w:rPr>
        <w:t xml:space="preserve"> nephritis-bearing mice</w:t>
      </w:r>
      <w:r>
        <w:rPr>
          <w:rFonts w:ascii="Times New Roman" w:hAnsi="Times New Roman"/>
          <w:color w:val="000000" w:themeColor="text1"/>
          <w:sz w:val="24"/>
        </w:rPr>
        <w:t xml:space="preserve"> at different treating </w:t>
      </w:r>
      <w:r>
        <w:rPr>
          <w:rFonts w:ascii="Times New Roman" w:hAnsi="Times New Roman" w:hint="eastAsia"/>
          <w:color w:val="000000" w:themeColor="text1"/>
          <w:sz w:val="24"/>
        </w:rPr>
        <w:t>t</w:t>
      </w:r>
      <w:r>
        <w:rPr>
          <w:rFonts w:ascii="Times New Roman" w:hAnsi="Times New Roman"/>
          <w:color w:val="000000" w:themeColor="text1"/>
          <w:sz w:val="24"/>
        </w:rPr>
        <w:t>ime points using Trojan BLI probes. All imaging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experiments were repeated three times with similar results.</w:t>
      </w: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D97D3F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br w:type="page"/>
      </w:r>
    </w:p>
    <w:p w:rsidR="005D2BE8" w:rsidRDefault="00D97D3F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>
            <wp:extent cx="4290695" cy="501015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4217" cy="5026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iCs/>
          <w:color w:val="000000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Supplementary Fig. 16. Evaluation of cytotoxicity of Trojan BLI probes. </w:t>
      </w:r>
      <w:r>
        <w:rPr>
          <w:rFonts w:ascii="Times New Roman" w:hAnsi="Times New Roman"/>
          <w:b/>
          <w:iCs/>
          <w:color w:val="000000"/>
          <w:sz w:val="24"/>
        </w:rPr>
        <w:t>a</w:t>
      </w:r>
      <w:r>
        <w:rPr>
          <w:rFonts w:ascii="Times New Roman" w:hAnsi="Times New Roman"/>
          <w:iCs/>
          <w:color w:val="000000"/>
          <w:sz w:val="24"/>
        </w:rPr>
        <w:t xml:space="preserve">, Morphology of HEK-293T, HeLa, MCF-7 and </w:t>
      </w:r>
      <w:proofErr w:type="spellStart"/>
      <w:r>
        <w:rPr>
          <w:rFonts w:ascii="Times New Roman" w:hAnsi="Times New Roman"/>
          <w:iCs/>
          <w:color w:val="000000"/>
          <w:sz w:val="24"/>
        </w:rPr>
        <w:t>mREC</w:t>
      </w:r>
      <w:proofErr w:type="spellEnd"/>
      <w:r>
        <w:rPr>
          <w:rFonts w:ascii="Times New Roman" w:hAnsi="Times New Roman"/>
          <w:iCs/>
          <w:color w:val="000000"/>
          <w:sz w:val="24"/>
        </w:rPr>
        <w:t xml:space="preserve"> cells treated with </w:t>
      </w:r>
      <w:bookmarkStart w:id="6" w:name="_Hlk113294831"/>
      <w:r>
        <w:rPr>
          <w:rFonts w:ascii="Times New Roman" w:hAnsi="Times New Roman"/>
          <w:iCs/>
          <w:color w:val="000000"/>
          <w:sz w:val="24"/>
        </w:rPr>
        <w:t>GP-Si-BPs + GP-Si-Luc (0.06 mM)</w:t>
      </w:r>
      <w:bookmarkEnd w:id="6"/>
      <w:r>
        <w:rPr>
          <w:rFonts w:ascii="Times New Roman" w:hAnsi="Times New Roman"/>
          <w:iCs/>
          <w:color w:val="000000"/>
          <w:sz w:val="24"/>
        </w:rPr>
        <w:t xml:space="preserve"> for 24 h, respectively. </w:t>
      </w:r>
      <w:r>
        <w:rPr>
          <w:rFonts w:ascii="Times New Roman" w:hAnsi="Times New Roman"/>
          <w:b/>
          <w:iCs/>
          <w:color w:val="000000"/>
          <w:sz w:val="24"/>
        </w:rPr>
        <w:t>b</w:t>
      </w:r>
      <w:r>
        <w:rPr>
          <w:rFonts w:ascii="Times New Roman" w:hAnsi="Times New Roman"/>
          <w:iCs/>
          <w:color w:val="000000"/>
          <w:sz w:val="24"/>
        </w:rPr>
        <w:t xml:space="preserve">, Cell viability of HEK-293T, HeLa, MCF-7 and </w:t>
      </w:r>
      <w:proofErr w:type="spellStart"/>
      <w:r>
        <w:rPr>
          <w:rFonts w:ascii="Times New Roman" w:hAnsi="Times New Roman"/>
          <w:iCs/>
          <w:color w:val="000000"/>
          <w:sz w:val="24"/>
        </w:rPr>
        <w:t>mREC</w:t>
      </w:r>
      <w:proofErr w:type="spellEnd"/>
      <w:r>
        <w:rPr>
          <w:rFonts w:ascii="Times New Roman" w:hAnsi="Times New Roman"/>
          <w:iCs/>
          <w:color w:val="000000"/>
          <w:sz w:val="24"/>
        </w:rPr>
        <w:t xml:space="preserve"> cells treated with GP-Si-BPs + GP-Si-Luc with different dosages for 24 h, respectively. All error bars represent the standard deviation determined from three independent assays. Scale bar, 50μm. </w:t>
      </w:r>
      <w:r>
        <w:rPr>
          <w:rFonts w:ascii="Times New Roman" w:hAnsi="Times New Roman"/>
          <w:color w:val="000000" w:themeColor="text1"/>
          <w:sz w:val="24"/>
        </w:rPr>
        <w:t>All imaging</w:t>
      </w:r>
      <w:r>
        <w:rPr>
          <w:rFonts w:ascii="Times New Roman" w:hAnsi="Times New Roman" w:hint="eastAsia"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experiments were repeated three times with similar results.</w:t>
      </w:r>
      <w:r w:rsidR="00A72981">
        <w:rPr>
          <w:rFonts w:ascii="Times New Roman" w:hAnsi="Times New Roman"/>
          <w:color w:val="000000" w:themeColor="text1"/>
          <w:sz w:val="24"/>
        </w:rPr>
        <w:t xml:space="preserve"> </w:t>
      </w:r>
      <w:r w:rsidR="00A72981" w:rsidRPr="00FD601A">
        <w:rPr>
          <w:rFonts w:ascii="Times New Roman" w:hAnsi="Times New Roman"/>
          <w:color w:val="000000" w:themeColor="text1"/>
          <w:sz w:val="24"/>
          <w:szCs w:val="24"/>
        </w:rPr>
        <w:t>Source data are provided as a Source data file.</w:t>
      </w:r>
      <w:bookmarkStart w:id="7" w:name="_GoBack"/>
      <w:bookmarkEnd w:id="7"/>
    </w:p>
    <w:p w:rsidR="005D2BE8" w:rsidRDefault="005D2BE8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D97D3F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>
            <wp:extent cx="5274310" cy="457327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iCs/>
          <w:color w:val="000000" w:themeColor="text1"/>
          <w:kern w:val="0"/>
          <w:sz w:val="24"/>
        </w:rPr>
      </w:pPr>
      <w:r>
        <w:rPr>
          <w:rFonts w:ascii="Times New Roman" w:hAnsi="Times New Roman"/>
          <w:b/>
          <w:bCs/>
          <w:iCs/>
          <w:color w:val="000000" w:themeColor="text1"/>
          <w:kern w:val="0"/>
          <w:sz w:val="24"/>
        </w:rPr>
        <w:t>Supplementary Fig. 17</w:t>
      </w:r>
      <w:r>
        <w:rPr>
          <w:rFonts w:ascii="Times New Roman" w:hAnsi="Times New Roman"/>
          <w:iCs/>
          <w:color w:val="000000" w:themeColor="text1"/>
          <w:kern w:val="0"/>
          <w:sz w:val="24"/>
        </w:rPr>
        <w:t xml:space="preserve">. Representative histological images of major organs of healthy mice treated with 0.06 mM </w:t>
      </w:r>
      <w:r>
        <w:rPr>
          <w:rFonts w:ascii="Times New Roman" w:hAnsi="Times New Roman"/>
          <w:iCs/>
          <w:color w:val="000000"/>
          <w:sz w:val="24"/>
        </w:rPr>
        <w:t>GP-Si-BPs or GP-Si-Luc</w:t>
      </w:r>
      <w:r>
        <w:rPr>
          <w:rFonts w:ascii="Times New Roman" w:hAnsi="Times New Roman"/>
          <w:iCs/>
          <w:color w:val="000000" w:themeColor="text1"/>
          <w:kern w:val="0"/>
          <w:sz w:val="24"/>
        </w:rPr>
        <w:t xml:space="preserve"> for 24 h</w:t>
      </w:r>
      <w:r>
        <w:rPr>
          <w:rFonts w:ascii="Times New Roman" w:hAnsi="Times New Roman"/>
          <w:iCs/>
          <w:color w:val="000000"/>
          <w:sz w:val="24"/>
        </w:rPr>
        <w:t xml:space="preserve">. </w:t>
      </w:r>
      <w:r>
        <w:rPr>
          <w:rFonts w:ascii="Times New Roman" w:hAnsi="Times New Roman"/>
          <w:b/>
          <w:bCs/>
          <w:iCs/>
          <w:color w:val="000000" w:themeColor="text1"/>
          <w:kern w:val="0"/>
          <w:sz w:val="24"/>
        </w:rPr>
        <w:t>a</w:t>
      </w:r>
      <w:r>
        <w:rPr>
          <w:rFonts w:ascii="Times New Roman" w:hAnsi="Times New Roman"/>
          <w:iCs/>
          <w:color w:val="000000" w:themeColor="text1"/>
          <w:kern w:val="0"/>
          <w:sz w:val="24"/>
        </w:rPr>
        <w:t xml:space="preserve">, H&amp;E staining of different organs (heart, liver, spleen, lung and kidney) harvested from treated mice. Scale bars, 20 </w:t>
      </w:r>
      <w:proofErr w:type="spellStart"/>
      <w:r>
        <w:rPr>
          <w:rFonts w:ascii="Times New Roman" w:hAnsi="Times New Roman"/>
          <w:iCs/>
          <w:color w:val="000000" w:themeColor="text1"/>
          <w:kern w:val="0"/>
          <w:sz w:val="24"/>
        </w:rPr>
        <w:t>μm</w:t>
      </w:r>
      <w:proofErr w:type="spellEnd"/>
      <w:r>
        <w:rPr>
          <w:rFonts w:ascii="Times New Roman" w:hAnsi="Times New Roman"/>
          <w:iCs/>
          <w:color w:val="000000" w:themeColor="text1"/>
          <w:kern w:val="0"/>
          <w:sz w:val="24"/>
        </w:rPr>
        <w:t xml:space="preserve">. </w:t>
      </w:r>
      <w:r>
        <w:rPr>
          <w:rFonts w:ascii="Times New Roman" w:hAnsi="Times New Roman"/>
          <w:b/>
          <w:bCs/>
          <w:iCs/>
          <w:color w:val="000000" w:themeColor="text1"/>
          <w:kern w:val="0"/>
          <w:sz w:val="24"/>
        </w:rPr>
        <w:t>b</w:t>
      </w:r>
      <w:r>
        <w:rPr>
          <w:rFonts w:ascii="Times New Roman" w:hAnsi="Times New Roman"/>
          <w:iCs/>
          <w:color w:val="000000" w:themeColor="text1"/>
          <w:kern w:val="0"/>
          <w:sz w:val="24"/>
        </w:rPr>
        <w:t xml:space="preserve">, Masson’s trichrome staining of different organs (heart, liver, spleen, lung and kidney) harvested from treated mice. Scale bars, 20 </w:t>
      </w:r>
      <w:proofErr w:type="spellStart"/>
      <w:r>
        <w:rPr>
          <w:rFonts w:ascii="Times New Roman" w:hAnsi="Times New Roman"/>
          <w:iCs/>
          <w:color w:val="000000" w:themeColor="text1"/>
          <w:kern w:val="0"/>
          <w:sz w:val="24"/>
        </w:rPr>
        <w:t>μm</w:t>
      </w:r>
      <w:proofErr w:type="spellEnd"/>
      <w:r>
        <w:rPr>
          <w:rFonts w:ascii="Times New Roman" w:hAnsi="Times New Roman"/>
          <w:iCs/>
          <w:color w:val="000000" w:themeColor="text1"/>
          <w:kern w:val="0"/>
          <w:sz w:val="24"/>
        </w:rPr>
        <w:t>.</w:t>
      </w:r>
    </w:p>
    <w:p w:rsidR="005D2BE8" w:rsidRDefault="005D2BE8">
      <w:pPr>
        <w:widowControl/>
        <w:spacing w:line="360" w:lineRule="auto"/>
        <w:rPr>
          <w:rFonts w:ascii="Times New Roman" w:hAnsi="Times New Roman"/>
          <w:iCs/>
          <w:color w:val="000000" w:themeColor="text1"/>
          <w:kern w:val="0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D97D3F">
      <w:pPr>
        <w:widowControl/>
        <w:spacing w:line="360" w:lineRule="auto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noProof/>
        </w:rPr>
        <w:lastRenderedPageBreak/>
        <w:drawing>
          <wp:inline distT="0" distB="0" distL="0" distR="0">
            <wp:extent cx="5274310" cy="1934845"/>
            <wp:effectExtent l="0" t="0" r="2540" b="825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bookmarkStart w:id="8" w:name="_Hlk75437931"/>
      <w:r>
        <w:rPr>
          <w:rFonts w:ascii="Times New Roman" w:hAnsi="Times New Roman"/>
          <w:b/>
          <w:bCs/>
          <w:color w:val="000000" w:themeColor="text1"/>
          <w:sz w:val="24"/>
        </w:rPr>
        <w:t>Supplementary Fig.</w:t>
      </w:r>
      <w:bookmarkEnd w:id="8"/>
      <w:r>
        <w:rPr>
          <w:rFonts w:ascii="Times New Roman" w:hAnsi="Times New Roman"/>
          <w:b/>
          <w:bCs/>
          <w:color w:val="000000" w:themeColor="text1"/>
          <w:sz w:val="24"/>
        </w:rPr>
        <w:t xml:space="preserve"> 18. a, </w:t>
      </w:r>
      <w:r>
        <w:rPr>
          <w:rFonts w:ascii="Times New Roman" w:hAnsi="Times New Roman"/>
          <w:i/>
          <w:iCs/>
          <w:color w:val="000000" w:themeColor="text1"/>
          <w:sz w:val="24"/>
        </w:rPr>
        <w:t>Ex vivo</w:t>
      </w:r>
      <w:r>
        <w:rPr>
          <w:rFonts w:ascii="Times New Roman" w:hAnsi="Times New Roman"/>
          <w:color w:val="000000" w:themeColor="text1"/>
          <w:sz w:val="24"/>
        </w:rPr>
        <w:t xml:space="preserve"> fluorescence imaging of organs resected from healthy mice after intravenous injection of 0.06 mM GP-Si-BPs at different time points.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</w:rPr>
        <w:t>First row (from left to right): heart (He), liver (Li), spleen (</w:t>
      </w:r>
      <w:proofErr w:type="spellStart"/>
      <w:r>
        <w:rPr>
          <w:rFonts w:ascii="Times New Roman" w:hAnsi="Times New Roman"/>
          <w:color w:val="000000" w:themeColor="text1"/>
          <w:sz w:val="24"/>
        </w:rPr>
        <w:t>Sp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); second row (from left to right): lung (Lu), and kidney (Ki). </w:t>
      </w:r>
      <w:r>
        <w:rPr>
          <w:rFonts w:ascii="Times New Roman" w:hAnsi="Times New Roman"/>
          <w:b/>
          <w:bCs/>
          <w:color w:val="000000" w:themeColor="text1"/>
          <w:sz w:val="24"/>
        </w:rPr>
        <w:t xml:space="preserve">b, </w:t>
      </w:r>
      <w:r>
        <w:rPr>
          <w:rFonts w:ascii="Times New Roman" w:hAnsi="Times New Roman"/>
          <w:i/>
          <w:iCs/>
          <w:color w:val="000000" w:themeColor="text1"/>
          <w:sz w:val="24"/>
        </w:rPr>
        <w:t>Ex vivo</w:t>
      </w:r>
      <w:r>
        <w:rPr>
          <w:rFonts w:ascii="Times New Roman" w:hAnsi="Times New Roman"/>
          <w:color w:val="000000" w:themeColor="text1"/>
          <w:sz w:val="24"/>
        </w:rPr>
        <w:t xml:space="preserve"> fluorescence imaging of urine from healthy mice treated with PBS (control) or 0.06 mM GP-Si-BPs after 24 h post-injection. </w:t>
      </w: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D97D3F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br w:type="page"/>
      </w:r>
    </w:p>
    <w:p w:rsidR="005D2BE8" w:rsidRDefault="00D97D3F">
      <w:pPr>
        <w:widowControl/>
        <w:spacing w:line="36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lastRenderedPageBreak/>
        <w:t>Supplementary Table 1.</w:t>
      </w:r>
      <w:r>
        <w:rPr>
          <w:rFonts w:ascii="Times New Roman" w:hAnsi="Times New Roman"/>
          <w:color w:val="000000" w:themeColor="text1"/>
          <w:sz w:val="24"/>
        </w:rPr>
        <w:t xml:space="preserve"> Blood biochemical analysis of health mice treated with PBS, GP-Si-Luc or GP-Si-BPs for 24 h.</w:t>
      </w: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2295"/>
        <w:gridCol w:w="626"/>
        <w:gridCol w:w="1376"/>
        <w:gridCol w:w="626"/>
        <w:gridCol w:w="1376"/>
        <w:gridCol w:w="626"/>
        <w:gridCol w:w="1376"/>
      </w:tblGrid>
      <w:tr w:rsidR="005D2BE8">
        <w:trPr>
          <w:trHeight w:val="35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Analysis index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PBS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GP-Si-Luc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GP-Si-BPs</w:t>
            </w:r>
          </w:p>
        </w:tc>
      </w:tr>
      <w:tr w:rsidR="005D2BE8">
        <w:trPr>
          <w:trHeight w:val="5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Standard deviation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Standard deviation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Standard deviation </w:t>
            </w:r>
          </w:p>
        </w:tc>
      </w:tr>
      <w:tr w:rsidR="005D2BE8">
        <w:trPr>
          <w:trHeight w:val="101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Albumin and globulin ratio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2.15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</w:tr>
      <w:tr w:rsidR="005D2BE8">
        <w:trPr>
          <w:trHeight w:val="9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Alanine aminotransferase (U/L)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14.04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0.84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18.59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1.19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13.26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3.40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10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Aspartate aminotransferase (U/L)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45.53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7.49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46.43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10.08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47.19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7.08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74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Alkaline phosphatase (U/L)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46.88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13.81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46.20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4.35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52.66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3.52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36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Urea (mmol/L)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10.64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10.51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0.26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10.61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Creatinine (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μmol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6.47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9.06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1.78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8.04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0.67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Total protein (mmol/L)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18.54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17.70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18.70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0.70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Albumin (g/L)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12.66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12.12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0.09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12.02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0.17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Globulin (g/L)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5.89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5.58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6.68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0.54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5D2BE8" w:rsidRDefault="005D2BE8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5D2BE8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D97D3F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br w:type="page"/>
      </w:r>
    </w:p>
    <w:p w:rsidR="005D2BE8" w:rsidRDefault="005D2BE8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</w:p>
    <w:p w:rsidR="005D2BE8" w:rsidRDefault="00D97D3F">
      <w:pPr>
        <w:widowControl/>
        <w:spacing w:line="360" w:lineRule="auto"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t xml:space="preserve">Supplementary Table 2. </w:t>
      </w:r>
      <w:r>
        <w:rPr>
          <w:rFonts w:ascii="Times New Roman" w:hAnsi="Times New Roman"/>
          <w:color w:val="000000" w:themeColor="text1"/>
          <w:sz w:val="24"/>
        </w:rPr>
        <w:t>Blood routine analysis of mice injected with PBS, GP-Si-Luc or GP-Si-BPs for 24 h.</w:t>
      </w:r>
    </w:p>
    <w:tbl>
      <w:tblPr>
        <w:tblW w:w="0" w:type="auto"/>
        <w:tblInd w:w="-5" w:type="dxa"/>
        <w:tblLook w:val="04A0" w:firstRow="1" w:lastRow="0" w:firstColumn="1" w:lastColumn="0" w:noHBand="0" w:noVBand="1"/>
      </w:tblPr>
      <w:tblGrid>
        <w:gridCol w:w="2520"/>
        <w:gridCol w:w="711"/>
        <w:gridCol w:w="1216"/>
        <w:gridCol w:w="711"/>
        <w:gridCol w:w="1216"/>
        <w:gridCol w:w="711"/>
        <w:gridCol w:w="1216"/>
      </w:tblGrid>
      <w:tr w:rsidR="005D2BE8">
        <w:trPr>
          <w:trHeight w:val="45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Analysis index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PBS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GP-Si-Luc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GP-Si-BPs</w:t>
            </w:r>
          </w:p>
        </w:tc>
      </w:tr>
      <w:tr w:rsidR="005D2BE8">
        <w:trPr>
          <w:trHeight w:val="4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Standard deviation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Standard deviation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Standard deviation </w:t>
            </w:r>
          </w:p>
        </w:tc>
      </w:tr>
      <w:tr w:rsidR="005D2BE8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White blood cell (1.0×10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3 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cells/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μL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0.27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0.89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5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ind w:firstLineChars="50" w:firstLine="90"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Red blood cell (1.0×10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6 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cells/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μL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1.96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1.56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1.96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1.24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8.03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2.12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Hemoglobin (g/dL)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2.77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2.77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3.13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0.51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Hematocrit (%)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11.53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2.27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11.30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1.21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13.17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2.61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7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Mean corpuscular volume (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fL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59.10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0.62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57.70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1.42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59.37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1.19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7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Mean corpuscular hemoglobin (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14.03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14.37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14.17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0.55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138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Mean corpuscular hemoglobin concentration (g/dL)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23.80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0.82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24.83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23.83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0.55 </w:t>
            </w:r>
          </w:p>
        </w:tc>
      </w:tr>
      <w:tr w:rsidR="005D2BE8">
        <w:trPr>
          <w:trHeight w:val="5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11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Mean corpuscular 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br/>
              <w:t>hemoglobin concentration (g/dL)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22.53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23.03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22.37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58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Cholesterol (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13.27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13.27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13.23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108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Red cell volume 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br/>
              <w:t xml:space="preserve">distribution width (%)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12.33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12.03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0.25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12.30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659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lastRenderedPageBreak/>
              <w:t xml:space="preserve">Hemoglobin content 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br/>
              <w:t>distribution width (g/dL)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1.71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0.02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1.68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1.68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0.06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48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Platelet (1.0×10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 cells/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μL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109.33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13.05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100.00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8.72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108.33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4.51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D2BE8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Mean platelet volume (</w:t>
            </w:r>
            <w:proofErr w:type="spellStart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fL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10.13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0.72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9.13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0.42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10.03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D97D3F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</w:tr>
      <w:tr w:rsidR="005D2BE8">
        <w:trPr>
          <w:trHeight w:val="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D2BE8" w:rsidRDefault="005D2BE8">
            <w:pPr>
              <w:widowControl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E8" w:rsidRDefault="005D2BE8">
            <w:pPr>
              <w:widowControl/>
              <w:jc w:val="left"/>
              <w:rPr>
                <w:rFonts w:ascii="Times New Roman" w:eastAsia="DengXian" w:hAnsi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5D2BE8" w:rsidRDefault="005D2BE8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bCs/>
          <w:kern w:val="0"/>
          <w:sz w:val="26"/>
          <w:szCs w:val="26"/>
        </w:rPr>
      </w:pPr>
    </w:p>
    <w:p w:rsidR="005D2BE8" w:rsidRDefault="005D2BE8">
      <w:pPr>
        <w:widowControl/>
        <w:jc w:val="left"/>
        <w:rPr>
          <w:rFonts w:ascii="Times New Roman" w:hAnsi="Times New Roman"/>
          <w:b/>
          <w:bCs/>
          <w:kern w:val="0"/>
          <w:sz w:val="26"/>
          <w:szCs w:val="26"/>
        </w:rPr>
      </w:pPr>
    </w:p>
    <w:p w:rsidR="005D2BE8" w:rsidRDefault="00D97D3F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bCs/>
          <w:kern w:val="0"/>
          <w:sz w:val="26"/>
          <w:szCs w:val="26"/>
        </w:rPr>
      </w:pPr>
      <w:r>
        <w:rPr>
          <w:rFonts w:ascii="Times New Roman" w:hAnsi="Times New Roman"/>
          <w:b/>
          <w:bCs/>
          <w:kern w:val="0"/>
          <w:sz w:val="26"/>
          <w:szCs w:val="26"/>
        </w:rPr>
        <w:t>Supplementary Notes:</w:t>
      </w:r>
    </w:p>
    <w:p w:rsidR="005D2BE8" w:rsidRDefault="00D97D3F">
      <w:pPr>
        <w:widowControl/>
        <w:spacing w:line="360" w:lineRule="auto"/>
        <w:rPr>
          <w:rFonts w:ascii="Times New Roman" w:hAnsi="Times New Roman"/>
          <w:b/>
          <w:bCs/>
          <w:kern w:val="0"/>
          <w:sz w:val="24"/>
          <w:szCs w:val="24"/>
          <w:u w:val="single"/>
        </w:rPr>
      </w:pPr>
      <w:r>
        <w:rPr>
          <w:rFonts w:ascii="Times New Roman" w:hAnsi="Times New Roman"/>
          <w:b/>
          <w:bCs/>
          <w:kern w:val="0"/>
          <w:sz w:val="24"/>
          <w:szCs w:val="24"/>
          <w:u w:val="single"/>
        </w:rPr>
        <w:t>Table of supplementary notes</w:t>
      </w:r>
    </w:p>
    <w:p w:rsidR="005D2BE8" w:rsidRDefault="00D97D3F">
      <w:pPr>
        <w:widowControl/>
        <w:spacing w:line="360" w:lineRule="auto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kern w:val="0"/>
          <w:sz w:val="24"/>
          <w:szCs w:val="24"/>
        </w:rPr>
        <w:t xml:space="preserve">1. Confirmation of </w:t>
      </w:r>
      <w:proofErr w:type="spellStart"/>
      <w:r>
        <w:rPr>
          <w:rFonts w:ascii="Times New Roman" w:hAnsi="Times New Roman"/>
          <w:bCs/>
          <w:kern w:val="0"/>
          <w:sz w:val="24"/>
          <w:szCs w:val="24"/>
        </w:rPr>
        <w:t>lamB</w:t>
      </w:r>
      <w:proofErr w:type="spellEnd"/>
      <w:r>
        <w:rPr>
          <w:rFonts w:ascii="Times New Roman" w:hAnsi="Times New Roman"/>
          <w:bCs/>
          <w:kern w:val="0"/>
          <w:sz w:val="24"/>
          <w:szCs w:val="24"/>
        </w:rPr>
        <w:t xml:space="preserve"> knockout by Sanger sequencing</w:t>
      </w:r>
    </w:p>
    <w:p w:rsidR="005D2BE8" w:rsidRDefault="00D97D3F">
      <w:pPr>
        <w:widowControl/>
        <w:spacing w:line="360" w:lineRule="auto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kern w:val="0"/>
          <w:sz w:val="24"/>
          <w:szCs w:val="24"/>
        </w:rPr>
        <w:t xml:space="preserve">2. Confirmation of </w:t>
      </w:r>
      <w:proofErr w:type="spellStart"/>
      <w:r>
        <w:rPr>
          <w:rFonts w:ascii="Times New Roman" w:hAnsi="Times New Roman"/>
          <w:bCs/>
          <w:kern w:val="0"/>
          <w:sz w:val="24"/>
          <w:szCs w:val="24"/>
        </w:rPr>
        <w:t>malE</w:t>
      </w:r>
      <w:proofErr w:type="spellEnd"/>
      <w:r>
        <w:rPr>
          <w:rFonts w:ascii="Times New Roman" w:hAnsi="Times New Roman"/>
          <w:bCs/>
          <w:kern w:val="0"/>
          <w:sz w:val="24"/>
          <w:szCs w:val="24"/>
        </w:rPr>
        <w:t xml:space="preserve"> knockout by Sanger sequencing</w:t>
      </w:r>
    </w:p>
    <w:p w:rsidR="005D2BE8" w:rsidRDefault="00D97D3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2BE8" w:rsidRDefault="00D97D3F">
      <w:pPr>
        <w:rPr>
          <w:rFonts w:ascii="Times New Roman" w:hAnsi="Times New Roman"/>
          <w:b/>
          <w:sz w:val="24"/>
          <w:szCs w:val="24"/>
        </w:rPr>
      </w:pPr>
      <w:bookmarkStart w:id="9" w:name="_Hlk106023754"/>
      <w:r>
        <w:rPr>
          <w:rFonts w:ascii="Times New Roman" w:hAnsi="Times New Roman"/>
          <w:b/>
          <w:kern w:val="0"/>
          <w:sz w:val="24"/>
          <w:szCs w:val="24"/>
        </w:rPr>
        <w:lastRenderedPageBreak/>
        <w:t xml:space="preserve">1. Confirmation of </w:t>
      </w:r>
      <w:proofErr w:type="spellStart"/>
      <w:r>
        <w:rPr>
          <w:rFonts w:ascii="Times New Roman" w:hAnsi="Times New Roman"/>
          <w:b/>
          <w:kern w:val="0"/>
          <w:sz w:val="24"/>
          <w:szCs w:val="24"/>
        </w:rPr>
        <w:t>lamB</w:t>
      </w:r>
      <w:proofErr w:type="spellEnd"/>
      <w:r>
        <w:rPr>
          <w:rFonts w:ascii="Times New Roman" w:hAnsi="Times New Roman"/>
          <w:b/>
          <w:kern w:val="0"/>
          <w:sz w:val="24"/>
          <w:szCs w:val="24"/>
        </w:rPr>
        <w:t xml:space="preserve"> knockout by Sanger sequencing</w:t>
      </w:r>
      <w:bookmarkEnd w:id="9"/>
    </w:p>
    <w:p w:rsidR="005D2BE8" w:rsidRDefault="00D97D3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AAGCCGTGATGTCCAGGTTGGAGCCAATATGTCGCTGGGTATTCGCCCGGAACATCTACTGCCGAGTGATATCGCTGACGTCATCCTTGAGGGTGAAGTTCAGGTCGTCGAGCAACTCGGCAACGAAACTCAAATCCATATCCAGATCCCTTCCATTCGTCAAAACCTGGTGTACCGCCAGAACGACGTGGTGTTGGTAGAAGAAGGTGCCACATTCGCTATCGGCCTGCCGCCAGAGCGTTGCCATCTGTTCCGTGAGGATGGCACTGCATGTCGTCGACTGCATAAGGAGCCGGGCGTTTAAGCACCCCACAAAACACACAAAGCCTGTCACAGGTGATGTGAAAAAAGAAAAGCAATGACTCAGGAGATAGATAGCAAAACCTGGGCCGGATAAGGCGTTTACGCCGCATTCGGCAACCAACGCCTGATGCGACGCTTGCGCGTCTTATCAGGCCTACAACGGCTGTCAAATGTAGGCCGGATAAGGCGTTTACGCCGCATCCGGCATAAAAACAGGTTGTCATTATCTGAAAGGGGCGAAAGCCCCTCTGATTATCGGGTTTAGCGCGCTATTGCCTGGCTACCGCTGAGCTCCAGATTTTGAGGTGAAAACAATGAAAATGAATAAAAGTCTCATCGTCCTCTGTTTATCAGCAGGGTTACTGGCAAGCGCGCCTGGAATTAGCCTTGCCGATGTTAACTACGTACCGCAAAACACCAGCGACGCGCCAGCCATTCCATCTGCTGCGCTGCAACAACTCACCTGGACACCGGTCGATCAATCT</w:t>
      </w:r>
    </w:p>
    <w:p w:rsidR="005D2BE8" w:rsidRDefault="00D97D3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2BE8" w:rsidRDefault="00D97D3F">
      <w:pPr>
        <w:rPr>
          <w:rFonts w:ascii="Times New Roman" w:hAnsi="Times New Roman"/>
          <w:b/>
          <w:sz w:val="24"/>
          <w:szCs w:val="24"/>
        </w:rPr>
      </w:pPr>
      <w:bookmarkStart w:id="10" w:name="_Hlk106023778"/>
      <w:r>
        <w:rPr>
          <w:rFonts w:ascii="Times New Roman" w:hAnsi="Times New Roman"/>
          <w:b/>
          <w:kern w:val="0"/>
          <w:sz w:val="24"/>
          <w:szCs w:val="24"/>
        </w:rPr>
        <w:lastRenderedPageBreak/>
        <w:t xml:space="preserve">2. Confirmation of </w:t>
      </w:r>
      <w:proofErr w:type="spellStart"/>
      <w:r>
        <w:rPr>
          <w:rFonts w:ascii="Times New Roman" w:hAnsi="Times New Roman"/>
          <w:b/>
          <w:kern w:val="0"/>
          <w:sz w:val="24"/>
          <w:szCs w:val="24"/>
        </w:rPr>
        <w:t>malE</w:t>
      </w:r>
      <w:proofErr w:type="spellEnd"/>
      <w:r>
        <w:rPr>
          <w:rFonts w:ascii="Times New Roman" w:hAnsi="Times New Roman"/>
          <w:b/>
          <w:kern w:val="0"/>
          <w:sz w:val="24"/>
          <w:szCs w:val="24"/>
        </w:rPr>
        <w:t xml:space="preserve"> knockout by Sanger sequencing</w:t>
      </w:r>
      <w:bookmarkEnd w:id="10"/>
    </w:p>
    <w:p w:rsidR="005D2BE8" w:rsidRDefault="00D97D3F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CTGTACGCTCGCCATGCCCTTCTCCCTTTGTAACAACCTGTCATCGACAGCAACATTCATGATGGGCTGACTATGCGTCATCAGGAGATGGCTTAAATCCTCCACCCCCTGGCTTTTTTATGGGGGAGGAGGCGGGAGGATGAGAACACGGCTTCTGTGAACTAAACCGAGGTCATGTAAGGAATTTCGTGATGTTGCTTGCAAAAATCGTGGCGATTTTATGTGCGCATCTCCACATTACCGCCAATTCTGTAACAGAGATCACACAAAGCGACGGTGGGGCGTAGGGGCAAGGAGGATGGAAAGAGGTTGCCGTATAAAGAAACTAGAGTCCGTTTAGGTGTTTTCACGAGCACTTCACCAACAAGGACCATAGATTTGCTGTGAAATGCCGGATGCGGCGTGAACGCCTTGTCCGGCCTACAAAACCGAAACGTATGTAGGCCTGATAAGACGCGTCAGCGTCGCATCAGGCAGTTGTTGTCGGATAAGGCGTGAAAGCCTTATCCGTCCTGGAATGAGGAAGAACCCCATGGATGTCATTAAAAAGAAACATTGGTGGCAAAGCGACGCGCTGAAATGGTCAGTGCTAGGTCTGCTCGGCCTGCTGGTGGGTTACCTTGTTGTTTTAATGTACGCACAAGGGGAATACCTGTTCGCCATTACCACGCTGATATTGAGTTCAGCGGGGCTGTATATTTTCGCCAATCGTAAAGCCTACGCCTGGCGCTATGTTTACCCGGGAATGGCTGGAATGGGATTATTCGTCCTCTTCCCTCTGGTCTGCACCATCGCCATTGCCTTCACCA</w:t>
      </w:r>
    </w:p>
    <w:p w:rsidR="005D2BE8" w:rsidRDefault="005D2BE8">
      <w:pPr>
        <w:widowControl/>
        <w:spacing w:line="360" w:lineRule="auto"/>
        <w:rPr>
          <w:rFonts w:ascii="Times New Roman" w:hAnsi="Times New Roman"/>
          <w:b/>
          <w:bCs/>
          <w:color w:val="000000" w:themeColor="text1"/>
          <w:sz w:val="24"/>
        </w:rPr>
      </w:pPr>
    </w:p>
    <w:sectPr w:rsidR="005D2BE8">
      <w:footerReference w:type="even" r:id="rId25"/>
      <w:foot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182D" w:rsidRDefault="00E8182D">
      <w:r>
        <w:separator/>
      </w:r>
    </w:p>
  </w:endnote>
  <w:endnote w:type="continuationSeparator" w:id="0">
    <w:p w:rsidR="00E8182D" w:rsidRDefault="00E81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dvOT1ef757c0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2BE8" w:rsidRDefault="00D97D3F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5D2BE8" w:rsidRDefault="005D2BE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2BE8" w:rsidRDefault="00D97D3F">
    <w:pPr>
      <w:pStyle w:val="a9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</w:rPr>
      <w:t>1</w:t>
    </w:r>
    <w:r>
      <w:rPr>
        <w:rStyle w:val="ad"/>
      </w:rPr>
      <w:fldChar w:fldCharType="end"/>
    </w:r>
  </w:p>
  <w:p w:rsidR="005D2BE8" w:rsidRDefault="005D2BE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182D" w:rsidRDefault="00E8182D">
      <w:r>
        <w:separator/>
      </w:r>
    </w:p>
  </w:footnote>
  <w:footnote w:type="continuationSeparator" w:id="0">
    <w:p w:rsidR="00E8182D" w:rsidRDefault="00E818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FF6"/>
    <w:rsid w:val="BEF7D5B6"/>
    <w:rsid w:val="CDABC54B"/>
    <w:rsid w:val="FFFC52B0"/>
    <w:rsid w:val="00000E13"/>
    <w:rsid w:val="00003A0C"/>
    <w:rsid w:val="000055BB"/>
    <w:rsid w:val="00011A12"/>
    <w:rsid w:val="000135AB"/>
    <w:rsid w:val="00017E42"/>
    <w:rsid w:val="00020180"/>
    <w:rsid w:val="000207AB"/>
    <w:rsid w:val="000262FC"/>
    <w:rsid w:val="00026858"/>
    <w:rsid w:val="00026BE6"/>
    <w:rsid w:val="000273A9"/>
    <w:rsid w:val="00027D22"/>
    <w:rsid w:val="00027E79"/>
    <w:rsid w:val="000309D5"/>
    <w:rsid w:val="000342A6"/>
    <w:rsid w:val="00034C0C"/>
    <w:rsid w:val="00037EB7"/>
    <w:rsid w:val="00043BB5"/>
    <w:rsid w:val="00043E80"/>
    <w:rsid w:val="000462DD"/>
    <w:rsid w:val="000501E3"/>
    <w:rsid w:val="000505FF"/>
    <w:rsid w:val="00050D63"/>
    <w:rsid w:val="0005334A"/>
    <w:rsid w:val="00053366"/>
    <w:rsid w:val="00055844"/>
    <w:rsid w:val="00063376"/>
    <w:rsid w:val="000652BE"/>
    <w:rsid w:val="0006732B"/>
    <w:rsid w:val="00070560"/>
    <w:rsid w:val="00073654"/>
    <w:rsid w:val="00073AAA"/>
    <w:rsid w:val="000740C5"/>
    <w:rsid w:val="000756DA"/>
    <w:rsid w:val="000806F6"/>
    <w:rsid w:val="000810A9"/>
    <w:rsid w:val="00081EF8"/>
    <w:rsid w:val="00083510"/>
    <w:rsid w:val="00086F8F"/>
    <w:rsid w:val="0009283A"/>
    <w:rsid w:val="00095F53"/>
    <w:rsid w:val="00096A2C"/>
    <w:rsid w:val="000A0066"/>
    <w:rsid w:val="000A044E"/>
    <w:rsid w:val="000A06E0"/>
    <w:rsid w:val="000A254B"/>
    <w:rsid w:val="000A43C9"/>
    <w:rsid w:val="000A4496"/>
    <w:rsid w:val="000B2DD5"/>
    <w:rsid w:val="000C11B3"/>
    <w:rsid w:val="000C21C1"/>
    <w:rsid w:val="000C2A21"/>
    <w:rsid w:val="000C42B5"/>
    <w:rsid w:val="000C6725"/>
    <w:rsid w:val="000C705E"/>
    <w:rsid w:val="000D1A35"/>
    <w:rsid w:val="000D1DE1"/>
    <w:rsid w:val="000D4317"/>
    <w:rsid w:val="000D482A"/>
    <w:rsid w:val="000D77CE"/>
    <w:rsid w:val="000E1C22"/>
    <w:rsid w:val="000F3093"/>
    <w:rsid w:val="000F3A5C"/>
    <w:rsid w:val="000F7217"/>
    <w:rsid w:val="00101179"/>
    <w:rsid w:val="0010199C"/>
    <w:rsid w:val="00103206"/>
    <w:rsid w:val="001057ED"/>
    <w:rsid w:val="00106DD9"/>
    <w:rsid w:val="00107557"/>
    <w:rsid w:val="0011018A"/>
    <w:rsid w:val="001126D2"/>
    <w:rsid w:val="00114644"/>
    <w:rsid w:val="00114E83"/>
    <w:rsid w:val="00117EC7"/>
    <w:rsid w:val="00121E95"/>
    <w:rsid w:val="00126BE9"/>
    <w:rsid w:val="00126CE8"/>
    <w:rsid w:val="0013439B"/>
    <w:rsid w:val="00134ABD"/>
    <w:rsid w:val="001350F7"/>
    <w:rsid w:val="0013588B"/>
    <w:rsid w:val="0013707B"/>
    <w:rsid w:val="0013776B"/>
    <w:rsid w:val="0014078D"/>
    <w:rsid w:val="001473F6"/>
    <w:rsid w:val="00150232"/>
    <w:rsid w:val="00152012"/>
    <w:rsid w:val="001524BC"/>
    <w:rsid w:val="00152720"/>
    <w:rsid w:val="00152892"/>
    <w:rsid w:val="0015505E"/>
    <w:rsid w:val="00156117"/>
    <w:rsid w:val="00160AF6"/>
    <w:rsid w:val="00160E37"/>
    <w:rsid w:val="00161DAE"/>
    <w:rsid w:val="001621C6"/>
    <w:rsid w:val="0016575E"/>
    <w:rsid w:val="0016708B"/>
    <w:rsid w:val="001676EC"/>
    <w:rsid w:val="00170266"/>
    <w:rsid w:val="001706C6"/>
    <w:rsid w:val="001719D1"/>
    <w:rsid w:val="001752BA"/>
    <w:rsid w:val="001767CE"/>
    <w:rsid w:val="00181AC2"/>
    <w:rsid w:val="00182E82"/>
    <w:rsid w:val="001852F3"/>
    <w:rsid w:val="001929C2"/>
    <w:rsid w:val="00192CBC"/>
    <w:rsid w:val="00194ACF"/>
    <w:rsid w:val="0019553A"/>
    <w:rsid w:val="00197058"/>
    <w:rsid w:val="00197463"/>
    <w:rsid w:val="001A0A74"/>
    <w:rsid w:val="001B136F"/>
    <w:rsid w:val="001B277C"/>
    <w:rsid w:val="001C1428"/>
    <w:rsid w:val="001C3ACA"/>
    <w:rsid w:val="001C40C4"/>
    <w:rsid w:val="001C52A8"/>
    <w:rsid w:val="001D4B4E"/>
    <w:rsid w:val="001D769F"/>
    <w:rsid w:val="001E12BE"/>
    <w:rsid w:val="001E31CC"/>
    <w:rsid w:val="001E4274"/>
    <w:rsid w:val="001E68C0"/>
    <w:rsid w:val="001E710C"/>
    <w:rsid w:val="001F4CD4"/>
    <w:rsid w:val="001F7ACD"/>
    <w:rsid w:val="0020068F"/>
    <w:rsid w:val="00203415"/>
    <w:rsid w:val="00205E43"/>
    <w:rsid w:val="002072B7"/>
    <w:rsid w:val="00211438"/>
    <w:rsid w:val="00214767"/>
    <w:rsid w:val="00214C21"/>
    <w:rsid w:val="00215622"/>
    <w:rsid w:val="002169F2"/>
    <w:rsid w:val="00216C25"/>
    <w:rsid w:val="002205A3"/>
    <w:rsid w:val="0022344D"/>
    <w:rsid w:val="00225AC7"/>
    <w:rsid w:val="00227DC5"/>
    <w:rsid w:val="00230C19"/>
    <w:rsid w:val="0023348A"/>
    <w:rsid w:val="00234741"/>
    <w:rsid w:val="00237C8D"/>
    <w:rsid w:val="00242AAB"/>
    <w:rsid w:val="002436C2"/>
    <w:rsid w:val="002508F2"/>
    <w:rsid w:val="00252AA0"/>
    <w:rsid w:val="0025340A"/>
    <w:rsid w:val="002537B0"/>
    <w:rsid w:val="00253E9A"/>
    <w:rsid w:val="00257615"/>
    <w:rsid w:val="002600F2"/>
    <w:rsid w:val="00260F80"/>
    <w:rsid w:val="00261FF6"/>
    <w:rsid w:val="00263C2D"/>
    <w:rsid w:val="002701E4"/>
    <w:rsid w:val="002727EE"/>
    <w:rsid w:val="002829E0"/>
    <w:rsid w:val="00287617"/>
    <w:rsid w:val="00287BE7"/>
    <w:rsid w:val="0029505D"/>
    <w:rsid w:val="00295809"/>
    <w:rsid w:val="002A19D6"/>
    <w:rsid w:val="002A3E4F"/>
    <w:rsid w:val="002A6252"/>
    <w:rsid w:val="002A6B06"/>
    <w:rsid w:val="002B0EAE"/>
    <w:rsid w:val="002B2BB5"/>
    <w:rsid w:val="002B63CE"/>
    <w:rsid w:val="002B6B0A"/>
    <w:rsid w:val="002C48E6"/>
    <w:rsid w:val="002C50B2"/>
    <w:rsid w:val="002C5D9E"/>
    <w:rsid w:val="002C6BE9"/>
    <w:rsid w:val="002C7CA6"/>
    <w:rsid w:val="002D22F2"/>
    <w:rsid w:val="002D3B50"/>
    <w:rsid w:val="002D4C69"/>
    <w:rsid w:val="002D7699"/>
    <w:rsid w:val="002E0971"/>
    <w:rsid w:val="002E718D"/>
    <w:rsid w:val="002F07F3"/>
    <w:rsid w:val="002F132A"/>
    <w:rsid w:val="002F19C9"/>
    <w:rsid w:val="002F3CDC"/>
    <w:rsid w:val="002F70C3"/>
    <w:rsid w:val="00303CA8"/>
    <w:rsid w:val="00304BF0"/>
    <w:rsid w:val="00304E6F"/>
    <w:rsid w:val="00307681"/>
    <w:rsid w:val="00312B80"/>
    <w:rsid w:val="00315E88"/>
    <w:rsid w:val="00317646"/>
    <w:rsid w:val="00317B57"/>
    <w:rsid w:val="0032096D"/>
    <w:rsid w:val="00321466"/>
    <w:rsid w:val="00321BFE"/>
    <w:rsid w:val="00331995"/>
    <w:rsid w:val="00332062"/>
    <w:rsid w:val="00333E3E"/>
    <w:rsid w:val="003364BA"/>
    <w:rsid w:val="00341312"/>
    <w:rsid w:val="003418CF"/>
    <w:rsid w:val="00343EBB"/>
    <w:rsid w:val="00346DDA"/>
    <w:rsid w:val="00352713"/>
    <w:rsid w:val="003541BC"/>
    <w:rsid w:val="00356F39"/>
    <w:rsid w:val="00361C9F"/>
    <w:rsid w:val="00366096"/>
    <w:rsid w:val="00366BF1"/>
    <w:rsid w:val="0037439E"/>
    <w:rsid w:val="00381D95"/>
    <w:rsid w:val="00387CD9"/>
    <w:rsid w:val="003930E5"/>
    <w:rsid w:val="003A16B5"/>
    <w:rsid w:val="003A3345"/>
    <w:rsid w:val="003A4F1D"/>
    <w:rsid w:val="003A5C92"/>
    <w:rsid w:val="003A60A9"/>
    <w:rsid w:val="003B13BF"/>
    <w:rsid w:val="003B1856"/>
    <w:rsid w:val="003B2168"/>
    <w:rsid w:val="003C0073"/>
    <w:rsid w:val="003C582C"/>
    <w:rsid w:val="003C601C"/>
    <w:rsid w:val="003C79EA"/>
    <w:rsid w:val="003D1043"/>
    <w:rsid w:val="003D20D7"/>
    <w:rsid w:val="003D4EC6"/>
    <w:rsid w:val="003E007E"/>
    <w:rsid w:val="003E3B7A"/>
    <w:rsid w:val="003E3CC8"/>
    <w:rsid w:val="003E7423"/>
    <w:rsid w:val="003E7938"/>
    <w:rsid w:val="003F045A"/>
    <w:rsid w:val="003F04DD"/>
    <w:rsid w:val="003F13CB"/>
    <w:rsid w:val="003F34F5"/>
    <w:rsid w:val="003F361D"/>
    <w:rsid w:val="003F6666"/>
    <w:rsid w:val="00400583"/>
    <w:rsid w:val="004036EB"/>
    <w:rsid w:val="0040383F"/>
    <w:rsid w:val="0040616C"/>
    <w:rsid w:val="00410BD5"/>
    <w:rsid w:val="004118C4"/>
    <w:rsid w:val="004131B9"/>
    <w:rsid w:val="004133BA"/>
    <w:rsid w:val="004133C8"/>
    <w:rsid w:val="004135BD"/>
    <w:rsid w:val="00415706"/>
    <w:rsid w:val="004218D2"/>
    <w:rsid w:val="0042237F"/>
    <w:rsid w:val="00423651"/>
    <w:rsid w:val="004251C2"/>
    <w:rsid w:val="00425617"/>
    <w:rsid w:val="004319FF"/>
    <w:rsid w:val="00432CD5"/>
    <w:rsid w:val="004361FE"/>
    <w:rsid w:val="00436B23"/>
    <w:rsid w:val="004375BF"/>
    <w:rsid w:val="00440B24"/>
    <w:rsid w:val="004443D5"/>
    <w:rsid w:val="00444C15"/>
    <w:rsid w:val="004461AC"/>
    <w:rsid w:val="00447E02"/>
    <w:rsid w:val="00450892"/>
    <w:rsid w:val="00450F62"/>
    <w:rsid w:val="00452AAB"/>
    <w:rsid w:val="004531CF"/>
    <w:rsid w:val="00454620"/>
    <w:rsid w:val="00455F6E"/>
    <w:rsid w:val="00457157"/>
    <w:rsid w:val="00465F3E"/>
    <w:rsid w:val="0046657F"/>
    <w:rsid w:val="004706AA"/>
    <w:rsid w:val="00471FE3"/>
    <w:rsid w:val="0047260D"/>
    <w:rsid w:val="00476C68"/>
    <w:rsid w:val="00480566"/>
    <w:rsid w:val="004813C6"/>
    <w:rsid w:val="00482EF1"/>
    <w:rsid w:val="0048437E"/>
    <w:rsid w:val="004855BC"/>
    <w:rsid w:val="0049023B"/>
    <w:rsid w:val="00490909"/>
    <w:rsid w:val="0049134D"/>
    <w:rsid w:val="00493C86"/>
    <w:rsid w:val="00493C91"/>
    <w:rsid w:val="004976BD"/>
    <w:rsid w:val="004A1AF4"/>
    <w:rsid w:val="004A2A36"/>
    <w:rsid w:val="004A44EE"/>
    <w:rsid w:val="004B13C1"/>
    <w:rsid w:val="004B1629"/>
    <w:rsid w:val="004B17A2"/>
    <w:rsid w:val="004B2171"/>
    <w:rsid w:val="004B596D"/>
    <w:rsid w:val="004C1424"/>
    <w:rsid w:val="004C72EB"/>
    <w:rsid w:val="004C7708"/>
    <w:rsid w:val="004D627B"/>
    <w:rsid w:val="004E1400"/>
    <w:rsid w:val="004E19F0"/>
    <w:rsid w:val="004E266A"/>
    <w:rsid w:val="004E3536"/>
    <w:rsid w:val="004E5B22"/>
    <w:rsid w:val="004E743A"/>
    <w:rsid w:val="004F0127"/>
    <w:rsid w:val="004F185A"/>
    <w:rsid w:val="004F23A1"/>
    <w:rsid w:val="004F310F"/>
    <w:rsid w:val="004F3B36"/>
    <w:rsid w:val="004F5023"/>
    <w:rsid w:val="004F7117"/>
    <w:rsid w:val="005013AF"/>
    <w:rsid w:val="00501A24"/>
    <w:rsid w:val="00501CE6"/>
    <w:rsid w:val="00515393"/>
    <w:rsid w:val="00515643"/>
    <w:rsid w:val="00520690"/>
    <w:rsid w:val="00521100"/>
    <w:rsid w:val="00523423"/>
    <w:rsid w:val="00524A1A"/>
    <w:rsid w:val="00525FCD"/>
    <w:rsid w:val="00531888"/>
    <w:rsid w:val="00531E3C"/>
    <w:rsid w:val="0053548A"/>
    <w:rsid w:val="00535B5A"/>
    <w:rsid w:val="005364AD"/>
    <w:rsid w:val="005420AD"/>
    <w:rsid w:val="00543B0C"/>
    <w:rsid w:val="00547E6D"/>
    <w:rsid w:val="00550965"/>
    <w:rsid w:val="0055099C"/>
    <w:rsid w:val="00550CEA"/>
    <w:rsid w:val="00551BA4"/>
    <w:rsid w:val="00552161"/>
    <w:rsid w:val="00552793"/>
    <w:rsid w:val="005533E2"/>
    <w:rsid w:val="00555D4B"/>
    <w:rsid w:val="005608D4"/>
    <w:rsid w:val="00560C2B"/>
    <w:rsid w:val="00562148"/>
    <w:rsid w:val="005646CD"/>
    <w:rsid w:val="005671C6"/>
    <w:rsid w:val="00572CF2"/>
    <w:rsid w:val="005742F3"/>
    <w:rsid w:val="00574AB9"/>
    <w:rsid w:val="005750B3"/>
    <w:rsid w:val="0057644D"/>
    <w:rsid w:val="00577DCB"/>
    <w:rsid w:val="00581DF6"/>
    <w:rsid w:val="00586DA7"/>
    <w:rsid w:val="005926C5"/>
    <w:rsid w:val="005A7145"/>
    <w:rsid w:val="005B11DE"/>
    <w:rsid w:val="005B4DD5"/>
    <w:rsid w:val="005C07CC"/>
    <w:rsid w:val="005C2A76"/>
    <w:rsid w:val="005C2BF7"/>
    <w:rsid w:val="005C2F69"/>
    <w:rsid w:val="005C73BD"/>
    <w:rsid w:val="005D2BE8"/>
    <w:rsid w:val="005D3A3C"/>
    <w:rsid w:val="005D53AE"/>
    <w:rsid w:val="005D5C2C"/>
    <w:rsid w:val="005D69FB"/>
    <w:rsid w:val="005E5D67"/>
    <w:rsid w:val="005E5D73"/>
    <w:rsid w:val="005E688D"/>
    <w:rsid w:val="005E6C4A"/>
    <w:rsid w:val="005E7A1C"/>
    <w:rsid w:val="005F01D6"/>
    <w:rsid w:val="005F1308"/>
    <w:rsid w:val="005F154B"/>
    <w:rsid w:val="005F288E"/>
    <w:rsid w:val="005F292D"/>
    <w:rsid w:val="005F41BA"/>
    <w:rsid w:val="005F6ABD"/>
    <w:rsid w:val="005F6F20"/>
    <w:rsid w:val="005F7046"/>
    <w:rsid w:val="00601FCE"/>
    <w:rsid w:val="00603440"/>
    <w:rsid w:val="006047F6"/>
    <w:rsid w:val="00607CB0"/>
    <w:rsid w:val="00607CCA"/>
    <w:rsid w:val="00611AAD"/>
    <w:rsid w:val="00621C76"/>
    <w:rsid w:val="006223B9"/>
    <w:rsid w:val="00623875"/>
    <w:rsid w:val="0063229E"/>
    <w:rsid w:val="006349B9"/>
    <w:rsid w:val="00634BA2"/>
    <w:rsid w:val="0063689B"/>
    <w:rsid w:val="00636956"/>
    <w:rsid w:val="0063717F"/>
    <w:rsid w:val="00637D4A"/>
    <w:rsid w:val="0064287E"/>
    <w:rsid w:val="00642DD9"/>
    <w:rsid w:val="006439DD"/>
    <w:rsid w:val="006459BB"/>
    <w:rsid w:val="00646210"/>
    <w:rsid w:val="00647AA7"/>
    <w:rsid w:val="00650706"/>
    <w:rsid w:val="006522FA"/>
    <w:rsid w:val="00652E4B"/>
    <w:rsid w:val="006537A2"/>
    <w:rsid w:val="00654A8F"/>
    <w:rsid w:val="006562D4"/>
    <w:rsid w:val="0065671A"/>
    <w:rsid w:val="00656CFD"/>
    <w:rsid w:val="0066027E"/>
    <w:rsid w:val="006613C5"/>
    <w:rsid w:val="0066154F"/>
    <w:rsid w:val="006615E8"/>
    <w:rsid w:val="00673998"/>
    <w:rsid w:val="00680162"/>
    <w:rsid w:val="00681E20"/>
    <w:rsid w:val="00682C89"/>
    <w:rsid w:val="00685284"/>
    <w:rsid w:val="0068533A"/>
    <w:rsid w:val="00685C8F"/>
    <w:rsid w:val="00686524"/>
    <w:rsid w:val="006866F6"/>
    <w:rsid w:val="00690CD6"/>
    <w:rsid w:val="0069297A"/>
    <w:rsid w:val="00693BD0"/>
    <w:rsid w:val="0069700B"/>
    <w:rsid w:val="006A26FD"/>
    <w:rsid w:val="006A6105"/>
    <w:rsid w:val="006A65C9"/>
    <w:rsid w:val="006A69A1"/>
    <w:rsid w:val="006A6ADB"/>
    <w:rsid w:val="006B127E"/>
    <w:rsid w:val="006C0F77"/>
    <w:rsid w:val="006C35DB"/>
    <w:rsid w:val="006D032A"/>
    <w:rsid w:val="006D172F"/>
    <w:rsid w:val="006D20A5"/>
    <w:rsid w:val="006E27D9"/>
    <w:rsid w:val="006E6E5C"/>
    <w:rsid w:val="006E763C"/>
    <w:rsid w:val="006E7BF1"/>
    <w:rsid w:val="006F1875"/>
    <w:rsid w:val="006F5181"/>
    <w:rsid w:val="006F7048"/>
    <w:rsid w:val="0070126E"/>
    <w:rsid w:val="007051FA"/>
    <w:rsid w:val="00710974"/>
    <w:rsid w:val="00711B26"/>
    <w:rsid w:val="007144CD"/>
    <w:rsid w:val="00716342"/>
    <w:rsid w:val="00716AE6"/>
    <w:rsid w:val="007178C6"/>
    <w:rsid w:val="0072032C"/>
    <w:rsid w:val="00721286"/>
    <w:rsid w:val="00722473"/>
    <w:rsid w:val="00722D73"/>
    <w:rsid w:val="007249D0"/>
    <w:rsid w:val="0072673C"/>
    <w:rsid w:val="00726A5F"/>
    <w:rsid w:val="007277E8"/>
    <w:rsid w:val="00730A19"/>
    <w:rsid w:val="00730EBB"/>
    <w:rsid w:val="0073486B"/>
    <w:rsid w:val="0073537E"/>
    <w:rsid w:val="00736DE9"/>
    <w:rsid w:val="00741FFD"/>
    <w:rsid w:val="007435F9"/>
    <w:rsid w:val="0074638A"/>
    <w:rsid w:val="0075169D"/>
    <w:rsid w:val="00752B3A"/>
    <w:rsid w:val="0075330C"/>
    <w:rsid w:val="007534B1"/>
    <w:rsid w:val="00753854"/>
    <w:rsid w:val="00760155"/>
    <w:rsid w:val="00762D0A"/>
    <w:rsid w:val="00765293"/>
    <w:rsid w:val="0076590C"/>
    <w:rsid w:val="00767236"/>
    <w:rsid w:val="00774833"/>
    <w:rsid w:val="00777806"/>
    <w:rsid w:val="007800EA"/>
    <w:rsid w:val="00780392"/>
    <w:rsid w:val="00782918"/>
    <w:rsid w:val="007839CA"/>
    <w:rsid w:val="00784C54"/>
    <w:rsid w:val="00785305"/>
    <w:rsid w:val="00787CBF"/>
    <w:rsid w:val="0079321F"/>
    <w:rsid w:val="007954A1"/>
    <w:rsid w:val="007A0FD7"/>
    <w:rsid w:val="007A1154"/>
    <w:rsid w:val="007A249A"/>
    <w:rsid w:val="007A56BD"/>
    <w:rsid w:val="007A5EE4"/>
    <w:rsid w:val="007A75F6"/>
    <w:rsid w:val="007B0753"/>
    <w:rsid w:val="007B0DED"/>
    <w:rsid w:val="007B22EB"/>
    <w:rsid w:val="007B31E6"/>
    <w:rsid w:val="007B6385"/>
    <w:rsid w:val="007B7009"/>
    <w:rsid w:val="007B7DD1"/>
    <w:rsid w:val="007C437B"/>
    <w:rsid w:val="007C47F4"/>
    <w:rsid w:val="007D4BDD"/>
    <w:rsid w:val="007D4FB4"/>
    <w:rsid w:val="007D53BF"/>
    <w:rsid w:val="007D666B"/>
    <w:rsid w:val="007E3DB4"/>
    <w:rsid w:val="007E3F15"/>
    <w:rsid w:val="007E4931"/>
    <w:rsid w:val="007E73B2"/>
    <w:rsid w:val="007E7CBE"/>
    <w:rsid w:val="007F046E"/>
    <w:rsid w:val="007F298D"/>
    <w:rsid w:val="007F4061"/>
    <w:rsid w:val="007F7249"/>
    <w:rsid w:val="007F7B6B"/>
    <w:rsid w:val="00801682"/>
    <w:rsid w:val="00806291"/>
    <w:rsid w:val="008065E0"/>
    <w:rsid w:val="00822B1A"/>
    <w:rsid w:val="00823A78"/>
    <w:rsid w:val="00825463"/>
    <w:rsid w:val="008266FF"/>
    <w:rsid w:val="008317F4"/>
    <w:rsid w:val="00832F73"/>
    <w:rsid w:val="008341ED"/>
    <w:rsid w:val="00834385"/>
    <w:rsid w:val="00834E1A"/>
    <w:rsid w:val="00834E96"/>
    <w:rsid w:val="008355AF"/>
    <w:rsid w:val="00835B85"/>
    <w:rsid w:val="00836067"/>
    <w:rsid w:val="00836F4A"/>
    <w:rsid w:val="008375E4"/>
    <w:rsid w:val="00840826"/>
    <w:rsid w:val="00840A9D"/>
    <w:rsid w:val="008423A6"/>
    <w:rsid w:val="00843F10"/>
    <w:rsid w:val="00844354"/>
    <w:rsid w:val="0084452D"/>
    <w:rsid w:val="0084730D"/>
    <w:rsid w:val="00850830"/>
    <w:rsid w:val="00851545"/>
    <w:rsid w:val="008568BD"/>
    <w:rsid w:val="0085692D"/>
    <w:rsid w:val="00861223"/>
    <w:rsid w:val="008631B2"/>
    <w:rsid w:val="0086431D"/>
    <w:rsid w:val="00864ABE"/>
    <w:rsid w:val="00865AB7"/>
    <w:rsid w:val="00867C5C"/>
    <w:rsid w:val="0087233B"/>
    <w:rsid w:val="00874AE0"/>
    <w:rsid w:val="00874B9B"/>
    <w:rsid w:val="00876088"/>
    <w:rsid w:val="00880F1E"/>
    <w:rsid w:val="00885643"/>
    <w:rsid w:val="00886674"/>
    <w:rsid w:val="00886930"/>
    <w:rsid w:val="00887CA5"/>
    <w:rsid w:val="00890CEB"/>
    <w:rsid w:val="0089310B"/>
    <w:rsid w:val="008A0E94"/>
    <w:rsid w:val="008B31E2"/>
    <w:rsid w:val="008B385F"/>
    <w:rsid w:val="008B413A"/>
    <w:rsid w:val="008B4790"/>
    <w:rsid w:val="008B575C"/>
    <w:rsid w:val="008C0E90"/>
    <w:rsid w:val="008C1EC1"/>
    <w:rsid w:val="008C76DD"/>
    <w:rsid w:val="008D0742"/>
    <w:rsid w:val="008D2257"/>
    <w:rsid w:val="008D3570"/>
    <w:rsid w:val="008D6686"/>
    <w:rsid w:val="008D7B13"/>
    <w:rsid w:val="008E3547"/>
    <w:rsid w:val="008E49B0"/>
    <w:rsid w:val="008E5397"/>
    <w:rsid w:val="008E586A"/>
    <w:rsid w:val="008F100D"/>
    <w:rsid w:val="008F1313"/>
    <w:rsid w:val="008F2393"/>
    <w:rsid w:val="008F3C07"/>
    <w:rsid w:val="008F46C5"/>
    <w:rsid w:val="008F71B5"/>
    <w:rsid w:val="008F7235"/>
    <w:rsid w:val="008F78BB"/>
    <w:rsid w:val="00900272"/>
    <w:rsid w:val="00900CCA"/>
    <w:rsid w:val="00901BE1"/>
    <w:rsid w:val="009040AE"/>
    <w:rsid w:val="0090725B"/>
    <w:rsid w:val="0091143B"/>
    <w:rsid w:val="00911C3C"/>
    <w:rsid w:val="00912F59"/>
    <w:rsid w:val="009133E5"/>
    <w:rsid w:val="00915735"/>
    <w:rsid w:val="00916888"/>
    <w:rsid w:val="009230EC"/>
    <w:rsid w:val="009231BC"/>
    <w:rsid w:val="00924769"/>
    <w:rsid w:val="00924A1F"/>
    <w:rsid w:val="00924A21"/>
    <w:rsid w:val="0092598A"/>
    <w:rsid w:val="00930C6E"/>
    <w:rsid w:val="00932D4F"/>
    <w:rsid w:val="00932E85"/>
    <w:rsid w:val="009349FC"/>
    <w:rsid w:val="00937F5F"/>
    <w:rsid w:val="00940007"/>
    <w:rsid w:val="00940F35"/>
    <w:rsid w:val="00941598"/>
    <w:rsid w:val="009425EA"/>
    <w:rsid w:val="00942653"/>
    <w:rsid w:val="00944157"/>
    <w:rsid w:val="009447C4"/>
    <w:rsid w:val="00945362"/>
    <w:rsid w:val="00945E33"/>
    <w:rsid w:val="00946346"/>
    <w:rsid w:val="0095004C"/>
    <w:rsid w:val="0095152C"/>
    <w:rsid w:val="009523E6"/>
    <w:rsid w:val="00953C1E"/>
    <w:rsid w:val="00956517"/>
    <w:rsid w:val="0095666F"/>
    <w:rsid w:val="009620BB"/>
    <w:rsid w:val="009646F2"/>
    <w:rsid w:val="009667E7"/>
    <w:rsid w:val="009671E9"/>
    <w:rsid w:val="00970076"/>
    <w:rsid w:val="0097164A"/>
    <w:rsid w:val="009720CC"/>
    <w:rsid w:val="00972BCF"/>
    <w:rsid w:val="0097417E"/>
    <w:rsid w:val="00974CEE"/>
    <w:rsid w:val="00975B94"/>
    <w:rsid w:val="00982178"/>
    <w:rsid w:val="00983286"/>
    <w:rsid w:val="0098600E"/>
    <w:rsid w:val="00986DA1"/>
    <w:rsid w:val="00986F9F"/>
    <w:rsid w:val="00987E7E"/>
    <w:rsid w:val="00987F5E"/>
    <w:rsid w:val="00990210"/>
    <w:rsid w:val="00994764"/>
    <w:rsid w:val="00996F48"/>
    <w:rsid w:val="0099726A"/>
    <w:rsid w:val="009A0C66"/>
    <w:rsid w:val="009B1CD8"/>
    <w:rsid w:val="009B2177"/>
    <w:rsid w:val="009B3482"/>
    <w:rsid w:val="009B37CE"/>
    <w:rsid w:val="009B3F49"/>
    <w:rsid w:val="009B55C5"/>
    <w:rsid w:val="009B57C0"/>
    <w:rsid w:val="009B6EDD"/>
    <w:rsid w:val="009C3E30"/>
    <w:rsid w:val="009C6FEA"/>
    <w:rsid w:val="009C79BF"/>
    <w:rsid w:val="009D0740"/>
    <w:rsid w:val="009D2B6E"/>
    <w:rsid w:val="009D5A99"/>
    <w:rsid w:val="009D5C3A"/>
    <w:rsid w:val="009D753E"/>
    <w:rsid w:val="009E2439"/>
    <w:rsid w:val="009E26E9"/>
    <w:rsid w:val="009F2A59"/>
    <w:rsid w:val="009F4EEA"/>
    <w:rsid w:val="00A0050B"/>
    <w:rsid w:val="00A078E6"/>
    <w:rsid w:val="00A10FBC"/>
    <w:rsid w:val="00A12998"/>
    <w:rsid w:val="00A15016"/>
    <w:rsid w:val="00A15B2D"/>
    <w:rsid w:val="00A20137"/>
    <w:rsid w:val="00A21DB2"/>
    <w:rsid w:val="00A23230"/>
    <w:rsid w:val="00A23449"/>
    <w:rsid w:val="00A33206"/>
    <w:rsid w:val="00A347D1"/>
    <w:rsid w:val="00A3526B"/>
    <w:rsid w:val="00A37AEB"/>
    <w:rsid w:val="00A44FA4"/>
    <w:rsid w:val="00A46498"/>
    <w:rsid w:val="00A46D19"/>
    <w:rsid w:val="00A47091"/>
    <w:rsid w:val="00A53966"/>
    <w:rsid w:val="00A53EFD"/>
    <w:rsid w:val="00A56DF4"/>
    <w:rsid w:val="00A6336A"/>
    <w:rsid w:val="00A63DE8"/>
    <w:rsid w:val="00A64B23"/>
    <w:rsid w:val="00A64D4A"/>
    <w:rsid w:val="00A655C8"/>
    <w:rsid w:val="00A7210D"/>
    <w:rsid w:val="00A72981"/>
    <w:rsid w:val="00A778C0"/>
    <w:rsid w:val="00A80727"/>
    <w:rsid w:val="00A83D23"/>
    <w:rsid w:val="00A85973"/>
    <w:rsid w:val="00A924DE"/>
    <w:rsid w:val="00A9256E"/>
    <w:rsid w:val="00A94962"/>
    <w:rsid w:val="00A949E5"/>
    <w:rsid w:val="00A96026"/>
    <w:rsid w:val="00A961D2"/>
    <w:rsid w:val="00A96BEE"/>
    <w:rsid w:val="00AA0098"/>
    <w:rsid w:val="00AA154F"/>
    <w:rsid w:val="00AA20A2"/>
    <w:rsid w:val="00AA378A"/>
    <w:rsid w:val="00AA496E"/>
    <w:rsid w:val="00AA580A"/>
    <w:rsid w:val="00AA6E9B"/>
    <w:rsid w:val="00AB131C"/>
    <w:rsid w:val="00AB4125"/>
    <w:rsid w:val="00AB49A9"/>
    <w:rsid w:val="00AB549A"/>
    <w:rsid w:val="00AB7225"/>
    <w:rsid w:val="00AB7FE5"/>
    <w:rsid w:val="00AC2019"/>
    <w:rsid w:val="00AC458B"/>
    <w:rsid w:val="00AC7594"/>
    <w:rsid w:val="00AC79E2"/>
    <w:rsid w:val="00AC7C11"/>
    <w:rsid w:val="00AD0254"/>
    <w:rsid w:val="00AD582B"/>
    <w:rsid w:val="00AD7174"/>
    <w:rsid w:val="00AD723C"/>
    <w:rsid w:val="00AD78BC"/>
    <w:rsid w:val="00AD7E8F"/>
    <w:rsid w:val="00AE4A11"/>
    <w:rsid w:val="00AE6883"/>
    <w:rsid w:val="00AF0072"/>
    <w:rsid w:val="00AF0A80"/>
    <w:rsid w:val="00B00086"/>
    <w:rsid w:val="00B1053F"/>
    <w:rsid w:val="00B11905"/>
    <w:rsid w:val="00B13779"/>
    <w:rsid w:val="00B13A74"/>
    <w:rsid w:val="00B13AD4"/>
    <w:rsid w:val="00B223CA"/>
    <w:rsid w:val="00B23330"/>
    <w:rsid w:val="00B23AF0"/>
    <w:rsid w:val="00B26853"/>
    <w:rsid w:val="00B27E39"/>
    <w:rsid w:val="00B33498"/>
    <w:rsid w:val="00B3598F"/>
    <w:rsid w:val="00B3773A"/>
    <w:rsid w:val="00B40F28"/>
    <w:rsid w:val="00B4126D"/>
    <w:rsid w:val="00B44F1B"/>
    <w:rsid w:val="00B46674"/>
    <w:rsid w:val="00B47B2B"/>
    <w:rsid w:val="00B47EA0"/>
    <w:rsid w:val="00B50E94"/>
    <w:rsid w:val="00B50F9E"/>
    <w:rsid w:val="00B5226E"/>
    <w:rsid w:val="00B56236"/>
    <w:rsid w:val="00B56827"/>
    <w:rsid w:val="00B56D80"/>
    <w:rsid w:val="00B639BB"/>
    <w:rsid w:val="00B653BA"/>
    <w:rsid w:val="00B7012C"/>
    <w:rsid w:val="00B703E9"/>
    <w:rsid w:val="00B821FD"/>
    <w:rsid w:val="00B85147"/>
    <w:rsid w:val="00B91089"/>
    <w:rsid w:val="00B94C10"/>
    <w:rsid w:val="00B976CE"/>
    <w:rsid w:val="00B97CBE"/>
    <w:rsid w:val="00BA012C"/>
    <w:rsid w:val="00BA0752"/>
    <w:rsid w:val="00BA0923"/>
    <w:rsid w:val="00BA2A11"/>
    <w:rsid w:val="00BA3820"/>
    <w:rsid w:val="00BB3DE1"/>
    <w:rsid w:val="00BB693D"/>
    <w:rsid w:val="00BB76E8"/>
    <w:rsid w:val="00BC25CA"/>
    <w:rsid w:val="00BC4174"/>
    <w:rsid w:val="00BC4423"/>
    <w:rsid w:val="00BC57F4"/>
    <w:rsid w:val="00BD0701"/>
    <w:rsid w:val="00BD22B7"/>
    <w:rsid w:val="00BD3081"/>
    <w:rsid w:val="00BD32A2"/>
    <w:rsid w:val="00BD5319"/>
    <w:rsid w:val="00BD6678"/>
    <w:rsid w:val="00BE01E8"/>
    <w:rsid w:val="00BE074F"/>
    <w:rsid w:val="00BE1A6B"/>
    <w:rsid w:val="00BE4293"/>
    <w:rsid w:val="00BE63E4"/>
    <w:rsid w:val="00BE7D64"/>
    <w:rsid w:val="00BF3EBA"/>
    <w:rsid w:val="00C025B3"/>
    <w:rsid w:val="00C07587"/>
    <w:rsid w:val="00C11058"/>
    <w:rsid w:val="00C11EFB"/>
    <w:rsid w:val="00C132EA"/>
    <w:rsid w:val="00C13D35"/>
    <w:rsid w:val="00C144A3"/>
    <w:rsid w:val="00C14C12"/>
    <w:rsid w:val="00C158F2"/>
    <w:rsid w:val="00C1666E"/>
    <w:rsid w:val="00C16AF5"/>
    <w:rsid w:val="00C21A0E"/>
    <w:rsid w:val="00C256E1"/>
    <w:rsid w:val="00C327B6"/>
    <w:rsid w:val="00C334D0"/>
    <w:rsid w:val="00C34170"/>
    <w:rsid w:val="00C36A5D"/>
    <w:rsid w:val="00C40B09"/>
    <w:rsid w:val="00C4113F"/>
    <w:rsid w:val="00C4553F"/>
    <w:rsid w:val="00C45C01"/>
    <w:rsid w:val="00C536D6"/>
    <w:rsid w:val="00C57BDF"/>
    <w:rsid w:val="00C57E9C"/>
    <w:rsid w:val="00C6170E"/>
    <w:rsid w:val="00C6751D"/>
    <w:rsid w:val="00C717E0"/>
    <w:rsid w:val="00C73454"/>
    <w:rsid w:val="00C74D20"/>
    <w:rsid w:val="00C7596F"/>
    <w:rsid w:val="00C806A8"/>
    <w:rsid w:val="00C82B2F"/>
    <w:rsid w:val="00C83C33"/>
    <w:rsid w:val="00C83F53"/>
    <w:rsid w:val="00C86151"/>
    <w:rsid w:val="00C8711E"/>
    <w:rsid w:val="00C91235"/>
    <w:rsid w:val="00C91CD0"/>
    <w:rsid w:val="00C92517"/>
    <w:rsid w:val="00C93358"/>
    <w:rsid w:val="00C93D79"/>
    <w:rsid w:val="00C96388"/>
    <w:rsid w:val="00C973E3"/>
    <w:rsid w:val="00CA116B"/>
    <w:rsid w:val="00CA214B"/>
    <w:rsid w:val="00CA2979"/>
    <w:rsid w:val="00CA316F"/>
    <w:rsid w:val="00CA424C"/>
    <w:rsid w:val="00CA5461"/>
    <w:rsid w:val="00CB00E4"/>
    <w:rsid w:val="00CB1494"/>
    <w:rsid w:val="00CB3CBA"/>
    <w:rsid w:val="00CB4336"/>
    <w:rsid w:val="00CB4FB5"/>
    <w:rsid w:val="00CB624F"/>
    <w:rsid w:val="00CB7163"/>
    <w:rsid w:val="00CC03D3"/>
    <w:rsid w:val="00CC36A1"/>
    <w:rsid w:val="00CC5B06"/>
    <w:rsid w:val="00CC5B6C"/>
    <w:rsid w:val="00CC7661"/>
    <w:rsid w:val="00CD202C"/>
    <w:rsid w:val="00CD3BA7"/>
    <w:rsid w:val="00CE00C0"/>
    <w:rsid w:val="00CE0B3D"/>
    <w:rsid w:val="00CE38AE"/>
    <w:rsid w:val="00CE5004"/>
    <w:rsid w:val="00CE6E04"/>
    <w:rsid w:val="00CF30F1"/>
    <w:rsid w:val="00CF581D"/>
    <w:rsid w:val="00CF5C4A"/>
    <w:rsid w:val="00D10FCC"/>
    <w:rsid w:val="00D11404"/>
    <w:rsid w:val="00D151A9"/>
    <w:rsid w:val="00D2036A"/>
    <w:rsid w:val="00D20563"/>
    <w:rsid w:val="00D21D95"/>
    <w:rsid w:val="00D25C32"/>
    <w:rsid w:val="00D41DE8"/>
    <w:rsid w:val="00D43280"/>
    <w:rsid w:val="00D439FE"/>
    <w:rsid w:val="00D45984"/>
    <w:rsid w:val="00D510C5"/>
    <w:rsid w:val="00D5141B"/>
    <w:rsid w:val="00D52197"/>
    <w:rsid w:val="00D57499"/>
    <w:rsid w:val="00D57BDF"/>
    <w:rsid w:val="00D57E65"/>
    <w:rsid w:val="00D63F3F"/>
    <w:rsid w:val="00D70B8E"/>
    <w:rsid w:val="00D72419"/>
    <w:rsid w:val="00D75199"/>
    <w:rsid w:val="00D76C0F"/>
    <w:rsid w:val="00D80226"/>
    <w:rsid w:val="00D81C73"/>
    <w:rsid w:val="00D834C6"/>
    <w:rsid w:val="00D91F9E"/>
    <w:rsid w:val="00D92C50"/>
    <w:rsid w:val="00D95F2D"/>
    <w:rsid w:val="00D97D3F"/>
    <w:rsid w:val="00DA7AF5"/>
    <w:rsid w:val="00DB6E87"/>
    <w:rsid w:val="00DB7805"/>
    <w:rsid w:val="00DC3E23"/>
    <w:rsid w:val="00DC51D2"/>
    <w:rsid w:val="00DC5814"/>
    <w:rsid w:val="00DC63B4"/>
    <w:rsid w:val="00DD2C8E"/>
    <w:rsid w:val="00DD3734"/>
    <w:rsid w:val="00DD3A91"/>
    <w:rsid w:val="00DE5B35"/>
    <w:rsid w:val="00DF219B"/>
    <w:rsid w:val="00DF3444"/>
    <w:rsid w:val="00DF3A0C"/>
    <w:rsid w:val="00DF55BA"/>
    <w:rsid w:val="00DF58A5"/>
    <w:rsid w:val="00E014B1"/>
    <w:rsid w:val="00E02359"/>
    <w:rsid w:val="00E06BE2"/>
    <w:rsid w:val="00E120FF"/>
    <w:rsid w:val="00E12F23"/>
    <w:rsid w:val="00E13F42"/>
    <w:rsid w:val="00E15379"/>
    <w:rsid w:val="00E158C9"/>
    <w:rsid w:val="00E230C6"/>
    <w:rsid w:val="00E238D3"/>
    <w:rsid w:val="00E249E3"/>
    <w:rsid w:val="00E273C6"/>
    <w:rsid w:val="00E35818"/>
    <w:rsid w:val="00E405C2"/>
    <w:rsid w:val="00E41CF0"/>
    <w:rsid w:val="00E47BE5"/>
    <w:rsid w:val="00E50D11"/>
    <w:rsid w:val="00E57F3F"/>
    <w:rsid w:val="00E6235D"/>
    <w:rsid w:val="00E631EE"/>
    <w:rsid w:val="00E640B6"/>
    <w:rsid w:val="00E660A7"/>
    <w:rsid w:val="00E670B8"/>
    <w:rsid w:val="00E7034D"/>
    <w:rsid w:val="00E70EE1"/>
    <w:rsid w:val="00E732FC"/>
    <w:rsid w:val="00E772FD"/>
    <w:rsid w:val="00E8182D"/>
    <w:rsid w:val="00E83C8E"/>
    <w:rsid w:val="00E84AED"/>
    <w:rsid w:val="00E86E45"/>
    <w:rsid w:val="00E9088F"/>
    <w:rsid w:val="00E932BD"/>
    <w:rsid w:val="00E93350"/>
    <w:rsid w:val="00E9366C"/>
    <w:rsid w:val="00E951AB"/>
    <w:rsid w:val="00E951F8"/>
    <w:rsid w:val="00E9594B"/>
    <w:rsid w:val="00EB09A5"/>
    <w:rsid w:val="00EB1376"/>
    <w:rsid w:val="00EB3E6C"/>
    <w:rsid w:val="00EB4465"/>
    <w:rsid w:val="00EB521A"/>
    <w:rsid w:val="00EC4B3B"/>
    <w:rsid w:val="00EC4E2C"/>
    <w:rsid w:val="00EC691C"/>
    <w:rsid w:val="00ED45D8"/>
    <w:rsid w:val="00ED484E"/>
    <w:rsid w:val="00ED5EF9"/>
    <w:rsid w:val="00EE162C"/>
    <w:rsid w:val="00EE5756"/>
    <w:rsid w:val="00EE6196"/>
    <w:rsid w:val="00EE7BEB"/>
    <w:rsid w:val="00EF0147"/>
    <w:rsid w:val="00EF38D5"/>
    <w:rsid w:val="00EF3E4C"/>
    <w:rsid w:val="00F00262"/>
    <w:rsid w:val="00F02AF6"/>
    <w:rsid w:val="00F056F1"/>
    <w:rsid w:val="00F05869"/>
    <w:rsid w:val="00F06886"/>
    <w:rsid w:val="00F11C6B"/>
    <w:rsid w:val="00F17112"/>
    <w:rsid w:val="00F17AF3"/>
    <w:rsid w:val="00F209B4"/>
    <w:rsid w:val="00F2702B"/>
    <w:rsid w:val="00F34A05"/>
    <w:rsid w:val="00F3592F"/>
    <w:rsid w:val="00F37A1E"/>
    <w:rsid w:val="00F37A72"/>
    <w:rsid w:val="00F41BC9"/>
    <w:rsid w:val="00F42B7F"/>
    <w:rsid w:val="00F43BA8"/>
    <w:rsid w:val="00F44F0E"/>
    <w:rsid w:val="00F51119"/>
    <w:rsid w:val="00F57363"/>
    <w:rsid w:val="00F575E3"/>
    <w:rsid w:val="00F60926"/>
    <w:rsid w:val="00F666AB"/>
    <w:rsid w:val="00F6734E"/>
    <w:rsid w:val="00F750D0"/>
    <w:rsid w:val="00F756A0"/>
    <w:rsid w:val="00F75CD5"/>
    <w:rsid w:val="00F7606F"/>
    <w:rsid w:val="00F81095"/>
    <w:rsid w:val="00F86041"/>
    <w:rsid w:val="00F87D7F"/>
    <w:rsid w:val="00F90BBB"/>
    <w:rsid w:val="00F9292C"/>
    <w:rsid w:val="00F92DC5"/>
    <w:rsid w:val="00F974B3"/>
    <w:rsid w:val="00FA4425"/>
    <w:rsid w:val="00FA46E8"/>
    <w:rsid w:val="00FA4EB8"/>
    <w:rsid w:val="00FA5C40"/>
    <w:rsid w:val="00FA7FDA"/>
    <w:rsid w:val="00FB2959"/>
    <w:rsid w:val="00FB3F77"/>
    <w:rsid w:val="00FB4023"/>
    <w:rsid w:val="00FB4BDC"/>
    <w:rsid w:val="00FB735D"/>
    <w:rsid w:val="00FB735E"/>
    <w:rsid w:val="00FC077A"/>
    <w:rsid w:val="00FC16E7"/>
    <w:rsid w:val="00FC1B26"/>
    <w:rsid w:val="00FC1D98"/>
    <w:rsid w:val="00FC219F"/>
    <w:rsid w:val="00FC2814"/>
    <w:rsid w:val="00FC2B8D"/>
    <w:rsid w:val="00FC671E"/>
    <w:rsid w:val="00FD601A"/>
    <w:rsid w:val="00FE29CA"/>
    <w:rsid w:val="00FE58A3"/>
    <w:rsid w:val="00FF0302"/>
    <w:rsid w:val="00FF0A65"/>
    <w:rsid w:val="00FF16E4"/>
    <w:rsid w:val="00FF2700"/>
    <w:rsid w:val="00FF435F"/>
    <w:rsid w:val="00FF50A7"/>
    <w:rsid w:val="00FF747B"/>
    <w:rsid w:val="00FF7937"/>
    <w:rsid w:val="0D476B0C"/>
    <w:rsid w:val="6284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A3ABD0"/>
  <w15:docId w15:val="{64A0E56B-49C3-C64D-95C7-B3EC16B69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page number"/>
    <w:basedOn w:val="a0"/>
    <w:uiPriority w:val="99"/>
    <w:unhideWhenUsed/>
    <w:qFormat/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Literature">
    <w:name w:val="Literature"/>
    <w:basedOn w:val="a"/>
    <w:qFormat/>
    <w:pPr>
      <w:widowControl/>
      <w:spacing w:line="480" w:lineRule="auto"/>
      <w:jc w:val="left"/>
    </w:pPr>
    <w:rPr>
      <w:rFonts w:ascii="Times New Roman" w:eastAsia="MS Mincho" w:hAnsi="Times New Roman"/>
      <w:kern w:val="0"/>
      <w:sz w:val="24"/>
      <w:szCs w:val="24"/>
      <w:lang w:val="de-DE" w:eastAsia="ja-JP"/>
    </w:rPr>
  </w:style>
  <w:style w:type="character" w:customStyle="1" w:styleId="ac">
    <w:name w:val="页眉 字符"/>
    <w:basedOn w:val="a0"/>
    <w:link w:val="ab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Pr>
      <w:rFonts w:ascii="Calibri" w:eastAsia="宋体" w:hAnsi="Calibri" w:cs="Times New Roman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="Calibri" w:eastAsia="宋体" w:hAnsi="Calibri" w:cs="Times New Roman"/>
      <w:b/>
      <w:bCs/>
    </w:rPr>
  </w:style>
  <w:style w:type="paragraph" w:customStyle="1" w:styleId="10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AuthorsFull">
    <w:name w:val="Authors Full"/>
    <w:basedOn w:val="a"/>
    <w:qFormat/>
    <w:pPr>
      <w:widowControl/>
      <w:jc w:val="left"/>
    </w:pPr>
    <w:rPr>
      <w:rFonts w:ascii="Times New Roman" w:eastAsia="MS Mincho" w:hAnsi="Times New Roman"/>
      <w:i/>
      <w:kern w:val="0"/>
      <w:sz w:val="24"/>
      <w:szCs w:val="24"/>
      <w:lang w:eastAsia="ja-JP"/>
    </w:rPr>
  </w:style>
  <w:style w:type="paragraph" w:customStyle="1" w:styleId="Addresses">
    <w:name w:val="Addresses"/>
    <w:basedOn w:val="a"/>
    <w:qFormat/>
    <w:pPr>
      <w:widowControl/>
      <w:jc w:val="left"/>
    </w:pPr>
    <w:rPr>
      <w:rFonts w:ascii="Times New Roman" w:eastAsia="MS Mincho" w:hAnsi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qFormat/>
    <w:pPr>
      <w:widowControl/>
      <w:jc w:val="left"/>
    </w:pPr>
    <w:rPr>
      <w:rFonts w:ascii="Times New Roman" w:eastAsia="MS Mincho" w:hAnsi="Times New Roman"/>
      <w:b/>
      <w:kern w:val="0"/>
      <w:sz w:val="24"/>
      <w:szCs w:val="24"/>
      <w:lang w:eastAsia="ja-JP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2">
    <w:name w:val="页脚 字符1"/>
    <w:uiPriority w:val="99"/>
    <w:qFormat/>
    <w:rPr>
      <w:sz w:val="18"/>
      <w:szCs w:val="18"/>
    </w:rPr>
  </w:style>
  <w:style w:type="paragraph" w:customStyle="1" w:styleId="2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25</Pages>
  <Words>2225</Words>
  <Characters>12689</Characters>
  <Application>Microsoft Office Word</Application>
  <DocSecurity>0</DocSecurity>
  <Lines>105</Lines>
  <Paragraphs>29</Paragraphs>
  <ScaleCrop>false</ScaleCrop>
  <Company/>
  <LinksUpToDate>false</LinksUpToDate>
  <CharactersWithSpaces>14885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User</cp:lastModifiedBy>
  <cp:revision>28</cp:revision>
  <dcterms:created xsi:type="dcterms:W3CDTF">2022-09-29T12:58:00Z</dcterms:created>
  <dcterms:modified xsi:type="dcterms:W3CDTF">2022-10-27T03:05:00Z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</Properties>
</file>