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FCCAB5" w14:textId="77777777" w:rsidR="00D57CB8" w:rsidRPr="006A1833" w:rsidRDefault="00D57CB8" w:rsidP="00D57CB8">
      <w:pPr>
        <w:spacing w:line="480" w:lineRule="auto"/>
        <w:rPr>
          <w:b/>
          <w:bCs/>
          <w:sz w:val="24"/>
          <w:szCs w:val="24"/>
        </w:rPr>
      </w:pPr>
      <w:r w:rsidRPr="00DF3330">
        <w:rPr>
          <w:rFonts w:hint="eastAsia"/>
          <w:b/>
          <w:bCs/>
          <w:sz w:val="24"/>
          <w:szCs w:val="24"/>
        </w:rPr>
        <w:t>Figure</w:t>
      </w:r>
      <w:r>
        <w:rPr>
          <w:b/>
          <w:bCs/>
          <w:sz w:val="24"/>
          <w:szCs w:val="24"/>
        </w:rPr>
        <w:t xml:space="preserve"> S1</w:t>
      </w:r>
    </w:p>
    <w:p w14:paraId="7CF92232" w14:textId="77777777" w:rsidR="00D57CB8" w:rsidRPr="0089153E" w:rsidRDefault="00D57CB8" w:rsidP="00D57CB8">
      <w:pPr>
        <w:spacing w:line="480" w:lineRule="auto"/>
      </w:pPr>
      <w:r>
        <w:rPr>
          <w:rFonts w:hint="eastAsia"/>
        </w:rPr>
        <w:t xml:space="preserve">(A) </w:t>
      </w:r>
      <w:r>
        <w:t xml:space="preserve">Boxplot of the expression of </w:t>
      </w:r>
      <w:bookmarkStart w:id="0" w:name="OLE_LINK17"/>
      <w:r>
        <w:t xml:space="preserve">PAM </w:t>
      </w:r>
      <w:bookmarkEnd w:id="0"/>
      <w:r>
        <w:t xml:space="preserve">genes in tumor and normal sample on the TCGA cohort. (B) Heatmap of </w:t>
      </w:r>
      <w:r w:rsidRPr="00F67DDC">
        <w:t>significant differen</w:t>
      </w:r>
      <w:r>
        <w:t xml:space="preserve">t PAM genes in tumor and normal sample. (*P &lt; 0.05; **P &lt; 0.01; ***P &lt; 0.001; ns, non-significant). (C) GO </w:t>
      </w:r>
      <w:r>
        <w:rPr>
          <w:rFonts w:hint="eastAsia"/>
        </w:rPr>
        <w:t>enrich</w:t>
      </w:r>
      <w:r>
        <w:t xml:space="preserve">ment analysis for PAM genes. (D) KEGG enrichment analysis for PAM genes. (E) Forest plot of </w:t>
      </w:r>
      <w:r w:rsidRPr="009E58AB">
        <w:t>prognostic gene</w:t>
      </w:r>
      <w:r>
        <w:t xml:space="preserve"> with </w:t>
      </w:r>
      <w:r w:rsidRPr="00174088">
        <w:t>Univariate cox regression analysis</w:t>
      </w:r>
      <w:r>
        <w:t xml:space="preserve">. (F) </w:t>
      </w:r>
      <w:r w:rsidRPr="004422D8">
        <w:t>Protein-protein interaction (PPI)</w:t>
      </w:r>
      <w:r>
        <w:t xml:space="preserve"> f</w:t>
      </w:r>
      <w:r>
        <w:rPr>
          <w:rFonts w:hint="eastAsia"/>
        </w:rPr>
        <w:t>or</w:t>
      </w:r>
      <w:r>
        <w:t xml:space="preserve"> PAM-related genes. (G) </w:t>
      </w:r>
      <w:r w:rsidRPr="00FF0B11">
        <w:t xml:space="preserve">Venn diagram showing </w:t>
      </w:r>
      <w:r>
        <w:t>PAM</w:t>
      </w:r>
      <w:r w:rsidRPr="00FF0B11">
        <w:t xml:space="preserve"> genes after intersection of datasets</w:t>
      </w:r>
      <w:r>
        <w:t>.</w:t>
      </w:r>
    </w:p>
    <w:p w14:paraId="7CA1CAF4" w14:textId="77777777" w:rsidR="00D57CB8" w:rsidRDefault="00D57CB8" w:rsidP="00D57CB8">
      <w:pPr>
        <w:spacing w:line="480" w:lineRule="auto"/>
        <w:rPr>
          <w:b/>
          <w:bCs/>
          <w:sz w:val="24"/>
          <w:szCs w:val="24"/>
        </w:rPr>
      </w:pPr>
      <w:r w:rsidRPr="00DF3330">
        <w:rPr>
          <w:rFonts w:hint="eastAsia"/>
          <w:b/>
          <w:bCs/>
          <w:sz w:val="24"/>
          <w:szCs w:val="24"/>
        </w:rPr>
        <w:t>Figure</w:t>
      </w:r>
      <w:r>
        <w:rPr>
          <w:b/>
          <w:bCs/>
          <w:sz w:val="24"/>
          <w:szCs w:val="24"/>
        </w:rPr>
        <w:t xml:space="preserve"> S2</w:t>
      </w:r>
    </w:p>
    <w:p w14:paraId="65F3E282" w14:textId="77777777" w:rsidR="00D57CB8" w:rsidRDefault="00D57CB8" w:rsidP="00D57CB8">
      <w:pPr>
        <w:spacing w:line="480" w:lineRule="auto"/>
      </w:pPr>
      <w:r w:rsidRPr="00956591">
        <w:t xml:space="preserve">Survival prognostic analysis of each </w:t>
      </w:r>
      <w:r>
        <w:t>PAM</w:t>
      </w:r>
      <w:r w:rsidRPr="00956591">
        <w:t xml:space="preserve"> gene with high and low expression using Kaplan-Meier analysis</w:t>
      </w:r>
    </w:p>
    <w:p w14:paraId="58457668" w14:textId="77777777" w:rsidR="00D57CB8" w:rsidRDefault="00D57CB8" w:rsidP="00D57CB8">
      <w:pPr>
        <w:spacing w:line="480" w:lineRule="auto"/>
        <w:rPr>
          <w:b/>
          <w:bCs/>
          <w:sz w:val="24"/>
          <w:szCs w:val="24"/>
        </w:rPr>
      </w:pPr>
      <w:r w:rsidRPr="00DF3330">
        <w:rPr>
          <w:rFonts w:hint="eastAsia"/>
          <w:b/>
          <w:bCs/>
          <w:sz w:val="24"/>
          <w:szCs w:val="24"/>
        </w:rPr>
        <w:t>Figure</w:t>
      </w:r>
      <w:r>
        <w:rPr>
          <w:b/>
          <w:bCs/>
          <w:sz w:val="24"/>
          <w:szCs w:val="24"/>
        </w:rPr>
        <w:t xml:space="preserve"> S3</w:t>
      </w:r>
    </w:p>
    <w:p w14:paraId="7BDC642C" w14:textId="77777777" w:rsidR="00D57CB8" w:rsidRPr="00956591" w:rsidRDefault="00D57CB8" w:rsidP="00D57CB8">
      <w:pPr>
        <w:spacing w:line="480" w:lineRule="auto"/>
      </w:pPr>
      <w:r>
        <w:t xml:space="preserve">(A) Consensus clustering of 55 PAM </w:t>
      </w:r>
      <w:r w:rsidRPr="00FF0B11">
        <w:t>genes</w:t>
      </w:r>
      <w:r>
        <w:t xml:space="preserve"> matrix for k = 3 of 1224 patients in the TCGA cohort combine the GEO cohort (GSE39582, GSE38832). (B-D) </w:t>
      </w:r>
      <w:r w:rsidRPr="00916CEC">
        <w:t>Determine the relevant CDF curve and Tracking plot of Consensus clustering</w:t>
      </w:r>
      <w:r>
        <w:t>.</w:t>
      </w:r>
    </w:p>
    <w:p w14:paraId="50FBD781" w14:textId="77777777" w:rsidR="00D57CB8" w:rsidRDefault="00D57CB8" w:rsidP="00D57CB8">
      <w:pPr>
        <w:spacing w:line="480" w:lineRule="auto"/>
        <w:rPr>
          <w:b/>
          <w:bCs/>
          <w:sz w:val="24"/>
          <w:szCs w:val="24"/>
        </w:rPr>
      </w:pPr>
      <w:r w:rsidRPr="00DF3330">
        <w:rPr>
          <w:rFonts w:hint="eastAsia"/>
          <w:b/>
          <w:bCs/>
          <w:sz w:val="24"/>
          <w:szCs w:val="24"/>
        </w:rPr>
        <w:t>Figure</w:t>
      </w:r>
      <w:r>
        <w:rPr>
          <w:b/>
          <w:bCs/>
          <w:sz w:val="24"/>
          <w:szCs w:val="24"/>
        </w:rPr>
        <w:t xml:space="preserve"> S4</w:t>
      </w:r>
    </w:p>
    <w:p w14:paraId="688762E0" w14:textId="77777777" w:rsidR="00D57CB8" w:rsidRPr="00916CEC" w:rsidRDefault="00D57CB8" w:rsidP="00D57CB8">
      <w:pPr>
        <w:spacing w:line="480" w:lineRule="auto"/>
      </w:pPr>
      <w:r>
        <w:rPr>
          <w:rFonts w:hint="eastAsia"/>
        </w:rPr>
        <w:t>(</w:t>
      </w:r>
      <w:r>
        <w:t xml:space="preserve">A) </w:t>
      </w:r>
      <w:r w:rsidRPr="00916CEC">
        <w:t>Consensus clustering of 328</w:t>
      </w:r>
      <w:r w:rsidRPr="003A4E71">
        <w:t xml:space="preserve"> </w:t>
      </w:r>
      <w:r>
        <w:t>PAM</w:t>
      </w:r>
      <w:r w:rsidRPr="00916CEC">
        <w:t xml:space="preserve"> prognostic genes in the meta dataset. </w:t>
      </w:r>
      <w:r>
        <w:t xml:space="preserve">(B-C) </w:t>
      </w:r>
      <w:r w:rsidRPr="00916CEC">
        <w:t xml:space="preserve">GO enrichment analysis and KEGG enrichment analysis of 328 </w:t>
      </w:r>
      <w:r>
        <w:t>PAM</w:t>
      </w:r>
      <w:r w:rsidRPr="00916CEC">
        <w:t xml:space="preserve"> prognostic genes</w:t>
      </w:r>
      <w:r>
        <w:t>.</w:t>
      </w:r>
      <w:r>
        <w:rPr>
          <w:rFonts w:hint="eastAsia"/>
        </w:rPr>
        <w:t xml:space="preserve"> (</w:t>
      </w:r>
      <w:r>
        <w:t>D)</w:t>
      </w:r>
      <w:r w:rsidRPr="005458A2">
        <w:t xml:space="preserve"> Expression heatmap of 328 </w:t>
      </w:r>
      <w:r>
        <w:t>PAM</w:t>
      </w:r>
      <w:r w:rsidRPr="005458A2">
        <w:t xml:space="preserve"> prognostic genes in geneCluster A and B subgroups</w:t>
      </w:r>
      <w:r>
        <w:rPr>
          <w:rFonts w:hint="eastAsia"/>
        </w:rPr>
        <w:t>.</w:t>
      </w:r>
      <w:r>
        <w:t xml:space="preserve"> (E-F) </w:t>
      </w:r>
      <w:r w:rsidRPr="005458A2">
        <w:t>Forest plots for univariate and multivariate cox analysis of PAMscore</w:t>
      </w:r>
      <w:r>
        <w:rPr>
          <w:rFonts w:hint="eastAsia"/>
        </w:rPr>
        <w:t>.</w:t>
      </w:r>
    </w:p>
    <w:p w14:paraId="2CE9249C" w14:textId="77777777" w:rsidR="00D57CB8" w:rsidRDefault="00D57CB8" w:rsidP="00D57CB8">
      <w:pPr>
        <w:spacing w:line="480" w:lineRule="auto"/>
        <w:rPr>
          <w:b/>
          <w:bCs/>
          <w:sz w:val="24"/>
          <w:szCs w:val="24"/>
        </w:rPr>
      </w:pPr>
      <w:r w:rsidRPr="00DF3330">
        <w:rPr>
          <w:rFonts w:hint="eastAsia"/>
          <w:b/>
          <w:bCs/>
          <w:sz w:val="24"/>
          <w:szCs w:val="24"/>
        </w:rPr>
        <w:t>Figure</w:t>
      </w:r>
      <w:r>
        <w:rPr>
          <w:b/>
          <w:bCs/>
          <w:sz w:val="24"/>
          <w:szCs w:val="24"/>
        </w:rPr>
        <w:t xml:space="preserve"> S5</w:t>
      </w:r>
    </w:p>
    <w:p w14:paraId="072E4A78" w14:textId="77777777" w:rsidR="00D57CB8" w:rsidRDefault="00D57CB8" w:rsidP="00D57CB8">
      <w:pPr>
        <w:spacing w:line="480" w:lineRule="auto"/>
      </w:pPr>
      <w:r w:rsidRPr="00EE4861">
        <w:t>Survival analysis of high and low score subgroups of PAMscore for different genders, different T, N, M stages and AJCC stages</w:t>
      </w:r>
      <w:r>
        <w:t xml:space="preserve"> </w:t>
      </w:r>
      <w:r>
        <w:rPr>
          <w:rFonts w:hint="eastAsia"/>
        </w:rPr>
        <w:t>in</w:t>
      </w:r>
      <w:r>
        <w:t xml:space="preserve"> CRC </w:t>
      </w:r>
      <w:r>
        <w:rPr>
          <w:rFonts w:hint="eastAsia"/>
        </w:rPr>
        <w:t>patients</w:t>
      </w:r>
      <w:r>
        <w:t>.</w:t>
      </w:r>
    </w:p>
    <w:p w14:paraId="15EB9040" w14:textId="77777777" w:rsidR="00D57CB8" w:rsidRDefault="00D57CB8" w:rsidP="00D57CB8">
      <w:pPr>
        <w:spacing w:line="480" w:lineRule="auto"/>
        <w:rPr>
          <w:b/>
          <w:bCs/>
          <w:sz w:val="24"/>
          <w:szCs w:val="24"/>
        </w:rPr>
      </w:pPr>
      <w:r w:rsidRPr="00DF3330">
        <w:rPr>
          <w:rFonts w:hint="eastAsia"/>
          <w:b/>
          <w:bCs/>
          <w:sz w:val="24"/>
          <w:szCs w:val="24"/>
        </w:rPr>
        <w:lastRenderedPageBreak/>
        <w:t>Figure</w:t>
      </w:r>
      <w:r>
        <w:rPr>
          <w:b/>
          <w:bCs/>
          <w:sz w:val="24"/>
          <w:szCs w:val="24"/>
        </w:rPr>
        <w:t xml:space="preserve"> S6</w:t>
      </w:r>
    </w:p>
    <w:p w14:paraId="090992A3" w14:textId="77777777" w:rsidR="00D57CB8" w:rsidRDefault="00D57CB8" w:rsidP="00D57CB8">
      <w:pPr>
        <w:spacing w:line="480" w:lineRule="auto"/>
      </w:pPr>
      <w:r>
        <w:rPr>
          <w:rFonts w:hint="eastAsia"/>
        </w:rPr>
        <w:t>(</w:t>
      </w:r>
      <w:r>
        <w:t xml:space="preserve">A) </w:t>
      </w:r>
      <w:r w:rsidRPr="006E6B4C">
        <w:t>RNA expression of ACAT2, SPHK1, SNED1, KPNA2, BZW2 and KIF15 in tumor and normal tissues</w:t>
      </w:r>
      <w:r>
        <w:t xml:space="preserve"> </w:t>
      </w:r>
      <w:r>
        <w:rPr>
          <w:rFonts w:hint="eastAsia"/>
        </w:rPr>
        <w:t>in</w:t>
      </w:r>
      <w:r>
        <w:t xml:space="preserve"> TCGA </w:t>
      </w:r>
      <w:r>
        <w:rPr>
          <w:rFonts w:hint="eastAsia"/>
        </w:rPr>
        <w:t>dataset</w:t>
      </w:r>
      <w:r>
        <w:t>. (B-G)</w:t>
      </w:r>
      <w:r w:rsidRPr="00E127C4">
        <w:t xml:space="preserve"> IHC cell staining intensity in normal and tumor tissues </w:t>
      </w:r>
      <w:r>
        <w:rPr>
          <w:rFonts w:hint="eastAsia"/>
        </w:rPr>
        <w:t>of</w:t>
      </w:r>
      <w:r>
        <w:t xml:space="preserve"> </w:t>
      </w:r>
      <w:r w:rsidRPr="00E127C4">
        <w:t>the CRC cohort</w:t>
      </w:r>
      <w:r>
        <w:rPr>
          <w:rFonts w:hint="eastAsia"/>
        </w:rPr>
        <w:t>.</w:t>
      </w:r>
    </w:p>
    <w:p w14:paraId="4F4B3135" w14:textId="77777777" w:rsidR="00D57CB8" w:rsidRPr="009F675A" w:rsidRDefault="00D57CB8" w:rsidP="00D57CB8">
      <w:pPr>
        <w:spacing w:line="480" w:lineRule="auto"/>
        <w:rPr>
          <w:b/>
          <w:bCs/>
          <w:sz w:val="24"/>
          <w:szCs w:val="24"/>
        </w:rPr>
      </w:pPr>
      <w:r w:rsidRPr="009F675A">
        <w:rPr>
          <w:rFonts w:hint="eastAsia"/>
          <w:b/>
          <w:bCs/>
          <w:sz w:val="24"/>
          <w:szCs w:val="24"/>
        </w:rPr>
        <w:t>F</w:t>
      </w:r>
      <w:r w:rsidRPr="009F675A">
        <w:rPr>
          <w:b/>
          <w:bCs/>
          <w:sz w:val="24"/>
          <w:szCs w:val="24"/>
        </w:rPr>
        <w:t>igure S7</w:t>
      </w:r>
    </w:p>
    <w:p w14:paraId="12ABAEB9" w14:textId="77777777" w:rsidR="00D57CB8" w:rsidRPr="0046128C" w:rsidRDefault="00D57CB8" w:rsidP="00D57CB8">
      <w:pPr>
        <w:spacing w:line="480" w:lineRule="auto"/>
      </w:pPr>
      <w:r>
        <w:rPr>
          <w:rFonts w:hint="eastAsia"/>
        </w:rPr>
        <w:t>(</w:t>
      </w:r>
      <w:r>
        <w:t>A) E</w:t>
      </w:r>
      <w:r>
        <w:rPr>
          <w:rFonts w:hint="eastAsia"/>
        </w:rPr>
        <w:t>xpression</w:t>
      </w:r>
      <w:r>
        <w:t xml:space="preserve"> levels of marker genes in the 6 cell types.</w:t>
      </w:r>
      <w:r>
        <w:rPr>
          <w:rFonts w:hint="eastAsia"/>
        </w:rPr>
        <w:t xml:space="preserve"> </w:t>
      </w:r>
      <w:r>
        <w:t>(B) E</w:t>
      </w:r>
      <w:r>
        <w:rPr>
          <w:rFonts w:hint="eastAsia"/>
        </w:rPr>
        <w:t>xpression</w:t>
      </w:r>
      <w:r>
        <w:t xml:space="preserve"> levels of marker genes in high and low cell groups.</w:t>
      </w:r>
    </w:p>
    <w:p w14:paraId="5F5ABB55" w14:textId="77777777" w:rsidR="00000F57" w:rsidRDefault="00D57CB8"/>
    <w:sectPr w:rsidR="00000F57" w:rsidSect="00A76A8A">
      <w:headerReference w:type="even" r:id="rId4"/>
      <w:headerReference w:type="default" r:id="rId5"/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0736070"/>
      <w:docPartObj>
        <w:docPartGallery w:val="Page Numbers (Bottom of Page)"/>
        <w:docPartUnique/>
      </w:docPartObj>
    </w:sdtPr>
    <w:sdtEndPr/>
    <w:sdtContent>
      <w:p w14:paraId="5CED2FA4" w14:textId="77777777" w:rsidR="00A76A8A" w:rsidRDefault="00D57CB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2498CDC" w14:textId="77777777" w:rsidR="00A76A8A" w:rsidRDefault="00D57CB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BCA5F5" w14:textId="77777777" w:rsidR="00C90FE8" w:rsidRDefault="00D57CB8" w:rsidP="00C90FE8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6DFFE7" w14:textId="77777777" w:rsidR="00C90FE8" w:rsidRDefault="00D57CB8" w:rsidP="00C90FE8"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CB8"/>
    <w:rsid w:val="0007695B"/>
    <w:rsid w:val="005615C6"/>
    <w:rsid w:val="005E078B"/>
    <w:rsid w:val="00781D71"/>
    <w:rsid w:val="007D4061"/>
    <w:rsid w:val="008B4EED"/>
    <w:rsid w:val="00B03778"/>
    <w:rsid w:val="00CD1A17"/>
    <w:rsid w:val="00D57CB8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CDA4F"/>
  <w15:chartTrackingRefBased/>
  <w15:docId w15:val="{B3A3BCAD-13D3-4C69-B4D3-CADFB9DA2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7CB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7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57CB8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D57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57CB8"/>
    <w:rPr>
      <w:rFonts w:eastAsiaTheme="minorEastAsia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D57C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252</Words>
  <Characters>1441</Characters>
  <Application>Microsoft Office Word</Application>
  <DocSecurity>0</DocSecurity>
  <Lines>12</Lines>
  <Paragraphs>3</Paragraphs>
  <ScaleCrop>false</ScaleCrop>
  <Company>Springer Nature</Company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2022-10-18T13:08:00Z</dcterms:created>
  <dcterms:modified xsi:type="dcterms:W3CDTF">2022-10-18T13:08:00Z</dcterms:modified>
</cp:coreProperties>
</file>