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Arial" w:hAnsi="Arial" w:cs="Arial"/>
          <w:b/>
        </w:rPr>
      </w:pPr>
      <w:r>
        <w:rPr>
          <w:rFonts w:ascii="Arial" w:hAnsi="Arial" w:cs="Arial"/>
        </w:rPr>
        <w:t>Additional Table 4: Predictors of HRQL deterioration in KBILD total score and VAS (not weighted)</w:t>
      </w:r>
    </w:p>
    <w:tbl>
      <w:tblPr>
        <w:tblStyle w:val="Publicationstyle"/>
        <w:tblW w:w="12845" w:type="dxa"/>
        <w:tblLook w:val="04A0" w:firstRow="1" w:lastRow="0" w:firstColumn="1" w:lastColumn="0" w:noHBand="0" w:noVBand="1"/>
      </w:tblPr>
      <w:tblGrid>
        <w:gridCol w:w="3046"/>
        <w:gridCol w:w="1479"/>
        <w:gridCol w:w="2297"/>
        <w:gridCol w:w="1091"/>
        <w:gridCol w:w="1438"/>
        <w:gridCol w:w="2126"/>
        <w:gridCol w:w="1368"/>
      </w:tblGrid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867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Total</w:t>
            </w:r>
          </w:p>
        </w:tc>
        <w:tc>
          <w:tcPr>
            <w:tcW w:w="4932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VAS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FVC % predicted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[-0.041;0.002]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[-0.053;-0.010]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0.004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DLCO % predicted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-0.024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[-0.054;0.006]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[-0.039;0.015]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0.384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Baseline HRQL score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[0.054;0.144]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[0.017;0.059]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Age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[-0.031;0.060]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0.526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[-0.011;0.071]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0.147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 since diagnosis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[-0.07;0.055]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0.813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[-0.083;0.042]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0.527</w:t>
            </w:r>
          </w:p>
        </w:tc>
      </w:tr>
      <w:tr>
        <w:trPr>
          <w:trHeight w:val="318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Number of comorbidities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[-0.209;0.291]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0.747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[-0.246;0.221]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0.916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Female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0.713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[-0.136;1.562]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[-0.568;0.952]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0.621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ILD Subtype (ref = Other ILD)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-0.989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[-2.045;0.067]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-0.142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[-1.076;0.792]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0.765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[-1.219;1.242]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0.985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[-0.653;1.648]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0.396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 (ref = non-smoker)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Current smoker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-0.570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[-2.738;1.597]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0.606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[-1.483;2.421]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0.638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Former smoker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-0.212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[-1.009;0.584]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[-0.697;0.817]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0.877</w:t>
            </w:r>
          </w:p>
        </w:tc>
      </w:tr>
      <w:tr>
        <w:trPr>
          <w:trHeight w:val="318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use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-0.421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[-1.358;0.516]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0.379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-0.206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[-1.059;0.646]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0.635</w:t>
            </w:r>
          </w:p>
        </w:tc>
      </w:tr>
      <w:tr>
        <w:trPr>
          <w:trHeight w:val="318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Education (ref = higher)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Basic education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[-0.529;1.400]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[-0.833;0.841]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0.993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Secondary education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1.011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[0.017;2.005]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-0.363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[-1.270;0.544]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0.433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Unemployed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[-1.143;1.171]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0.981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[-0.653;1.485]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0.446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Center 2 (ref = center 1)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1.171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[0.218;2.125]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[-0.479;1.156]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0.417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</w:rPr>
        <w:lastRenderedPageBreak/>
        <w:t>Additional Table 4 continued</w:t>
      </w:r>
      <w:r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>Predictors of HRQL deterioration in KBILD domains (not weighted)</w:t>
      </w:r>
    </w:p>
    <w:tbl>
      <w:tblPr>
        <w:tblStyle w:val="Publicationstyle"/>
        <w:tblW w:w="12950" w:type="dxa"/>
        <w:tblLook w:val="04A0" w:firstRow="1" w:lastRow="0" w:firstColumn="1" w:lastColumn="0" w:noHBand="0" w:noVBand="1"/>
      </w:tblPr>
      <w:tblGrid>
        <w:gridCol w:w="2130"/>
        <w:gridCol w:w="1126"/>
        <w:gridCol w:w="1559"/>
        <w:gridCol w:w="880"/>
        <w:gridCol w:w="1104"/>
        <w:gridCol w:w="1656"/>
        <w:gridCol w:w="882"/>
        <w:gridCol w:w="1148"/>
        <w:gridCol w:w="1559"/>
        <w:gridCol w:w="906"/>
      </w:tblGrid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</w:p>
        </w:tc>
        <w:tc>
          <w:tcPr>
            <w:tcW w:w="3565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KBILD Breathlessness and Activities</w:t>
            </w:r>
          </w:p>
        </w:tc>
        <w:tc>
          <w:tcPr>
            <w:tcW w:w="3642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KBILD Chest</w:t>
            </w:r>
          </w:p>
        </w:tc>
        <w:tc>
          <w:tcPr>
            <w:tcW w:w="3613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KBILD Psychological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bCs/>
                <w:sz w:val="18"/>
                <w:szCs w:val="20"/>
              </w:rPr>
              <w:t>Beta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95% CI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b/>
                <w:bCs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p-value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bCs/>
                <w:sz w:val="18"/>
                <w:szCs w:val="20"/>
              </w:rPr>
              <w:t>Beta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95% CI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b/>
                <w:bCs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p-value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bCs/>
                <w:sz w:val="18"/>
                <w:szCs w:val="20"/>
              </w:rPr>
              <w:t>Beta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95% CI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p-value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FVC % predicted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0.005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[-0.016;0.025]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0.654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-0.005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[-0.026;0.016]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0.640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-0.016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[-0.037;0.006]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0.147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DLCO % predicted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-0.034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[-0.062;-0.005]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0.021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-0.037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[-0.068;-0.006]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0.019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-0.013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[-0.044;0.017]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0.390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 xml:space="preserve">Baseline </w:t>
            </w:r>
            <w:r>
              <w:rPr>
                <w:rFonts w:cs="Arial"/>
                <w:sz w:val="16"/>
                <w:szCs w:val="16"/>
              </w:rPr>
              <w:t>HRQL</w:t>
            </w:r>
            <w:r>
              <w:rPr>
                <w:rFonts w:cs="Arial"/>
                <w:sz w:val="18"/>
                <w:szCs w:val="20"/>
              </w:rPr>
              <w:t xml:space="preserve"> score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0.030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[0.010;0.050]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0.053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[0.032;0.074]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&lt;.0001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0.090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[0.050;0.130]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sz w:val="18"/>
                <w:szCs w:val="16"/>
              </w:rPr>
              <w:t>&lt;0.0001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Age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0.010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[-0.032;0.051]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0.647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-0.001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[-0.049;0.046]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0.952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0.046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[-0.003;0.095]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0.065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Time since diagnosis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0.010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[-0.051;0.071]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0.754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-0.018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[-0.086;0.050]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0.602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0.027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[-0.039;0.094]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0.423</w:t>
            </w:r>
          </w:p>
        </w:tc>
      </w:tr>
      <w:tr>
        <w:trPr>
          <w:trHeight w:val="329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Number of comorbidities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0.110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[-0.130;0.349]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0.369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0.020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[-0.236;0.276]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0.879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-0.071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[-0.323;0.182]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0.583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Female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0.643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[-0.149;1.435]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0.112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0.633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[-0.234;1.500]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0.152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0.241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[-0.603;1.085]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0.576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ILD Subtype (ref = Other ILD)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IPF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0.109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lef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[-0.858;1.075]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0.826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-0.308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[-1.352;0.736]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0.563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-1.107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[-2.163;-0.051]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0.040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Sarcoidosis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-0.448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lef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[-1.614;0.718]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0.452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0.769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[-0.537;2.076]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0.248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-0.243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[-1.546;1.060]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0.715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Smoking (ref = non-smoker)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Current smoker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-1.285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[-3.686;1.116]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0.294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-0.624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[-2.872;1.625]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0.587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-0.098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[-2.401;2.205]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0.934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Former smoker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-0.352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[-1.092;0.389]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0.352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-0.594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[-1.428;0.240]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0.163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-0.185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[-1.032;0.661]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0.667</w:t>
            </w:r>
          </w:p>
        </w:tc>
      </w:tr>
      <w:tr>
        <w:trPr>
          <w:trHeight w:val="329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Immunosuppressant use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0.166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[-0.715;1.047]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0.712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-0.243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[-1.177;0.691]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0.610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-0.478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[-1.418;0.462]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0.319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Education (ref = higher)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Basic education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-0.177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[-1.041;0.688]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0.689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0.434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[-0.545;1.413]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0.385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0.111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[-0.825;1.047]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0.816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Secondary education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0.433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[-0.448;1.315]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0.335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0.902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[-0.138;1.943]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0.089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0.357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[-0.653;1.367]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0.488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Unemployed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-0.513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[-1.618;0.592]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0.363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0.833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[-0.430;2.095]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0.196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0.492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[-0.754;1.737]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0.439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 xml:space="preserve">Center 2 </w:t>
            </w:r>
            <w:r>
              <w:rPr>
                <w:rFonts w:cs="Arial"/>
                <w:sz w:val="18"/>
                <w:szCs w:val="18"/>
              </w:rPr>
              <w:t>(ref = center 1)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0.119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[-0.732;0.970]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0.784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1.064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[0.112;2.016]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0.028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0.805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[-0.136;1.747]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0.093</w:t>
            </w:r>
          </w:p>
        </w:tc>
      </w:tr>
    </w:tbl>
    <w:p/>
    <w:sectPr>
      <w:pgSz w:w="15840" w:h="12240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CF3F26-B025-4982-838E-83A561638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ublicationstyle">
    <w:name w:val="Publication style"/>
    <w:basedOn w:val="TableNormal"/>
    <w:uiPriority w:val="99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  <w:style w:type="character" w:styleId="LineNumber">
    <w:name w:val="line number"/>
    <w:basedOn w:val="DefaultParagraphFon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497</Words>
  <Characters>2834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Maqhuzu, Phillen Nozibuyiso</dc:creator>
  <cp:keywords/>
  <dc:description/>
  <cp:lastModifiedBy>Schwarzkopf, Larissa, PD Dr.</cp:lastModifiedBy>
  <cp:revision>2</cp:revision>
  <dcterms:created xsi:type="dcterms:W3CDTF">2020-09-13T06:09:00Z</dcterms:created>
  <dcterms:modified xsi:type="dcterms:W3CDTF">2020-09-13T06:09:00Z</dcterms:modified>
</cp:coreProperties>
</file>