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69331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1895C2AD" wp14:editId="445A18FA">
            <wp:extent cx="5274310" cy="2280285"/>
            <wp:effectExtent l="0" t="0" r="2540" b="571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98E61" w14:textId="2146ADD5" w:rsidR="00834EBA" w:rsidRDefault="00834EBA" w:rsidP="00834EBA">
      <w:pPr>
        <w:adjustRightInd w:val="0"/>
        <w:snapToGrid w:val="0"/>
        <w:spacing w:before="240" w:after="120"/>
        <w:rPr>
          <w:rFonts w:ascii="Times New Roman" w:eastAsia="宋体" w:hAnsi="Times New Roman" w:cs="Times New Roman"/>
          <w:sz w:val="24"/>
          <w:szCs w:val="24"/>
        </w:rPr>
      </w:pPr>
      <w:r w:rsidRPr="00823ADA"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 w:rsidRPr="00823AD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upporting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Table S</w:t>
      </w:r>
      <w:r>
        <w:rPr>
          <w:rFonts w:ascii="Times New Roman" w:eastAsia="宋体" w:hAnsi="Times New Roman" w:cs="Times New Roman"/>
          <w:b/>
          <w:sz w:val="24"/>
          <w:szCs w:val="24"/>
        </w:rPr>
        <w:t>1</w:t>
      </w:r>
      <w:r>
        <w:rPr>
          <w:rFonts w:ascii="Times New Roman" w:eastAsia="宋体" w:hAnsi="Times New Roman" w:cs="Times New Roman"/>
          <w:b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Brain regions with fALFF changes using the two coils after electroacupuncture at ST36 (GRF, voxel-wise p&lt;0.01, cluster-wise p&lt;0.05, two-tailed, and cluster-voxel size &gt;15).</w:t>
      </w:r>
    </w:p>
    <w:p w14:paraId="19C7CEF8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215BCE9F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A126B06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FA0A70A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2134E6A7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5815B1B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4E90C465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22CB2944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66FACF9F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EFBF043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623D0A96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4F7CF627" wp14:editId="07FC0D03">
            <wp:extent cx="5274310" cy="2639695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C0AEF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60CC68FC" w14:textId="7B8C5889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23ADA"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 w:rsidRPr="00823AD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upporting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Table S2a</w:t>
      </w:r>
      <w:r>
        <w:rPr>
          <w:rFonts w:ascii="Times New Roman" w:eastAsia="宋体" w:hAnsi="Times New Roman" w:cs="Times New Roman"/>
          <w:sz w:val="24"/>
          <w:szCs w:val="24"/>
        </w:rPr>
        <w:t>. Brain regions with PerAF changes in the</w:t>
      </w:r>
      <w:r w:rsidRPr="004D2267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conventional frequency band using the 12-channel coil after electroacupuncture at ST36 (GRF, voxel-wise p&lt;0.01, cluster-wise p&lt;0.05, two-tailed, and cluster-voxel size &gt;15)</w:t>
      </w:r>
    </w:p>
    <w:p w14:paraId="1CE4768C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6B8BF392" wp14:editId="730C0CD1">
            <wp:extent cx="5274310" cy="2848610"/>
            <wp:effectExtent l="0" t="0" r="254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49B06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p w14:paraId="5CDBF791" w14:textId="44F2C7AF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23ADA"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 w:rsidRPr="00823AD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upporting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Table S2</w:t>
      </w:r>
      <w:r>
        <w:rPr>
          <w:rFonts w:ascii="Times New Roman" w:eastAsia="宋体" w:hAnsi="Times New Roman" w:cs="Times New Roman"/>
          <w:b/>
          <w:sz w:val="24"/>
          <w:szCs w:val="24"/>
        </w:rPr>
        <w:t>b</w:t>
      </w:r>
      <w:r>
        <w:rPr>
          <w:rFonts w:ascii="Times New Roman" w:eastAsia="宋体" w:hAnsi="Times New Roman" w:cs="Times New Roman"/>
          <w:b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Brain regions with PerAF changes in the slow-4 frequency band using the 12-channel coil after electroacupuncture at ST36 (GRF, voxel-wise p&lt;0.01, cluster-wise p&lt;0.05, two-tailed, and cluster-voxel size &gt;15)</w:t>
      </w:r>
    </w:p>
    <w:p w14:paraId="7DB54CF7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2F569106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3054939B" wp14:editId="37AF6784">
            <wp:extent cx="5274310" cy="1781175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65F3C" w14:textId="2EF472D1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23ADA"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 w:rsidRPr="00823AD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upporting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Table S2</w:t>
      </w:r>
      <w:r>
        <w:rPr>
          <w:rFonts w:ascii="Times New Roman" w:eastAsia="宋体" w:hAnsi="Times New Roman" w:cs="Times New Roman"/>
          <w:b/>
          <w:sz w:val="24"/>
          <w:szCs w:val="24"/>
        </w:rPr>
        <w:t>c</w:t>
      </w:r>
      <w:r>
        <w:rPr>
          <w:rFonts w:ascii="Times New Roman" w:eastAsia="宋体" w:hAnsi="Times New Roman" w:cs="Times New Roman"/>
          <w:b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Brain regions with PerAF changes in the slow-5 frequency band using the 12-channel coil after electroacupuncture at ST36 (GRF, voxel-wise p&lt;0.01, cluster-wise p&lt;0.05, two-tailed, and cluster-voxel size &gt;15)</w:t>
      </w:r>
    </w:p>
    <w:p w14:paraId="3A804249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5F23145C" wp14:editId="5FD0EC5B">
            <wp:extent cx="5274310" cy="286004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BBAEA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6BE9F63" w14:textId="742C93C1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23ADA"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 w:rsidRPr="00823AD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upporting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Table S2ad.</w:t>
      </w:r>
      <w:r>
        <w:rPr>
          <w:rFonts w:ascii="Times New Roman" w:eastAsia="宋体" w:hAnsi="Times New Roman" w:cs="Times New Roman"/>
          <w:sz w:val="24"/>
          <w:szCs w:val="24"/>
        </w:rPr>
        <w:t xml:space="preserve"> Brain regions with PerAF changes in the slow-6 frequency band using the 12-channel coil after electroacupuncture at ST36 (GRF, voxel-wise p&lt;0.01, cluster-wise p&lt;0.05, two-tailed, and cluster-voxel size &gt;15)</w:t>
      </w:r>
    </w:p>
    <w:p w14:paraId="69F586E2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B4477DA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CB6A150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65575FF7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640961C4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6D083E37" wp14:editId="7047B80B">
            <wp:extent cx="5274310" cy="1119505"/>
            <wp:effectExtent l="0" t="0" r="254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890A4" w14:textId="77777777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8D1C7C3" w14:textId="3C765E38" w:rsidR="00834EBA" w:rsidRDefault="00834EBA" w:rsidP="00834EBA">
      <w:pPr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23ADA"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 w:rsidRPr="00823AD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upporting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Table S</w:t>
      </w:r>
      <w:r>
        <w:rPr>
          <w:rFonts w:ascii="Times New Roman" w:eastAsia="宋体" w:hAnsi="Times New Roman" w:cs="Times New Roman"/>
          <w:b/>
          <w:sz w:val="24"/>
          <w:szCs w:val="24"/>
        </w:rPr>
        <w:t>3</w:t>
      </w:r>
      <w:r>
        <w:rPr>
          <w:rFonts w:ascii="Times New Roman" w:eastAsia="宋体" w:hAnsi="Times New Roman" w:cs="Times New Roman"/>
          <w:b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Brain regions with PerAF changes in the conventional and slow-5 frequency bands using the 12-channel coil after electroacupuncture at ST36, respectively (GRF, voxel-wise p&lt;0.01, cluster-wise p&lt;0.05, two-tailed), and cluster-voxel size &gt;15)</w:t>
      </w:r>
    </w:p>
    <w:p w14:paraId="42E931B2" w14:textId="77777777" w:rsidR="00834EBA" w:rsidRDefault="00834EBA" w:rsidP="00834EBA">
      <w:pPr>
        <w:adjustRightInd w:val="0"/>
        <w:snapToGrid w:val="0"/>
        <w:spacing w:before="240" w:after="120"/>
        <w:rPr>
          <w:rFonts w:ascii="Times New Roman" w:eastAsia="宋体" w:hAnsi="Times New Roman" w:cs="Times New Roman"/>
          <w:sz w:val="24"/>
          <w:szCs w:val="24"/>
        </w:rPr>
      </w:pPr>
    </w:p>
    <w:p w14:paraId="072459CD" w14:textId="77777777" w:rsidR="00834EBA" w:rsidRPr="00C401A3" w:rsidRDefault="00834EBA" w:rsidP="00834EBA"/>
    <w:p w14:paraId="6B3E897E" w14:textId="77777777" w:rsidR="005C0CF7" w:rsidRPr="00834EBA" w:rsidRDefault="005C0CF7"/>
    <w:sectPr w:rsidR="005C0CF7" w:rsidRPr="00834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74ED6" w14:textId="77777777" w:rsidR="0033667B" w:rsidRDefault="0033667B" w:rsidP="00834EBA">
      <w:pPr>
        <w:spacing w:after="0" w:line="240" w:lineRule="auto"/>
      </w:pPr>
      <w:r>
        <w:separator/>
      </w:r>
    </w:p>
  </w:endnote>
  <w:endnote w:type="continuationSeparator" w:id="0">
    <w:p w14:paraId="22E4FABA" w14:textId="77777777" w:rsidR="0033667B" w:rsidRDefault="0033667B" w:rsidP="00834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719B3" w14:textId="77777777" w:rsidR="0033667B" w:rsidRDefault="0033667B" w:rsidP="00834EBA">
      <w:pPr>
        <w:spacing w:after="0" w:line="240" w:lineRule="auto"/>
      </w:pPr>
      <w:r>
        <w:separator/>
      </w:r>
    </w:p>
  </w:footnote>
  <w:footnote w:type="continuationSeparator" w:id="0">
    <w:p w14:paraId="206DE16B" w14:textId="77777777" w:rsidR="0033667B" w:rsidRDefault="0033667B" w:rsidP="00834E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A2"/>
    <w:rsid w:val="002C44A2"/>
    <w:rsid w:val="0033667B"/>
    <w:rsid w:val="005C0CF7"/>
    <w:rsid w:val="0083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32BCAF"/>
  <w15:chartTrackingRefBased/>
  <w15:docId w15:val="{4CC446D8-A0CB-445F-BD03-E906AAC0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EBA"/>
    <w:pPr>
      <w:widowControl w:val="0"/>
      <w:spacing w:after="160" w:line="259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4E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4E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4EBA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4E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KYJ</dc:creator>
  <cp:keywords/>
  <dc:description/>
  <cp:lastModifiedBy>KYJ</cp:lastModifiedBy>
  <cp:revision>2</cp:revision>
  <dcterms:created xsi:type="dcterms:W3CDTF">2022-09-19T15:51:00Z</dcterms:created>
  <dcterms:modified xsi:type="dcterms:W3CDTF">2022-09-19T15:55:00Z</dcterms:modified>
</cp:coreProperties>
</file>