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5B1B" w:rsidRDefault="00A75B1B" w:rsidP="00A75B1B">
      <w:pPr>
        <w:spacing w:line="480" w:lineRule="auto"/>
        <w:rPr>
          <w:rFonts w:ascii="Times New Roman" w:hAnsi="Times New Roman" w:cs="Times New Roman"/>
          <w:b/>
          <w:sz w:val="28"/>
        </w:rPr>
      </w:pPr>
      <w:bookmarkStart w:id="0" w:name="_GoBack"/>
      <w:bookmarkEnd w:id="0"/>
      <w:r w:rsidRPr="006201E3">
        <w:rPr>
          <w:rFonts w:ascii="Times New Roman" w:hAnsi="Times New Roman" w:cs="Times New Roman" w:hint="eastAsia"/>
          <w:b/>
          <w:sz w:val="28"/>
        </w:rPr>
        <w:t>F</w:t>
      </w:r>
      <w:r w:rsidRPr="006201E3">
        <w:rPr>
          <w:rFonts w:ascii="Times New Roman" w:hAnsi="Times New Roman" w:cs="Times New Roman"/>
          <w:b/>
          <w:sz w:val="28"/>
        </w:rPr>
        <w:t>igure captions</w:t>
      </w:r>
    </w:p>
    <w:p w:rsidR="00A75B1B" w:rsidRPr="006C755A" w:rsidRDefault="00A75B1B" w:rsidP="00A75B1B">
      <w:pPr>
        <w:spacing w:line="480" w:lineRule="auto"/>
        <w:rPr>
          <w:rFonts w:ascii="Times New Roman" w:hAnsi="Times New Roman" w:cs="Times New Roman"/>
          <w:sz w:val="22"/>
        </w:rPr>
      </w:pPr>
      <w:r w:rsidRPr="006C755A">
        <w:rPr>
          <w:rFonts w:ascii="Times New Roman" w:hAnsi="Times New Roman" w:cs="Times New Roman"/>
          <w:b/>
          <w:sz w:val="24"/>
        </w:rPr>
        <w:t xml:space="preserve">Fig.1. </w:t>
      </w:r>
      <w:r>
        <w:rPr>
          <w:rFonts w:ascii="Times New Roman" w:hAnsi="Times New Roman" w:cs="Times New Roman"/>
          <w:sz w:val="24"/>
        </w:rPr>
        <w:t xml:space="preserve">Purification and identification of ApoM-HDL particles from plasma and astrocyte cell death after ischemic insult. After isolation by unltracentrifugation, HDL was loaded on an ApoM immunoaffinity column to purify ApoM-associated HDL. Bound particles were eluted and the eluate was collected in 1 ml fractions before the flow-through was passed over again. (A) Immunoblotting analysis demonstrated that ApoM was depleted in HDL fractions after the 6 rounds of purification. For each lane, 2 </w:t>
      </w:r>
      <w:r>
        <w:rPr>
          <w:rFonts w:ascii="Times New Roman" w:hAnsi="Times New Roman" w:cs="Times New Roman"/>
          <w:sz w:val="24"/>
        </w:rPr>
        <w:sym w:font="Symbol" w:char="F06D"/>
      </w:r>
      <w:r>
        <w:rPr>
          <w:rFonts w:ascii="Times New Roman" w:hAnsi="Times New Roman" w:cs="Times New Roman"/>
          <w:sz w:val="24"/>
        </w:rPr>
        <w:t xml:space="preserve">l of samples were loaded to the gel. (B) Western blot analysis of ApoA-I, ApoB and ApoM in plasma, HDL and purified HDL fractions. (C) The treatment with OGD reduced cell viability of astrocytes in a time-dependent manner assessed by MTT reduction assay. (D) Cell viability was significantly reduced in the astrocytes after 4-h OGD and recovery for 24 ~ 72 h. (E) The astrocytes underwent cell death after 4-h OGD and recovery for 24 ~ 72 h determined by LDH release assay. (F) Hematoxylin staining images showed the marked injury of the astrocytes after 4-h OGD and 24-h recovery. Scale bar = 25 </w:t>
      </w:r>
      <w:r>
        <w:rPr>
          <w:rFonts w:ascii="Times New Roman" w:hAnsi="Times New Roman" w:cs="Times New Roman"/>
          <w:sz w:val="24"/>
        </w:rPr>
        <w:sym w:font="Symbol" w:char="F06D"/>
      </w:r>
      <w:r>
        <w:rPr>
          <w:rFonts w:ascii="Times New Roman" w:hAnsi="Times New Roman" w:cs="Times New Roman"/>
          <w:sz w:val="24"/>
        </w:rPr>
        <w:t xml:space="preserve">m.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w:t>
      </w:r>
      <w:r w:rsidR="00C5235A">
        <w:rPr>
          <w:rFonts w:ascii="Times New Roman" w:hAnsi="Times New Roman" w:cs="Times New Roman"/>
          <w:sz w:val="24"/>
        </w:rPr>
        <w:t>8</w:t>
      </w:r>
      <w:r>
        <w:rPr>
          <w:rFonts w:ascii="Times New Roman" w:hAnsi="Times New Roman" w:cs="Times New Roman"/>
          <w:sz w:val="24"/>
        </w:rPr>
        <w:t>; **</w:t>
      </w:r>
      <w:r w:rsidRPr="00314E15">
        <w:rPr>
          <w:rFonts w:ascii="Times New Roman" w:hAnsi="Times New Roman" w:cs="Times New Roman"/>
          <w:i/>
          <w:sz w:val="24"/>
        </w:rPr>
        <w:t>P</w:t>
      </w:r>
      <w:r>
        <w:rPr>
          <w:rFonts w:ascii="Times New Roman" w:hAnsi="Times New Roman" w:cs="Times New Roman"/>
          <w:sz w:val="24"/>
        </w:rPr>
        <w:t xml:space="preserve"> &lt; 0.0</w:t>
      </w:r>
      <w:r w:rsidR="0078182D">
        <w:rPr>
          <w:rFonts w:ascii="Times New Roman" w:hAnsi="Times New Roman" w:cs="Times New Roman"/>
          <w:sz w:val="24"/>
        </w:rPr>
        <w:t>0</w:t>
      </w:r>
      <w:r>
        <w:rPr>
          <w:rFonts w:ascii="Times New Roman" w:hAnsi="Times New Roman" w:cs="Times New Roman"/>
          <w:sz w:val="24"/>
        </w:rPr>
        <w:t>1 compared with control.</w:t>
      </w:r>
    </w:p>
    <w:p w:rsidR="00A75B1B" w:rsidRDefault="00A75B1B" w:rsidP="00A75B1B">
      <w:pPr>
        <w:spacing w:line="480" w:lineRule="auto"/>
        <w:rPr>
          <w:rFonts w:ascii="Times New Roman" w:hAnsi="Times New Roman" w:cs="Times New Roman"/>
          <w:sz w:val="24"/>
        </w:rPr>
      </w:pPr>
      <w:r w:rsidRPr="00820C64">
        <w:rPr>
          <w:rFonts w:ascii="Times New Roman" w:hAnsi="Times New Roman" w:cs="Times New Roman"/>
          <w:b/>
          <w:sz w:val="24"/>
        </w:rPr>
        <w:t xml:space="preserve">Fig. </w:t>
      </w:r>
      <w:r>
        <w:rPr>
          <w:rFonts w:ascii="Times New Roman" w:hAnsi="Times New Roman" w:cs="Times New Roman"/>
          <w:b/>
          <w:sz w:val="24"/>
        </w:rPr>
        <w:t>2.</w:t>
      </w:r>
      <w:r>
        <w:rPr>
          <w:rFonts w:ascii="Times New Roman" w:hAnsi="Times New Roman" w:cs="Times New Roman"/>
          <w:sz w:val="24"/>
        </w:rPr>
        <w:t xml:space="preserve"> Treatment with HDL containing ApoM protects against astrocyte death after 4-h OGD and 24-h recovery. (A) MTT reduction assay revealed that HDL containing ApoM (HDL</w:t>
      </w:r>
      <w:r w:rsidRPr="0070580D">
        <w:rPr>
          <w:rFonts w:ascii="Times New Roman" w:hAnsi="Times New Roman" w:cs="Times New Roman"/>
          <w:sz w:val="24"/>
          <w:vertAlign w:val="superscript"/>
        </w:rPr>
        <w:t>+</w:t>
      </w:r>
      <w:r>
        <w:rPr>
          <w:rFonts w:ascii="Times New Roman" w:hAnsi="Times New Roman" w:cs="Times New Roman"/>
          <w:sz w:val="24"/>
        </w:rPr>
        <w:t>) increased cell viability while HDL without ApoM (HDL</w:t>
      </w:r>
      <w:r w:rsidRPr="003D67D1">
        <w:rPr>
          <w:rFonts w:ascii="Times New Roman" w:hAnsi="Times New Roman" w:cs="Times New Roman"/>
          <w:sz w:val="24"/>
          <w:vertAlign w:val="superscript"/>
        </w:rPr>
        <w:t>-</w:t>
      </w:r>
      <w:r>
        <w:rPr>
          <w:rFonts w:ascii="Times New Roman" w:hAnsi="Times New Roman" w:cs="Times New Roman"/>
          <w:sz w:val="24"/>
        </w:rPr>
        <w:t>) did not show any effects. (B) LDH release assay showed that HDL</w:t>
      </w:r>
      <w:r w:rsidRPr="0070580D">
        <w:rPr>
          <w:rFonts w:ascii="Times New Roman" w:hAnsi="Times New Roman" w:cs="Times New Roman"/>
          <w:sz w:val="24"/>
          <w:vertAlign w:val="superscript"/>
        </w:rPr>
        <w:t>+</w:t>
      </w:r>
      <w:r>
        <w:rPr>
          <w:rFonts w:ascii="Times New Roman" w:hAnsi="Times New Roman" w:cs="Times New Roman"/>
          <w:sz w:val="24"/>
        </w:rPr>
        <w:t xml:space="preserve"> protected against cell death. (C) Hematoxylin staining images showed HDL</w:t>
      </w:r>
      <w:r w:rsidRPr="0070580D">
        <w:rPr>
          <w:rFonts w:ascii="Times New Roman" w:hAnsi="Times New Roman" w:cs="Times New Roman"/>
          <w:sz w:val="24"/>
          <w:vertAlign w:val="superscript"/>
        </w:rPr>
        <w:t>+</w:t>
      </w:r>
      <w:r>
        <w:rPr>
          <w:rFonts w:ascii="Times New Roman" w:hAnsi="Times New Roman" w:cs="Times New Roman"/>
          <w:sz w:val="24"/>
        </w:rPr>
        <w:t xml:space="preserve"> not HDL</w:t>
      </w:r>
      <w:r w:rsidRPr="003D67D1">
        <w:rPr>
          <w:rFonts w:ascii="Times New Roman" w:hAnsi="Times New Roman" w:cs="Times New Roman"/>
          <w:sz w:val="24"/>
          <w:vertAlign w:val="superscript"/>
        </w:rPr>
        <w:t>-</w:t>
      </w:r>
      <w:r>
        <w:rPr>
          <w:rFonts w:ascii="Times New Roman" w:hAnsi="Times New Roman" w:cs="Times New Roman"/>
          <w:sz w:val="24"/>
        </w:rPr>
        <w:t xml:space="preserve"> enhanced cell survival after OGD and recovery. (D) Trypan blue exclusive assay showed that only HDL</w:t>
      </w:r>
      <w:r w:rsidRPr="0070580D">
        <w:rPr>
          <w:rFonts w:ascii="Times New Roman" w:hAnsi="Times New Roman" w:cs="Times New Roman"/>
          <w:sz w:val="24"/>
          <w:vertAlign w:val="superscript"/>
        </w:rPr>
        <w:t>+</w:t>
      </w:r>
      <w:r>
        <w:rPr>
          <w:rFonts w:ascii="Times New Roman" w:hAnsi="Times New Roman" w:cs="Times New Roman"/>
          <w:sz w:val="24"/>
        </w:rPr>
        <w:t xml:space="preserve"> mitigated </w:t>
      </w:r>
      <w:r>
        <w:rPr>
          <w:rFonts w:ascii="Times New Roman" w:hAnsi="Times New Roman" w:cs="Times New Roman"/>
          <w:sz w:val="24"/>
        </w:rPr>
        <w:lastRenderedPageBreak/>
        <w:t xml:space="preserve">cell death.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w:t>
      </w:r>
      <w:r w:rsidR="00C5235A">
        <w:rPr>
          <w:rFonts w:ascii="Times New Roman" w:hAnsi="Times New Roman" w:cs="Times New Roman"/>
          <w:sz w:val="24"/>
        </w:rPr>
        <w:t>8</w:t>
      </w:r>
      <w:r>
        <w:rPr>
          <w:rFonts w:ascii="Times New Roman" w:hAnsi="Times New Roman" w:cs="Times New Roman"/>
          <w:sz w:val="24"/>
        </w:rPr>
        <w:t>; *</w:t>
      </w:r>
      <w:r w:rsidRPr="00314E15">
        <w:rPr>
          <w:rFonts w:ascii="Times New Roman" w:hAnsi="Times New Roman" w:cs="Times New Roman"/>
          <w:i/>
          <w:sz w:val="24"/>
        </w:rPr>
        <w:t>P</w:t>
      </w:r>
      <w:r>
        <w:rPr>
          <w:rFonts w:ascii="Times New Roman" w:hAnsi="Times New Roman" w:cs="Times New Roman"/>
          <w:sz w:val="24"/>
        </w:rPr>
        <w:t xml:space="preserve"> &lt; 0.05, **</w:t>
      </w:r>
      <w:r w:rsidRPr="00314E15">
        <w:rPr>
          <w:rFonts w:ascii="Times New Roman" w:hAnsi="Times New Roman" w:cs="Times New Roman"/>
          <w:i/>
          <w:sz w:val="24"/>
        </w:rPr>
        <w:t>P</w:t>
      </w:r>
      <w:r>
        <w:rPr>
          <w:rFonts w:ascii="Times New Roman" w:hAnsi="Times New Roman" w:cs="Times New Roman"/>
          <w:sz w:val="24"/>
        </w:rPr>
        <w:t xml:space="preserve"> &lt; 0.01 compared with OGD treatment.</w:t>
      </w:r>
    </w:p>
    <w:p w:rsidR="00A75B1B" w:rsidRDefault="00A75B1B" w:rsidP="00A75B1B">
      <w:pPr>
        <w:spacing w:line="480" w:lineRule="auto"/>
        <w:rPr>
          <w:rFonts w:ascii="Times New Roman" w:hAnsi="Times New Roman" w:cs="Times New Roman"/>
          <w:sz w:val="24"/>
        </w:rPr>
      </w:pPr>
      <w:r w:rsidRPr="00820C64">
        <w:rPr>
          <w:rFonts w:ascii="Times New Roman" w:hAnsi="Times New Roman" w:cs="Times New Roman"/>
          <w:b/>
          <w:sz w:val="24"/>
        </w:rPr>
        <w:t xml:space="preserve">Fig. </w:t>
      </w:r>
      <w:r>
        <w:rPr>
          <w:rFonts w:ascii="Times New Roman" w:hAnsi="Times New Roman" w:cs="Times New Roman"/>
          <w:b/>
          <w:sz w:val="24"/>
        </w:rPr>
        <w:t>3.</w:t>
      </w:r>
      <w:r>
        <w:rPr>
          <w:rFonts w:ascii="Times New Roman" w:hAnsi="Times New Roman" w:cs="Times New Roman"/>
          <w:sz w:val="24"/>
        </w:rPr>
        <w:t xml:space="preserve"> HDL containing ApoM dampens GFAP expression reduction in the astrocytes after 4-h OGD and 24-h recovery. (A) Representative GFAP immunostaining images demonstrated that HDL</w:t>
      </w:r>
      <w:r w:rsidRPr="0070580D">
        <w:rPr>
          <w:rFonts w:ascii="Times New Roman" w:hAnsi="Times New Roman" w:cs="Times New Roman"/>
          <w:sz w:val="24"/>
          <w:vertAlign w:val="superscript"/>
        </w:rPr>
        <w:t>+</w:t>
      </w:r>
      <w:r>
        <w:rPr>
          <w:rFonts w:ascii="Times New Roman" w:hAnsi="Times New Roman" w:cs="Times New Roman"/>
          <w:sz w:val="24"/>
        </w:rPr>
        <w:t xml:space="preserve"> at 10 </w:t>
      </w:r>
      <w:r>
        <w:rPr>
          <w:rFonts w:ascii="Times New Roman" w:hAnsi="Times New Roman" w:cs="Times New Roman"/>
          <w:sz w:val="24"/>
        </w:rPr>
        <w:sym w:font="Symbol" w:char="F06D"/>
      </w:r>
      <w:r>
        <w:rPr>
          <w:rFonts w:ascii="Times New Roman" w:hAnsi="Times New Roman" w:cs="Times New Roman"/>
          <w:sz w:val="24"/>
        </w:rPr>
        <w:t>g/ml restored GFAP expression in the cells after OGD treatment. (B) Western blotting analysis showed the increased expression of GFAP in the astrocytes treated with HDL</w:t>
      </w:r>
      <w:r w:rsidRPr="0070580D">
        <w:rPr>
          <w:rFonts w:ascii="Times New Roman" w:hAnsi="Times New Roman" w:cs="Times New Roman"/>
          <w:sz w:val="24"/>
          <w:vertAlign w:val="superscript"/>
        </w:rPr>
        <w:t>+</w:t>
      </w:r>
      <w:r>
        <w:rPr>
          <w:rFonts w:ascii="Times New Roman" w:hAnsi="Times New Roman" w:cs="Times New Roman"/>
          <w:sz w:val="24"/>
        </w:rPr>
        <w:t xml:space="preserve">.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w:t>
      </w:r>
      <w:r w:rsidR="00C5235A">
        <w:rPr>
          <w:rFonts w:ascii="Times New Roman" w:hAnsi="Times New Roman" w:cs="Times New Roman"/>
          <w:sz w:val="24"/>
        </w:rPr>
        <w:t>6</w:t>
      </w:r>
      <w:r>
        <w:rPr>
          <w:rFonts w:ascii="Times New Roman" w:hAnsi="Times New Roman" w:cs="Times New Roman"/>
          <w:sz w:val="24"/>
        </w:rPr>
        <w:t>; **</w:t>
      </w:r>
      <w:r w:rsidRPr="00314E15">
        <w:rPr>
          <w:rFonts w:ascii="Times New Roman" w:hAnsi="Times New Roman" w:cs="Times New Roman"/>
          <w:i/>
          <w:sz w:val="24"/>
        </w:rPr>
        <w:t>P</w:t>
      </w:r>
      <w:r>
        <w:rPr>
          <w:rFonts w:ascii="Times New Roman" w:hAnsi="Times New Roman" w:cs="Times New Roman"/>
          <w:sz w:val="24"/>
        </w:rPr>
        <w:t xml:space="preserve"> &lt; 0.01 compared with OGD treatment.</w:t>
      </w:r>
    </w:p>
    <w:p w:rsidR="00A75B1B" w:rsidRDefault="00A75B1B" w:rsidP="00A75B1B">
      <w:pPr>
        <w:spacing w:line="480" w:lineRule="auto"/>
        <w:rPr>
          <w:rFonts w:ascii="Times New Roman" w:hAnsi="Times New Roman" w:cs="Times New Roman"/>
          <w:sz w:val="24"/>
        </w:rPr>
      </w:pPr>
      <w:r w:rsidRPr="00BB1C5F">
        <w:rPr>
          <w:rFonts w:ascii="Times New Roman" w:hAnsi="Times New Roman" w:cs="Times New Roman"/>
          <w:b/>
          <w:sz w:val="24"/>
        </w:rPr>
        <w:t xml:space="preserve">Fig. </w:t>
      </w:r>
      <w:r>
        <w:rPr>
          <w:rFonts w:ascii="Times New Roman" w:hAnsi="Times New Roman" w:cs="Times New Roman"/>
          <w:b/>
          <w:sz w:val="24"/>
        </w:rPr>
        <w:t>4.</w:t>
      </w:r>
      <w:r>
        <w:rPr>
          <w:rFonts w:ascii="Times New Roman" w:hAnsi="Times New Roman" w:cs="Times New Roman"/>
          <w:sz w:val="24"/>
        </w:rPr>
        <w:t xml:space="preserve"> HDL containing ApoM inhibits astrocyte apoptosis induced by 4-h OGD and 24-h recovery. (A) Representative Hoechst 33342 staining images showed that HDL</w:t>
      </w:r>
      <w:r w:rsidRPr="0070580D">
        <w:rPr>
          <w:rFonts w:ascii="Times New Roman" w:hAnsi="Times New Roman" w:cs="Times New Roman"/>
          <w:sz w:val="24"/>
          <w:vertAlign w:val="superscript"/>
        </w:rPr>
        <w:t>+</w:t>
      </w:r>
      <w:r>
        <w:rPr>
          <w:rFonts w:ascii="Times New Roman" w:hAnsi="Times New Roman" w:cs="Times New Roman"/>
          <w:sz w:val="24"/>
        </w:rPr>
        <w:t xml:space="preserve"> at 10 </w:t>
      </w:r>
      <w:r>
        <w:rPr>
          <w:rFonts w:ascii="Times New Roman" w:hAnsi="Times New Roman" w:cs="Times New Roman"/>
          <w:sz w:val="24"/>
        </w:rPr>
        <w:sym w:font="Symbol" w:char="F06D"/>
      </w:r>
      <w:r>
        <w:rPr>
          <w:rFonts w:ascii="Times New Roman" w:hAnsi="Times New Roman" w:cs="Times New Roman"/>
          <w:sz w:val="24"/>
        </w:rPr>
        <w:t>g/ml decreased apoptotic cell ratio in the astrocytes. (B) Quantification of apoptotic cells determined by Hoechst 33342 staining analysis. (C) Western blotting analysis revealed the decreased Bax/Bcl-2 expression ratio and cleaved caspase 3 expression in the astrocytes after HDL</w:t>
      </w:r>
      <w:r w:rsidRPr="0070580D">
        <w:rPr>
          <w:rFonts w:ascii="Times New Roman" w:hAnsi="Times New Roman" w:cs="Times New Roman"/>
          <w:sz w:val="24"/>
          <w:vertAlign w:val="superscript"/>
        </w:rPr>
        <w:t>+</w:t>
      </w:r>
      <w:r>
        <w:rPr>
          <w:rFonts w:ascii="Times New Roman" w:hAnsi="Times New Roman" w:cs="Times New Roman"/>
          <w:sz w:val="24"/>
        </w:rPr>
        <w:t xml:space="preserve"> treatment.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w:t>
      </w:r>
      <w:r w:rsidR="00C5235A">
        <w:rPr>
          <w:rFonts w:ascii="Times New Roman" w:hAnsi="Times New Roman" w:cs="Times New Roman"/>
          <w:sz w:val="24"/>
        </w:rPr>
        <w:t>6</w:t>
      </w:r>
      <w:r>
        <w:rPr>
          <w:rFonts w:ascii="Times New Roman" w:hAnsi="Times New Roman" w:cs="Times New Roman"/>
          <w:sz w:val="24"/>
        </w:rPr>
        <w:t>; **</w:t>
      </w:r>
      <w:r w:rsidRPr="00314E15">
        <w:rPr>
          <w:rFonts w:ascii="Times New Roman" w:hAnsi="Times New Roman" w:cs="Times New Roman"/>
          <w:i/>
          <w:sz w:val="24"/>
        </w:rPr>
        <w:t>P</w:t>
      </w:r>
      <w:r>
        <w:rPr>
          <w:rFonts w:ascii="Times New Roman" w:hAnsi="Times New Roman" w:cs="Times New Roman"/>
          <w:sz w:val="24"/>
        </w:rPr>
        <w:t xml:space="preserve"> &lt; 0.01 compared with OGD treatment.</w:t>
      </w:r>
    </w:p>
    <w:p w:rsidR="00A75B1B" w:rsidRPr="00750937" w:rsidRDefault="00A75B1B" w:rsidP="00A75B1B">
      <w:pPr>
        <w:spacing w:line="480" w:lineRule="auto"/>
        <w:rPr>
          <w:rFonts w:ascii="Times New Roman" w:hAnsi="Times New Roman" w:cs="Times New Roman"/>
          <w:sz w:val="24"/>
        </w:rPr>
      </w:pPr>
      <w:r w:rsidRPr="00BB1C5F">
        <w:rPr>
          <w:rFonts w:ascii="Times New Roman" w:hAnsi="Times New Roman" w:cs="Times New Roman"/>
          <w:b/>
          <w:sz w:val="24"/>
        </w:rPr>
        <w:t xml:space="preserve">Fig. </w:t>
      </w:r>
      <w:r>
        <w:rPr>
          <w:rFonts w:ascii="Times New Roman" w:hAnsi="Times New Roman" w:cs="Times New Roman"/>
          <w:b/>
          <w:sz w:val="24"/>
        </w:rPr>
        <w:t>5.</w:t>
      </w:r>
      <w:r>
        <w:rPr>
          <w:rFonts w:ascii="Times New Roman" w:hAnsi="Times New Roman" w:cs="Times New Roman"/>
          <w:sz w:val="24"/>
        </w:rPr>
        <w:t xml:space="preserve"> A</w:t>
      </w:r>
      <w:r>
        <w:rPr>
          <w:rFonts w:ascii="Times New Roman" w:hAnsi="Times New Roman" w:cs="Times New Roman" w:hint="eastAsia"/>
          <w:sz w:val="24"/>
        </w:rPr>
        <w:t>kt and E</w:t>
      </w:r>
      <w:r>
        <w:rPr>
          <w:rFonts w:ascii="Times New Roman" w:hAnsi="Times New Roman" w:cs="Times New Roman"/>
          <w:sz w:val="24"/>
        </w:rPr>
        <w:t>rk</w:t>
      </w:r>
      <w:r>
        <w:rPr>
          <w:rFonts w:ascii="Times New Roman" w:hAnsi="Times New Roman" w:cs="Times New Roman" w:hint="eastAsia"/>
          <w:sz w:val="24"/>
        </w:rPr>
        <w:t>1</w:t>
      </w:r>
      <w:r>
        <w:rPr>
          <w:rFonts w:ascii="Times New Roman" w:hAnsi="Times New Roman" w:cs="Times New Roman"/>
          <w:sz w:val="24"/>
        </w:rPr>
        <w:t>/2 activation is required for the anti-apoptotic effects of HDL</w:t>
      </w:r>
      <w:r w:rsidRPr="0061372E">
        <w:rPr>
          <w:rFonts w:ascii="Times New Roman" w:hAnsi="Times New Roman" w:cs="Times New Roman"/>
          <w:sz w:val="24"/>
          <w:vertAlign w:val="superscript"/>
        </w:rPr>
        <w:t>+</w:t>
      </w:r>
      <w:r>
        <w:rPr>
          <w:rFonts w:ascii="Times New Roman" w:hAnsi="Times New Roman" w:cs="Times New Roman"/>
          <w:sz w:val="24"/>
        </w:rPr>
        <w:t xml:space="preserve">. (A) Western blotting analysis showed that an Akt inhibitor, LY 294002 at 10 </w:t>
      </w:r>
      <w:r>
        <w:rPr>
          <w:rFonts w:ascii="Times New Roman" w:hAnsi="Times New Roman" w:cs="Times New Roman"/>
          <w:sz w:val="24"/>
        </w:rPr>
        <w:sym w:font="Symbol" w:char="F06D"/>
      </w:r>
      <w:r>
        <w:rPr>
          <w:rFonts w:ascii="Times New Roman" w:hAnsi="Times New Roman" w:cs="Times New Roman"/>
          <w:sz w:val="24"/>
        </w:rPr>
        <w:t xml:space="preserve">M, abolished the phosphorylation of Akt in the astrocytes. The astrocytes were pretreated with LY 294002 at 10 </w:t>
      </w:r>
      <w:r>
        <w:rPr>
          <w:rFonts w:ascii="Times New Roman" w:hAnsi="Times New Roman" w:cs="Times New Roman"/>
          <w:sz w:val="24"/>
        </w:rPr>
        <w:sym w:font="Symbol" w:char="F06D"/>
      </w:r>
      <w:r>
        <w:rPr>
          <w:rFonts w:ascii="Times New Roman" w:hAnsi="Times New Roman" w:cs="Times New Roman"/>
          <w:sz w:val="24"/>
        </w:rPr>
        <w:t>M for 30 min and then exposed to HDL</w:t>
      </w:r>
      <w:r w:rsidRPr="003044B0">
        <w:rPr>
          <w:rFonts w:ascii="Times New Roman" w:hAnsi="Times New Roman" w:cs="Times New Roman"/>
          <w:sz w:val="24"/>
          <w:vertAlign w:val="superscript"/>
        </w:rPr>
        <w:t>+</w:t>
      </w:r>
      <w:r>
        <w:rPr>
          <w:rFonts w:ascii="Times New Roman" w:hAnsi="Times New Roman" w:cs="Times New Roman"/>
          <w:sz w:val="24"/>
        </w:rPr>
        <w:t xml:space="preserve"> at 10 </w:t>
      </w:r>
      <w:r>
        <w:rPr>
          <w:rFonts w:ascii="Times New Roman" w:hAnsi="Times New Roman" w:cs="Times New Roman"/>
          <w:sz w:val="24"/>
        </w:rPr>
        <w:sym w:font="Symbol" w:char="F06D"/>
      </w:r>
      <w:r>
        <w:rPr>
          <w:rFonts w:ascii="Times New Roman" w:hAnsi="Times New Roman" w:cs="Times New Roman"/>
          <w:sz w:val="24"/>
        </w:rPr>
        <w:t xml:space="preserve">M, free S1P at 1 </w:t>
      </w:r>
      <w:r>
        <w:rPr>
          <w:rFonts w:ascii="Times New Roman" w:hAnsi="Times New Roman" w:cs="Times New Roman"/>
          <w:sz w:val="24"/>
        </w:rPr>
        <w:sym w:font="Symbol" w:char="F06D"/>
      </w:r>
      <w:r>
        <w:rPr>
          <w:rFonts w:ascii="Times New Roman" w:hAnsi="Times New Roman" w:cs="Times New Roman"/>
          <w:sz w:val="24"/>
        </w:rPr>
        <w:t xml:space="preserve">M or ApoM-bound S1P at 1 </w:t>
      </w:r>
      <w:r>
        <w:rPr>
          <w:rFonts w:ascii="Times New Roman" w:hAnsi="Times New Roman" w:cs="Times New Roman"/>
          <w:sz w:val="24"/>
        </w:rPr>
        <w:sym w:font="Symbol" w:char="F06D"/>
      </w:r>
      <w:r>
        <w:rPr>
          <w:rFonts w:ascii="Times New Roman" w:hAnsi="Times New Roman" w:cs="Times New Roman"/>
          <w:sz w:val="24"/>
        </w:rPr>
        <w:t xml:space="preserve">M for 10 min. Then the cells were lysed and the lysate was used for western blotting. (B) Western blotting analysis revealed the inhibition of phosphorylated Erk expression by an Erk inhibitor, PD98059 at 10 </w:t>
      </w:r>
      <w:r>
        <w:rPr>
          <w:rFonts w:ascii="Times New Roman" w:hAnsi="Times New Roman" w:cs="Times New Roman"/>
          <w:sz w:val="24"/>
        </w:rPr>
        <w:sym w:font="Symbol" w:char="F06D"/>
      </w:r>
      <w:r>
        <w:rPr>
          <w:rFonts w:ascii="Times New Roman" w:hAnsi="Times New Roman" w:cs="Times New Roman"/>
          <w:sz w:val="24"/>
        </w:rPr>
        <w:t xml:space="preserve">M. After the </w:t>
      </w:r>
      <w:r>
        <w:rPr>
          <w:rFonts w:ascii="Times New Roman" w:hAnsi="Times New Roman" w:cs="Times New Roman"/>
          <w:sz w:val="24"/>
        </w:rPr>
        <w:lastRenderedPageBreak/>
        <w:t xml:space="preserve">treatment with PD98059 at 10 </w:t>
      </w:r>
      <w:r>
        <w:rPr>
          <w:rFonts w:ascii="Times New Roman" w:hAnsi="Times New Roman" w:cs="Times New Roman"/>
          <w:sz w:val="24"/>
        </w:rPr>
        <w:sym w:font="Symbol" w:char="F06D"/>
      </w:r>
      <w:r>
        <w:rPr>
          <w:rFonts w:ascii="Times New Roman" w:hAnsi="Times New Roman" w:cs="Times New Roman"/>
          <w:sz w:val="24"/>
        </w:rPr>
        <w:t>M for 30 min, the cells were subject to HDL</w:t>
      </w:r>
      <w:r w:rsidRPr="00E4232E">
        <w:rPr>
          <w:rFonts w:ascii="Times New Roman" w:hAnsi="Times New Roman" w:cs="Times New Roman"/>
          <w:sz w:val="24"/>
          <w:vertAlign w:val="superscript"/>
        </w:rPr>
        <w:t>+</w:t>
      </w:r>
      <w:r>
        <w:rPr>
          <w:rFonts w:ascii="Times New Roman" w:hAnsi="Times New Roman" w:cs="Times New Roman"/>
          <w:sz w:val="24"/>
        </w:rPr>
        <w:t xml:space="preserve"> at 10 </w:t>
      </w:r>
      <w:r>
        <w:rPr>
          <w:rFonts w:ascii="Times New Roman" w:hAnsi="Times New Roman" w:cs="Times New Roman"/>
          <w:sz w:val="24"/>
        </w:rPr>
        <w:sym w:font="Symbol" w:char="F06D"/>
      </w:r>
      <w:r>
        <w:rPr>
          <w:rFonts w:ascii="Times New Roman" w:hAnsi="Times New Roman" w:cs="Times New Roman"/>
          <w:sz w:val="24"/>
        </w:rPr>
        <w:t xml:space="preserve">M, free S1P at 1 </w:t>
      </w:r>
      <w:r>
        <w:rPr>
          <w:rFonts w:ascii="Times New Roman" w:hAnsi="Times New Roman" w:cs="Times New Roman"/>
          <w:sz w:val="24"/>
        </w:rPr>
        <w:sym w:font="Symbol" w:char="F06D"/>
      </w:r>
      <w:r>
        <w:rPr>
          <w:rFonts w:ascii="Times New Roman" w:hAnsi="Times New Roman" w:cs="Times New Roman"/>
          <w:sz w:val="24"/>
        </w:rPr>
        <w:t xml:space="preserve">M or ApoM-bound S1P at 1 </w:t>
      </w:r>
      <w:r>
        <w:rPr>
          <w:rFonts w:ascii="Times New Roman" w:hAnsi="Times New Roman" w:cs="Times New Roman"/>
          <w:sz w:val="24"/>
        </w:rPr>
        <w:sym w:font="Symbol" w:char="F06D"/>
      </w:r>
      <w:r>
        <w:rPr>
          <w:rFonts w:ascii="Times New Roman" w:hAnsi="Times New Roman" w:cs="Times New Roman"/>
          <w:sz w:val="24"/>
        </w:rPr>
        <w:t>M for 1 h. Then the cells were lysed and the lysate was used for western blotting. (C) Representative Hoechst 33258 staining images demonstrating the inhibition of protective effects of HDL</w:t>
      </w:r>
      <w:r w:rsidRPr="0002565A">
        <w:rPr>
          <w:rFonts w:ascii="Times New Roman" w:hAnsi="Times New Roman" w:cs="Times New Roman"/>
          <w:sz w:val="24"/>
          <w:vertAlign w:val="superscript"/>
        </w:rPr>
        <w:t>+</w:t>
      </w:r>
      <w:r>
        <w:rPr>
          <w:rFonts w:ascii="Times New Roman" w:hAnsi="Times New Roman" w:cs="Times New Roman"/>
          <w:sz w:val="24"/>
        </w:rPr>
        <w:t xml:space="preserve"> by LY 294002 at 10 </w:t>
      </w:r>
      <w:r>
        <w:rPr>
          <w:rFonts w:ascii="Times New Roman" w:hAnsi="Times New Roman" w:cs="Times New Roman"/>
          <w:sz w:val="24"/>
        </w:rPr>
        <w:sym w:font="Symbol" w:char="F06D"/>
      </w:r>
      <w:r>
        <w:rPr>
          <w:rFonts w:ascii="Times New Roman" w:hAnsi="Times New Roman" w:cs="Times New Roman"/>
          <w:sz w:val="24"/>
        </w:rPr>
        <w:t xml:space="preserve">M or PD98059 at 10 </w:t>
      </w:r>
      <w:r>
        <w:rPr>
          <w:rFonts w:ascii="Times New Roman" w:hAnsi="Times New Roman" w:cs="Times New Roman"/>
          <w:sz w:val="24"/>
        </w:rPr>
        <w:sym w:font="Symbol" w:char="F06D"/>
      </w:r>
      <w:r>
        <w:rPr>
          <w:rFonts w:ascii="Times New Roman" w:hAnsi="Times New Roman" w:cs="Times New Roman"/>
          <w:sz w:val="24"/>
        </w:rPr>
        <w:t xml:space="preserve">M. Scal bar = 25 </w:t>
      </w:r>
      <w:r>
        <w:rPr>
          <w:rFonts w:ascii="Times New Roman" w:hAnsi="Times New Roman" w:cs="Times New Roman"/>
          <w:sz w:val="24"/>
        </w:rPr>
        <w:sym w:font="Symbol" w:char="F06D"/>
      </w:r>
      <w:r>
        <w:rPr>
          <w:rFonts w:ascii="Times New Roman" w:hAnsi="Times New Roman" w:cs="Times New Roman"/>
          <w:sz w:val="24"/>
        </w:rPr>
        <w:t xml:space="preserve">m. (D) Quantification of apoptotic cells after the treatment of LY 294002 at 10 </w:t>
      </w:r>
      <w:r>
        <w:rPr>
          <w:rFonts w:ascii="Times New Roman" w:hAnsi="Times New Roman" w:cs="Times New Roman"/>
          <w:sz w:val="24"/>
        </w:rPr>
        <w:sym w:font="Symbol" w:char="F06D"/>
      </w:r>
      <w:r>
        <w:rPr>
          <w:rFonts w:ascii="Times New Roman" w:hAnsi="Times New Roman" w:cs="Times New Roman"/>
          <w:sz w:val="24"/>
        </w:rPr>
        <w:t xml:space="preserve">M or PD98059 at 10 </w:t>
      </w:r>
      <w:r>
        <w:rPr>
          <w:rFonts w:ascii="Times New Roman" w:hAnsi="Times New Roman" w:cs="Times New Roman"/>
          <w:sz w:val="24"/>
        </w:rPr>
        <w:sym w:font="Symbol" w:char="F06D"/>
      </w:r>
      <w:r>
        <w:rPr>
          <w:rFonts w:ascii="Times New Roman" w:hAnsi="Times New Roman" w:cs="Times New Roman"/>
          <w:sz w:val="24"/>
        </w:rPr>
        <w:t>M in the presence of HDL</w:t>
      </w:r>
      <w:r w:rsidRPr="0002565A">
        <w:rPr>
          <w:rFonts w:ascii="Times New Roman" w:hAnsi="Times New Roman" w:cs="Times New Roman"/>
          <w:sz w:val="24"/>
          <w:vertAlign w:val="superscript"/>
        </w:rPr>
        <w:t>+</w:t>
      </w:r>
      <w:r>
        <w:rPr>
          <w:rFonts w:ascii="Times New Roman" w:hAnsi="Times New Roman" w:cs="Times New Roman"/>
          <w:sz w:val="24"/>
        </w:rPr>
        <w:t xml:space="preserve"> at 10 </w:t>
      </w:r>
      <w:r>
        <w:rPr>
          <w:rFonts w:ascii="Times New Roman" w:hAnsi="Times New Roman" w:cs="Times New Roman"/>
          <w:sz w:val="24"/>
        </w:rPr>
        <w:sym w:font="Symbol" w:char="F06D"/>
      </w:r>
      <w:r>
        <w:rPr>
          <w:rFonts w:ascii="Times New Roman" w:hAnsi="Times New Roman" w:cs="Times New Roman"/>
          <w:sz w:val="24"/>
        </w:rPr>
        <w:t>g/ml in the astrocytes challenged with 4-h OGD and 24-h recovery. (E) Caspase 3 activity assay showed that Akt or Erk inhibition by specific inhibitors blocked the protective effects of HDL</w:t>
      </w:r>
      <w:r w:rsidRPr="0002565A">
        <w:rPr>
          <w:rFonts w:ascii="Times New Roman" w:hAnsi="Times New Roman" w:cs="Times New Roman"/>
          <w:sz w:val="24"/>
          <w:vertAlign w:val="superscript"/>
        </w:rPr>
        <w:t>+</w:t>
      </w:r>
      <w:r>
        <w:rPr>
          <w:rFonts w:ascii="Times New Roman" w:hAnsi="Times New Roman" w:cs="Times New Roman"/>
          <w:sz w:val="24"/>
        </w:rPr>
        <w:t xml:space="preserve">.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w:t>
      </w:r>
      <w:r w:rsidR="00625DA0">
        <w:rPr>
          <w:rFonts w:ascii="Times New Roman" w:hAnsi="Times New Roman" w:cs="Times New Roman"/>
          <w:sz w:val="24"/>
        </w:rPr>
        <w:t>6</w:t>
      </w:r>
      <w:r>
        <w:rPr>
          <w:rFonts w:ascii="Times New Roman" w:hAnsi="Times New Roman" w:cs="Times New Roman"/>
          <w:sz w:val="24"/>
        </w:rPr>
        <w:t xml:space="preserve"> for western blotting analysis and apoptotic cell staining, n = 6 for Caspase 3 activity assay; **</w:t>
      </w:r>
      <w:r w:rsidRPr="00314E15">
        <w:rPr>
          <w:rFonts w:ascii="Times New Roman" w:hAnsi="Times New Roman" w:cs="Times New Roman"/>
          <w:i/>
          <w:sz w:val="24"/>
        </w:rPr>
        <w:t>P</w:t>
      </w:r>
      <w:r>
        <w:rPr>
          <w:rFonts w:ascii="Times New Roman" w:hAnsi="Times New Roman" w:cs="Times New Roman"/>
          <w:sz w:val="24"/>
        </w:rPr>
        <w:t xml:space="preserve"> &lt; 0.0</w:t>
      </w:r>
      <w:r w:rsidR="00C5235A">
        <w:rPr>
          <w:rFonts w:ascii="Times New Roman" w:hAnsi="Times New Roman" w:cs="Times New Roman"/>
          <w:sz w:val="24"/>
        </w:rPr>
        <w:t>0</w:t>
      </w:r>
      <w:r>
        <w:rPr>
          <w:rFonts w:ascii="Times New Roman" w:hAnsi="Times New Roman" w:cs="Times New Roman"/>
          <w:sz w:val="24"/>
        </w:rPr>
        <w:t xml:space="preserve">1 compared with vehicle, </w:t>
      </w:r>
      <w:r w:rsidRPr="00551537">
        <w:rPr>
          <w:rFonts w:ascii="Times New Roman" w:hAnsi="Times New Roman" w:cs="Times New Roman"/>
          <w:sz w:val="24"/>
          <w:vertAlign w:val="superscript"/>
        </w:rPr>
        <w:t>##</w:t>
      </w:r>
      <w:r w:rsidRPr="00314E15">
        <w:rPr>
          <w:rFonts w:ascii="Times New Roman" w:hAnsi="Times New Roman" w:cs="Times New Roman"/>
          <w:i/>
          <w:sz w:val="24"/>
        </w:rPr>
        <w:t>P</w:t>
      </w:r>
      <w:r>
        <w:rPr>
          <w:rFonts w:ascii="Times New Roman" w:hAnsi="Times New Roman" w:cs="Times New Roman"/>
          <w:sz w:val="24"/>
        </w:rPr>
        <w:t xml:space="preserve"> &lt; 0.0</w:t>
      </w:r>
      <w:r w:rsidR="00C5235A">
        <w:rPr>
          <w:rFonts w:ascii="Times New Roman" w:hAnsi="Times New Roman" w:cs="Times New Roman"/>
          <w:sz w:val="24"/>
        </w:rPr>
        <w:t>0</w:t>
      </w:r>
      <w:r>
        <w:rPr>
          <w:rFonts w:ascii="Times New Roman" w:hAnsi="Times New Roman" w:cs="Times New Roman"/>
          <w:sz w:val="24"/>
        </w:rPr>
        <w:t>1 compared with HDL</w:t>
      </w:r>
      <w:r w:rsidRPr="00551537">
        <w:rPr>
          <w:rFonts w:ascii="Times New Roman" w:hAnsi="Times New Roman" w:cs="Times New Roman"/>
          <w:sz w:val="24"/>
          <w:vertAlign w:val="superscript"/>
        </w:rPr>
        <w:t>+</w:t>
      </w:r>
      <w:r>
        <w:rPr>
          <w:rFonts w:ascii="Times New Roman" w:hAnsi="Times New Roman" w:cs="Times New Roman"/>
          <w:sz w:val="24"/>
        </w:rPr>
        <w:t>.</w:t>
      </w:r>
    </w:p>
    <w:p w:rsidR="00A75B1B" w:rsidRDefault="00A75B1B" w:rsidP="00A75B1B">
      <w:pPr>
        <w:spacing w:line="480" w:lineRule="auto"/>
        <w:rPr>
          <w:rFonts w:ascii="Times New Roman" w:hAnsi="Times New Roman" w:cs="Times New Roman"/>
          <w:sz w:val="24"/>
        </w:rPr>
      </w:pPr>
      <w:r w:rsidRPr="00960B15">
        <w:rPr>
          <w:rFonts w:ascii="Times New Roman" w:hAnsi="Times New Roman" w:cs="Times New Roman"/>
          <w:b/>
          <w:sz w:val="24"/>
        </w:rPr>
        <w:t xml:space="preserve">Fig. </w:t>
      </w:r>
      <w:r>
        <w:rPr>
          <w:rFonts w:ascii="Times New Roman" w:hAnsi="Times New Roman" w:cs="Times New Roman"/>
          <w:b/>
          <w:sz w:val="24"/>
        </w:rPr>
        <w:t>6.</w:t>
      </w:r>
      <w:r w:rsidRPr="00960B15">
        <w:rPr>
          <w:rFonts w:ascii="Times New Roman" w:hAnsi="Times New Roman" w:cs="Times New Roman"/>
          <w:sz w:val="24"/>
        </w:rPr>
        <w:t xml:space="preserve"> </w:t>
      </w:r>
      <w:r>
        <w:rPr>
          <w:rFonts w:ascii="Times New Roman" w:hAnsi="Times New Roman" w:cs="Times New Roman"/>
          <w:sz w:val="24"/>
        </w:rPr>
        <w:t xml:space="preserve">The upregulation of S1PR1 in the astrocytes after exposure to OGD and recovery. (A) Real-time RT-PCR analysis demonstrated that the mRNA expression of </w:t>
      </w:r>
      <w:r w:rsidRPr="007C0AB6">
        <w:rPr>
          <w:rFonts w:ascii="Times New Roman" w:hAnsi="Times New Roman" w:cs="Times New Roman"/>
          <w:i/>
          <w:sz w:val="24"/>
        </w:rPr>
        <w:t>S1pr1</w:t>
      </w:r>
      <w:r>
        <w:rPr>
          <w:rFonts w:ascii="Times New Roman" w:hAnsi="Times New Roman" w:cs="Times New Roman"/>
          <w:sz w:val="24"/>
        </w:rPr>
        <w:t xml:space="preserve"> not </w:t>
      </w:r>
      <w:r w:rsidRPr="007C0AB6">
        <w:rPr>
          <w:rFonts w:ascii="Times New Roman" w:hAnsi="Times New Roman" w:cs="Times New Roman"/>
          <w:i/>
          <w:sz w:val="24"/>
        </w:rPr>
        <w:t>S1pr3</w:t>
      </w:r>
      <w:r>
        <w:rPr>
          <w:rFonts w:ascii="Times New Roman" w:hAnsi="Times New Roman" w:cs="Times New Roman"/>
          <w:sz w:val="24"/>
        </w:rPr>
        <w:t xml:space="preserve"> was increased following challenge with OGD and recovery. (B) immunoblotting analysis demonstrated that the protein level of S1PR1 was increased in the astrocytes after OGD and recovery.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w:t>
      </w:r>
      <w:r w:rsidR="00625DA0">
        <w:rPr>
          <w:rFonts w:ascii="Times New Roman" w:hAnsi="Times New Roman" w:cs="Times New Roman"/>
          <w:sz w:val="24"/>
        </w:rPr>
        <w:t>6</w:t>
      </w:r>
      <w:r>
        <w:rPr>
          <w:rFonts w:ascii="Times New Roman" w:hAnsi="Times New Roman" w:cs="Times New Roman"/>
          <w:sz w:val="24"/>
        </w:rPr>
        <w:t>; **</w:t>
      </w:r>
      <w:r w:rsidRPr="00314E15">
        <w:rPr>
          <w:rFonts w:ascii="Times New Roman" w:hAnsi="Times New Roman" w:cs="Times New Roman"/>
          <w:i/>
          <w:sz w:val="24"/>
        </w:rPr>
        <w:t>P</w:t>
      </w:r>
      <w:r>
        <w:rPr>
          <w:rFonts w:ascii="Times New Roman" w:hAnsi="Times New Roman" w:cs="Times New Roman"/>
          <w:sz w:val="24"/>
        </w:rPr>
        <w:t xml:space="preserve"> &lt; 0.0</w:t>
      </w:r>
      <w:r w:rsidR="00625DA0">
        <w:rPr>
          <w:rFonts w:ascii="Times New Roman" w:hAnsi="Times New Roman" w:cs="Times New Roman"/>
          <w:sz w:val="24"/>
        </w:rPr>
        <w:t>0</w:t>
      </w:r>
      <w:r>
        <w:rPr>
          <w:rFonts w:ascii="Times New Roman" w:hAnsi="Times New Roman" w:cs="Times New Roman"/>
          <w:sz w:val="24"/>
        </w:rPr>
        <w:t>1 compared with control.</w:t>
      </w:r>
    </w:p>
    <w:p w:rsidR="00A75B1B" w:rsidRPr="00750937" w:rsidRDefault="00A75B1B" w:rsidP="00A75B1B">
      <w:pPr>
        <w:spacing w:line="480" w:lineRule="auto"/>
        <w:rPr>
          <w:rFonts w:ascii="Times New Roman" w:hAnsi="Times New Roman" w:cs="Times New Roman"/>
          <w:sz w:val="24"/>
        </w:rPr>
      </w:pPr>
      <w:r w:rsidRPr="00E55C24">
        <w:rPr>
          <w:rFonts w:ascii="Times New Roman" w:hAnsi="Times New Roman" w:cs="Times New Roman"/>
          <w:b/>
          <w:sz w:val="24"/>
        </w:rPr>
        <w:t xml:space="preserve">Fig. </w:t>
      </w:r>
      <w:r>
        <w:rPr>
          <w:rFonts w:ascii="Times New Roman" w:hAnsi="Times New Roman" w:cs="Times New Roman"/>
          <w:b/>
          <w:sz w:val="24"/>
        </w:rPr>
        <w:t>7.</w:t>
      </w:r>
      <w:r>
        <w:rPr>
          <w:rFonts w:ascii="Times New Roman" w:hAnsi="Times New Roman" w:cs="Times New Roman"/>
          <w:sz w:val="24"/>
        </w:rPr>
        <w:t xml:space="preserve"> S1PR1 antagonist attenuates the anti-apoptotic effect of HDL</w:t>
      </w:r>
      <w:r w:rsidRPr="007C0AB6">
        <w:rPr>
          <w:rFonts w:ascii="Times New Roman" w:hAnsi="Times New Roman" w:cs="Times New Roman"/>
          <w:sz w:val="24"/>
          <w:vertAlign w:val="superscript"/>
        </w:rPr>
        <w:t>+</w:t>
      </w:r>
      <w:r>
        <w:rPr>
          <w:rFonts w:ascii="Times New Roman" w:hAnsi="Times New Roman" w:cs="Times New Roman"/>
          <w:sz w:val="24"/>
        </w:rPr>
        <w:t xml:space="preserve">. The astrocytes were pre-incubated with W146 at 1 </w:t>
      </w:r>
      <w:r>
        <w:rPr>
          <w:rFonts w:ascii="Times New Roman" w:hAnsi="Times New Roman" w:cs="Times New Roman"/>
          <w:sz w:val="24"/>
        </w:rPr>
        <w:sym w:font="Symbol" w:char="F06D"/>
      </w:r>
      <w:r>
        <w:rPr>
          <w:rFonts w:ascii="Times New Roman" w:hAnsi="Times New Roman" w:cs="Times New Roman"/>
          <w:sz w:val="24"/>
        </w:rPr>
        <w:t xml:space="preserve">M or CAY 10444 at 10 </w:t>
      </w:r>
      <w:r>
        <w:rPr>
          <w:rFonts w:ascii="Times New Roman" w:hAnsi="Times New Roman" w:cs="Times New Roman"/>
          <w:sz w:val="24"/>
        </w:rPr>
        <w:sym w:font="Symbol" w:char="F06D"/>
      </w:r>
      <w:r>
        <w:rPr>
          <w:rFonts w:ascii="Times New Roman" w:hAnsi="Times New Roman" w:cs="Times New Roman"/>
          <w:sz w:val="24"/>
        </w:rPr>
        <w:t>M for 30 min and exposed to OGD/recovery or HDL</w:t>
      </w:r>
      <w:r w:rsidRPr="00E55C24">
        <w:rPr>
          <w:rFonts w:ascii="Times New Roman" w:hAnsi="Times New Roman" w:cs="Times New Roman"/>
          <w:sz w:val="24"/>
          <w:vertAlign w:val="superscript"/>
        </w:rPr>
        <w:t>+</w:t>
      </w:r>
      <w:r>
        <w:rPr>
          <w:rFonts w:ascii="Times New Roman" w:hAnsi="Times New Roman" w:cs="Times New Roman"/>
          <w:sz w:val="24"/>
        </w:rPr>
        <w:t xml:space="preserve"> treatment. (A) Hochest 33258 staining analysis demonstrated that W146 treatment abolished the protective effect of HDL</w:t>
      </w:r>
      <w:r w:rsidRPr="00970EEC">
        <w:rPr>
          <w:rFonts w:ascii="Times New Roman" w:hAnsi="Times New Roman" w:cs="Times New Roman"/>
          <w:sz w:val="24"/>
          <w:vertAlign w:val="superscript"/>
        </w:rPr>
        <w:t>+</w:t>
      </w:r>
      <w:r>
        <w:rPr>
          <w:rFonts w:ascii="Times New Roman" w:hAnsi="Times New Roman" w:cs="Times New Roman"/>
          <w:sz w:val="24"/>
        </w:rPr>
        <w:t xml:space="preserve"> while the CAY 10444 showed no effect. (B) The reduced Caspase 3 activity after HDL</w:t>
      </w:r>
      <w:r w:rsidRPr="00811CD0">
        <w:rPr>
          <w:rFonts w:ascii="Times New Roman" w:hAnsi="Times New Roman" w:cs="Times New Roman"/>
          <w:sz w:val="24"/>
          <w:vertAlign w:val="superscript"/>
        </w:rPr>
        <w:t>+</w:t>
      </w:r>
      <w:r>
        <w:rPr>
          <w:rFonts w:ascii="Times New Roman" w:hAnsi="Times New Roman" w:cs="Times New Roman"/>
          <w:sz w:val="24"/>
        </w:rPr>
        <w:t xml:space="preserve"> treatment </w:t>
      </w:r>
      <w:r>
        <w:rPr>
          <w:rFonts w:ascii="Times New Roman" w:hAnsi="Times New Roman" w:cs="Times New Roman"/>
          <w:sz w:val="24"/>
        </w:rPr>
        <w:lastRenderedPageBreak/>
        <w:t>was reversed by W146. (C) Administration of W146, a S1PR1 inhibitor, blocked Akt or Erk activation induced by HDL</w:t>
      </w:r>
      <w:r w:rsidRPr="000F17B7">
        <w:rPr>
          <w:rFonts w:ascii="Times New Roman" w:hAnsi="Times New Roman" w:cs="Times New Roman"/>
          <w:sz w:val="24"/>
          <w:vertAlign w:val="superscript"/>
        </w:rPr>
        <w:t>+</w:t>
      </w:r>
      <w:r>
        <w:rPr>
          <w:rFonts w:ascii="Times New Roman" w:hAnsi="Times New Roman" w:cs="Times New Roman"/>
          <w:sz w:val="24"/>
        </w:rPr>
        <w:t xml:space="preserve">. After the pretreatment with W146 at 1 </w:t>
      </w:r>
      <w:r>
        <w:rPr>
          <w:rFonts w:ascii="Times New Roman" w:hAnsi="Times New Roman" w:cs="Times New Roman"/>
          <w:sz w:val="24"/>
        </w:rPr>
        <w:sym w:font="Symbol" w:char="F06D"/>
      </w:r>
      <w:r>
        <w:rPr>
          <w:rFonts w:ascii="Times New Roman" w:hAnsi="Times New Roman" w:cs="Times New Roman"/>
          <w:sz w:val="24"/>
        </w:rPr>
        <w:t>M for 30 min and then treated with HDL</w:t>
      </w:r>
      <w:r w:rsidRPr="007C0AB6">
        <w:rPr>
          <w:rFonts w:ascii="Times New Roman" w:hAnsi="Times New Roman" w:cs="Times New Roman"/>
          <w:sz w:val="24"/>
          <w:vertAlign w:val="superscript"/>
        </w:rPr>
        <w:t>+</w:t>
      </w:r>
      <w:r>
        <w:rPr>
          <w:rFonts w:ascii="Times New Roman" w:hAnsi="Times New Roman" w:cs="Times New Roman"/>
          <w:sz w:val="24"/>
        </w:rPr>
        <w:t xml:space="preserve"> for 10 min (Akt) or 1 h (Erk), the cells were lysed and cell extracts were used for immunoblotting analysis.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w:t>
      </w:r>
      <w:r w:rsidR="001651E0">
        <w:rPr>
          <w:rFonts w:ascii="Times New Roman" w:hAnsi="Times New Roman" w:cs="Times New Roman"/>
          <w:sz w:val="24"/>
        </w:rPr>
        <w:t>6</w:t>
      </w:r>
      <w:r>
        <w:rPr>
          <w:rFonts w:ascii="Times New Roman" w:hAnsi="Times New Roman" w:cs="Times New Roman"/>
          <w:sz w:val="24"/>
        </w:rPr>
        <w:t>; **</w:t>
      </w:r>
      <w:r w:rsidRPr="00314E15">
        <w:rPr>
          <w:rFonts w:ascii="Times New Roman" w:hAnsi="Times New Roman" w:cs="Times New Roman"/>
          <w:i/>
          <w:sz w:val="24"/>
        </w:rPr>
        <w:t xml:space="preserve">P </w:t>
      </w:r>
      <w:r>
        <w:rPr>
          <w:rFonts w:ascii="Times New Roman" w:hAnsi="Times New Roman" w:cs="Times New Roman"/>
          <w:sz w:val="24"/>
        </w:rPr>
        <w:t>&lt; 0.0</w:t>
      </w:r>
      <w:r w:rsidR="001651E0">
        <w:rPr>
          <w:rFonts w:ascii="Times New Roman" w:hAnsi="Times New Roman" w:cs="Times New Roman"/>
          <w:sz w:val="24"/>
        </w:rPr>
        <w:t>0</w:t>
      </w:r>
      <w:r>
        <w:rPr>
          <w:rFonts w:ascii="Times New Roman" w:hAnsi="Times New Roman" w:cs="Times New Roman"/>
          <w:sz w:val="24"/>
        </w:rPr>
        <w:t>1 compared with HDL</w:t>
      </w:r>
      <w:r w:rsidRPr="0020289C">
        <w:rPr>
          <w:rFonts w:ascii="Times New Roman" w:hAnsi="Times New Roman" w:cs="Times New Roman"/>
          <w:sz w:val="24"/>
          <w:vertAlign w:val="superscript"/>
        </w:rPr>
        <w:t>+</w:t>
      </w:r>
      <w:r>
        <w:rPr>
          <w:rFonts w:ascii="Times New Roman" w:hAnsi="Times New Roman" w:cs="Times New Roman"/>
          <w:sz w:val="24"/>
        </w:rPr>
        <w:t>.</w:t>
      </w:r>
    </w:p>
    <w:p w:rsidR="00A75B1B" w:rsidRPr="009156D3" w:rsidRDefault="00A75B1B" w:rsidP="00A75B1B">
      <w:pPr>
        <w:spacing w:line="480" w:lineRule="auto"/>
        <w:rPr>
          <w:rFonts w:ascii="Times New Roman" w:hAnsi="Times New Roman" w:cs="Times New Roman"/>
          <w:noProof/>
          <w:sz w:val="24"/>
          <w:szCs w:val="24"/>
        </w:rPr>
      </w:pPr>
      <w:r w:rsidRPr="0020289C">
        <w:rPr>
          <w:rFonts w:ascii="Times New Roman" w:hAnsi="Times New Roman" w:cs="Times New Roman"/>
          <w:b/>
          <w:sz w:val="24"/>
        </w:rPr>
        <w:t xml:space="preserve">Fig. </w:t>
      </w:r>
      <w:r>
        <w:rPr>
          <w:rFonts w:ascii="Times New Roman" w:hAnsi="Times New Roman" w:cs="Times New Roman"/>
          <w:b/>
          <w:sz w:val="24"/>
        </w:rPr>
        <w:t>8.</w:t>
      </w:r>
      <w:r w:rsidRPr="0020289C">
        <w:rPr>
          <w:rFonts w:ascii="Times New Roman" w:hAnsi="Times New Roman" w:cs="Times New Roman"/>
          <w:b/>
          <w:sz w:val="24"/>
        </w:rPr>
        <w:t xml:space="preserve"> </w:t>
      </w:r>
      <w:r>
        <w:rPr>
          <w:rFonts w:ascii="Times New Roman" w:hAnsi="Times New Roman" w:cs="Times New Roman"/>
          <w:sz w:val="24"/>
        </w:rPr>
        <w:t xml:space="preserve">Knockdown of </w:t>
      </w:r>
      <w:r w:rsidRPr="00314E15">
        <w:rPr>
          <w:rFonts w:ascii="Times New Roman" w:hAnsi="Times New Roman" w:cs="Times New Roman"/>
          <w:i/>
          <w:sz w:val="24"/>
        </w:rPr>
        <w:t>S1pr1</w:t>
      </w:r>
      <w:r>
        <w:rPr>
          <w:rFonts w:ascii="Times New Roman" w:hAnsi="Times New Roman" w:cs="Times New Roman"/>
          <w:sz w:val="24"/>
        </w:rPr>
        <w:t xml:space="preserve"> in astrocytes abolishes the protective effect and Akt/Erk activation of HDL</w:t>
      </w:r>
      <w:r w:rsidRPr="00D1038C">
        <w:rPr>
          <w:rFonts w:ascii="Times New Roman" w:hAnsi="Times New Roman" w:cs="Times New Roman"/>
          <w:sz w:val="24"/>
          <w:vertAlign w:val="superscript"/>
        </w:rPr>
        <w:t>+</w:t>
      </w:r>
      <w:r>
        <w:rPr>
          <w:rFonts w:ascii="Times New Roman" w:hAnsi="Times New Roman" w:cs="Times New Roman"/>
          <w:sz w:val="24"/>
        </w:rPr>
        <w:t xml:space="preserve">. After silencing of </w:t>
      </w:r>
      <w:r>
        <w:rPr>
          <w:rFonts w:ascii="Times New Roman" w:hAnsi="Times New Roman" w:cs="Times New Roman"/>
          <w:i/>
          <w:sz w:val="24"/>
        </w:rPr>
        <w:t>S</w:t>
      </w:r>
      <w:r w:rsidRPr="003E0EBF">
        <w:rPr>
          <w:rFonts w:ascii="Times New Roman" w:hAnsi="Times New Roman" w:cs="Times New Roman"/>
          <w:i/>
          <w:sz w:val="24"/>
        </w:rPr>
        <w:t>1</w:t>
      </w:r>
      <w:r>
        <w:rPr>
          <w:rFonts w:ascii="Times New Roman" w:hAnsi="Times New Roman" w:cs="Times New Roman"/>
          <w:i/>
          <w:sz w:val="24"/>
        </w:rPr>
        <w:t>pr</w:t>
      </w:r>
      <w:r w:rsidRPr="003E0EBF">
        <w:rPr>
          <w:rFonts w:ascii="Times New Roman" w:hAnsi="Times New Roman" w:cs="Times New Roman"/>
          <w:i/>
          <w:sz w:val="24"/>
        </w:rPr>
        <w:t>1</w:t>
      </w:r>
      <w:r>
        <w:rPr>
          <w:rFonts w:ascii="Times New Roman" w:hAnsi="Times New Roman" w:cs="Times New Roman"/>
          <w:sz w:val="24"/>
        </w:rPr>
        <w:t xml:space="preserve"> or </w:t>
      </w:r>
      <w:r>
        <w:rPr>
          <w:rFonts w:ascii="Times New Roman" w:hAnsi="Times New Roman" w:cs="Times New Roman"/>
          <w:i/>
          <w:sz w:val="24"/>
        </w:rPr>
        <w:t>S</w:t>
      </w:r>
      <w:r w:rsidRPr="003E0EBF">
        <w:rPr>
          <w:rFonts w:ascii="Times New Roman" w:hAnsi="Times New Roman" w:cs="Times New Roman"/>
          <w:i/>
          <w:sz w:val="24"/>
        </w:rPr>
        <w:t>1</w:t>
      </w:r>
      <w:r>
        <w:rPr>
          <w:rFonts w:ascii="Times New Roman" w:hAnsi="Times New Roman" w:cs="Times New Roman"/>
          <w:i/>
          <w:sz w:val="24"/>
        </w:rPr>
        <w:t>pr</w:t>
      </w:r>
      <w:r w:rsidRPr="003E0EBF">
        <w:rPr>
          <w:rFonts w:ascii="Times New Roman" w:hAnsi="Times New Roman" w:cs="Times New Roman"/>
          <w:i/>
          <w:sz w:val="24"/>
        </w:rPr>
        <w:t>3</w:t>
      </w:r>
      <w:r>
        <w:rPr>
          <w:rFonts w:ascii="Times New Roman" w:hAnsi="Times New Roman" w:cs="Times New Roman"/>
          <w:sz w:val="24"/>
        </w:rPr>
        <w:t xml:space="preserve"> by siRNAs, the cells were exposed to OGD and recovery with or without HDL</w:t>
      </w:r>
      <w:r w:rsidRPr="003E0EBF">
        <w:rPr>
          <w:rFonts w:ascii="Times New Roman" w:hAnsi="Times New Roman" w:cs="Times New Roman"/>
          <w:sz w:val="24"/>
          <w:vertAlign w:val="superscript"/>
        </w:rPr>
        <w:t>+</w:t>
      </w:r>
      <w:r>
        <w:rPr>
          <w:rFonts w:ascii="Times New Roman" w:hAnsi="Times New Roman" w:cs="Times New Roman"/>
          <w:sz w:val="24"/>
        </w:rPr>
        <w:t xml:space="preserve"> treatment. (A) Western blotting analysis demonstrated the downregulation of S1PR1 or S1PR3 protein expressions by siRNAs. (B) </w:t>
      </w:r>
      <w:r w:rsidRPr="00314E15">
        <w:rPr>
          <w:rFonts w:ascii="Times New Roman" w:hAnsi="Times New Roman" w:cs="Times New Roman"/>
          <w:i/>
          <w:sz w:val="24"/>
        </w:rPr>
        <w:t>S1pr1</w:t>
      </w:r>
      <w:r>
        <w:rPr>
          <w:rFonts w:ascii="Times New Roman" w:hAnsi="Times New Roman" w:cs="Times New Roman"/>
          <w:sz w:val="24"/>
        </w:rPr>
        <w:t xml:space="preserve"> siRNA inhibited anti-apoptotic effect of HDL</w:t>
      </w:r>
      <w:r w:rsidRPr="002052FD">
        <w:rPr>
          <w:rFonts w:ascii="Times New Roman" w:hAnsi="Times New Roman" w:cs="Times New Roman"/>
          <w:sz w:val="24"/>
          <w:vertAlign w:val="superscript"/>
        </w:rPr>
        <w:t>+</w:t>
      </w:r>
      <w:r>
        <w:rPr>
          <w:rFonts w:ascii="Times New Roman" w:hAnsi="Times New Roman" w:cs="Times New Roman"/>
          <w:sz w:val="24"/>
        </w:rPr>
        <w:t xml:space="preserve"> in astrocytes. (C) Silencing of </w:t>
      </w:r>
      <w:r>
        <w:rPr>
          <w:rFonts w:ascii="Times New Roman" w:hAnsi="Times New Roman" w:cs="Times New Roman"/>
          <w:i/>
          <w:sz w:val="24"/>
        </w:rPr>
        <w:t>S</w:t>
      </w:r>
      <w:r w:rsidRPr="003E0EBF">
        <w:rPr>
          <w:rFonts w:ascii="Times New Roman" w:hAnsi="Times New Roman" w:cs="Times New Roman"/>
          <w:i/>
          <w:sz w:val="24"/>
        </w:rPr>
        <w:t>1</w:t>
      </w:r>
      <w:r>
        <w:rPr>
          <w:rFonts w:ascii="Times New Roman" w:hAnsi="Times New Roman" w:cs="Times New Roman"/>
          <w:i/>
          <w:sz w:val="24"/>
        </w:rPr>
        <w:t>pr</w:t>
      </w:r>
      <w:r w:rsidRPr="003E0EBF">
        <w:rPr>
          <w:rFonts w:ascii="Times New Roman" w:hAnsi="Times New Roman" w:cs="Times New Roman"/>
          <w:i/>
          <w:sz w:val="24"/>
        </w:rPr>
        <w:t>1</w:t>
      </w:r>
      <w:r>
        <w:rPr>
          <w:rFonts w:ascii="Times New Roman" w:hAnsi="Times New Roman" w:cs="Times New Roman"/>
          <w:sz w:val="24"/>
        </w:rPr>
        <w:t xml:space="preserve"> blocked Akt or Erk activation by HDL</w:t>
      </w:r>
      <w:r w:rsidRPr="002052FD">
        <w:rPr>
          <w:rFonts w:ascii="Times New Roman" w:hAnsi="Times New Roman" w:cs="Times New Roman"/>
          <w:sz w:val="24"/>
          <w:vertAlign w:val="superscript"/>
        </w:rPr>
        <w:t>+</w:t>
      </w:r>
      <w:r>
        <w:rPr>
          <w:rFonts w:ascii="Times New Roman" w:hAnsi="Times New Roman" w:cs="Times New Roman"/>
          <w:sz w:val="24"/>
        </w:rPr>
        <w:t xml:space="preserve"> or ApoM-bound S1P. Data are expressed as mean </w:t>
      </w:r>
      <w:r>
        <w:rPr>
          <w:rFonts w:ascii="Times New Roman" w:hAnsi="Times New Roman" w:cs="Times New Roman"/>
          <w:sz w:val="24"/>
        </w:rPr>
        <w:sym w:font="Symbol" w:char="F0B1"/>
      </w:r>
      <w:r>
        <w:rPr>
          <w:rFonts w:ascii="Times New Roman" w:hAnsi="Times New Roman" w:cs="Times New Roman"/>
          <w:sz w:val="24"/>
        </w:rPr>
        <w:t xml:space="preserve"> SD; n = 4; **</w:t>
      </w:r>
      <w:r w:rsidRPr="00314E15">
        <w:rPr>
          <w:rFonts w:ascii="Times New Roman" w:hAnsi="Times New Roman" w:cs="Times New Roman"/>
          <w:i/>
          <w:sz w:val="24"/>
        </w:rPr>
        <w:t>P</w:t>
      </w:r>
      <w:r>
        <w:rPr>
          <w:rFonts w:ascii="Times New Roman" w:hAnsi="Times New Roman" w:cs="Times New Roman"/>
          <w:sz w:val="24"/>
        </w:rPr>
        <w:t xml:space="preserve"> &lt; 0.</w:t>
      </w:r>
      <w:r w:rsidR="009C1F9A">
        <w:rPr>
          <w:rFonts w:ascii="Times New Roman" w:hAnsi="Times New Roman" w:cs="Times New Roman"/>
          <w:sz w:val="24"/>
        </w:rPr>
        <w:t>0</w:t>
      </w:r>
      <w:r>
        <w:rPr>
          <w:rFonts w:ascii="Times New Roman" w:hAnsi="Times New Roman" w:cs="Times New Roman"/>
          <w:sz w:val="24"/>
        </w:rPr>
        <w:t>01 compared with scramble siRNA.</w:t>
      </w:r>
    </w:p>
    <w:p w:rsidR="00336FF9" w:rsidRPr="00F43C2F" w:rsidRDefault="00336FF9" w:rsidP="00CC2FD8">
      <w:pPr>
        <w:spacing w:line="480" w:lineRule="auto"/>
        <w:rPr>
          <w:rFonts w:ascii="Times New Roman" w:hAnsi="Times New Roman" w:cs="Times New Roman"/>
          <w:b/>
          <w:sz w:val="24"/>
          <w:szCs w:val="24"/>
        </w:rPr>
      </w:pPr>
    </w:p>
    <w:sectPr w:rsidR="00336FF9" w:rsidRPr="00F43C2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24C5" w:rsidRDefault="007324C5" w:rsidP="00D93067">
      <w:r>
        <w:separator/>
      </w:r>
    </w:p>
  </w:endnote>
  <w:endnote w:type="continuationSeparator" w:id="0">
    <w:p w:rsidR="007324C5" w:rsidRDefault="007324C5" w:rsidP="00D93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SimSu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DengXian Light">
    <w:altName w:val="Microsoft YaHei"/>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rPr>
      <w:id w:val="-492646990"/>
      <w:docPartObj>
        <w:docPartGallery w:val="Page Numbers (Bottom of Page)"/>
        <w:docPartUnique/>
      </w:docPartObj>
    </w:sdtPr>
    <w:sdtEndPr>
      <w:rPr>
        <w:rFonts w:ascii="Times New Roman" w:hAnsi="Times New Roman" w:cs="Times New Roman"/>
      </w:rPr>
    </w:sdtEndPr>
    <w:sdtContent>
      <w:p w:rsidR="00690501" w:rsidRPr="001E7F8D" w:rsidRDefault="00690501" w:rsidP="00952FEB">
        <w:pPr>
          <w:pStyle w:val="Footer"/>
          <w:jc w:val="center"/>
          <w:rPr>
            <w:rFonts w:ascii="Times New Roman" w:hAnsi="Times New Roman" w:cs="Times New Roman"/>
            <w:sz w:val="20"/>
          </w:rPr>
        </w:pPr>
        <w:r w:rsidRPr="001E7F8D">
          <w:rPr>
            <w:rFonts w:ascii="Times New Roman" w:hAnsi="Times New Roman" w:cs="Times New Roman"/>
            <w:sz w:val="20"/>
          </w:rPr>
          <w:fldChar w:fldCharType="begin"/>
        </w:r>
        <w:r w:rsidRPr="001E7F8D">
          <w:rPr>
            <w:rFonts w:ascii="Times New Roman" w:hAnsi="Times New Roman" w:cs="Times New Roman"/>
            <w:sz w:val="20"/>
          </w:rPr>
          <w:instrText>PAGE   \* MERGEFORMAT</w:instrText>
        </w:r>
        <w:r w:rsidRPr="001E7F8D">
          <w:rPr>
            <w:rFonts w:ascii="Times New Roman" w:hAnsi="Times New Roman" w:cs="Times New Roman"/>
            <w:sz w:val="20"/>
          </w:rPr>
          <w:fldChar w:fldCharType="separate"/>
        </w:r>
        <w:r w:rsidR="00D35BEC" w:rsidRPr="00D35BEC">
          <w:rPr>
            <w:rFonts w:ascii="Times New Roman" w:hAnsi="Times New Roman" w:cs="Times New Roman"/>
            <w:noProof/>
            <w:sz w:val="20"/>
            <w:lang w:val="zh-CN"/>
          </w:rPr>
          <w:t>4</w:t>
        </w:r>
        <w:r w:rsidRPr="001E7F8D">
          <w:rPr>
            <w:rFonts w:ascii="Times New Roman" w:hAnsi="Times New Roman" w:cs="Times New Roman"/>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24C5" w:rsidRDefault="007324C5" w:rsidP="00D93067">
      <w:r>
        <w:separator/>
      </w:r>
    </w:p>
  </w:footnote>
  <w:footnote w:type="continuationSeparator" w:id="0">
    <w:p w:rsidR="007324C5" w:rsidRDefault="007324C5" w:rsidP="00D930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uthor-Dat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2s5zxsrapdvbeft21x5v969e0pr0azxsdr&quot;&gt;Checked papers&lt;record-ids&gt;&lt;item&gt;238&lt;/item&gt;&lt;item&gt;244&lt;/item&gt;&lt;item&gt;1737&lt;/item&gt;&lt;item&gt;1786&lt;/item&gt;&lt;item&gt;1791&lt;/item&gt;&lt;item&gt;1803&lt;/item&gt;&lt;item&gt;1810&lt;/item&gt;&lt;item&gt;1812&lt;/item&gt;&lt;item&gt;1824&lt;/item&gt;&lt;item&gt;1862&lt;/item&gt;&lt;item&gt;1863&lt;/item&gt;&lt;item&gt;1864&lt;/item&gt;&lt;item&gt;1868&lt;/item&gt;&lt;item&gt;1872&lt;/item&gt;&lt;item&gt;1873&lt;/item&gt;&lt;item&gt;1874&lt;/item&gt;&lt;item&gt;1878&lt;/item&gt;&lt;item&gt;1879&lt;/item&gt;&lt;item&gt;1880&lt;/item&gt;&lt;item&gt;1882&lt;/item&gt;&lt;item&gt;1883&lt;/item&gt;&lt;item&gt;1884&lt;/item&gt;&lt;item&gt;1886&lt;/item&gt;&lt;item&gt;1887&lt;/item&gt;&lt;item&gt;1888&lt;/item&gt;&lt;item&gt;1889&lt;/item&gt;&lt;item&gt;1890&lt;/item&gt;&lt;item&gt;1891&lt;/item&gt;&lt;item&gt;1892&lt;/item&gt;&lt;item&gt;1893&lt;/item&gt;&lt;item&gt;1894&lt;/item&gt;&lt;item&gt;1895&lt;/item&gt;&lt;item&gt;1896&lt;/item&gt;&lt;item&gt;1897&lt;/item&gt;&lt;item&gt;1903&lt;/item&gt;&lt;item&gt;1904&lt;/item&gt;&lt;item&gt;1905&lt;/item&gt;&lt;item&gt;1906&lt;/item&gt;&lt;item&gt;1908&lt;/item&gt;&lt;item&gt;1944&lt;/item&gt;&lt;item&gt;1969&lt;/item&gt;&lt;item&gt;1970&lt;/item&gt;&lt;item&gt;1972&lt;/item&gt;&lt;item&gt;1978&lt;/item&gt;&lt;item&gt;1987&lt;/item&gt;&lt;item&gt;1989&lt;/item&gt;&lt;item&gt;1990&lt;/item&gt;&lt;item&gt;1991&lt;/item&gt;&lt;item&gt;2040&lt;/item&gt;&lt;/record-ids&gt;&lt;/item&gt;&lt;/Libraries&gt;"/>
  </w:docVars>
  <w:rsids>
    <w:rsidRoot w:val="00A05B27"/>
    <w:rsid w:val="000126A5"/>
    <w:rsid w:val="000148A8"/>
    <w:rsid w:val="00022BCF"/>
    <w:rsid w:val="00031868"/>
    <w:rsid w:val="00061741"/>
    <w:rsid w:val="00065536"/>
    <w:rsid w:val="00080E21"/>
    <w:rsid w:val="000A5E44"/>
    <w:rsid w:val="001355EA"/>
    <w:rsid w:val="00145E19"/>
    <w:rsid w:val="00150DD4"/>
    <w:rsid w:val="001651E0"/>
    <w:rsid w:val="0017634F"/>
    <w:rsid w:val="00196D39"/>
    <w:rsid w:val="001C499B"/>
    <w:rsid w:val="001D5210"/>
    <w:rsid w:val="001E7F8D"/>
    <w:rsid w:val="00206817"/>
    <w:rsid w:val="00243CC7"/>
    <w:rsid w:val="00281BFE"/>
    <w:rsid w:val="002832CA"/>
    <w:rsid w:val="00291975"/>
    <w:rsid w:val="002B1D54"/>
    <w:rsid w:val="002F5E65"/>
    <w:rsid w:val="00321D59"/>
    <w:rsid w:val="00336FF9"/>
    <w:rsid w:val="0037167D"/>
    <w:rsid w:val="00396D24"/>
    <w:rsid w:val="003C508D"/>
    <w:rsid w:val="003E3762"/>
    <w:rsid w:val="00400C95"/>
    <w:rsid w:val="00407184"/>
    <w:rsid w:val="00421458"/>
    <w:rsid w:val="0045401F"/>
    <w:rsid w:val="004A1E0F"/>
    <w:rsid w:val="004A6268"/>
    <w:rsid w:val="004A6C4C"/>
    <w:rsid w:val="004C1A43"/>
    <w:rsid w:val="004C3410"/>
    <w:rsid w:val="004C36AA"/>
    <w:rsid w:val="004E1F4E"/>
    <w:rsid w:val="004F020C"/>
    <w:rsid w:val="00513BC2"/>
    <w:rsid w:val="00513DE3"/>
    <w:rsid w:val="00515BE5"/>
    <w:rsid w:val="00516B3E"/>
    <w:rsid w:val="00517645"/>
    <w:rsid w:val="00521A4C"/>
    <w:rsid w:val="00572C3B"/>
    <w:rsid w:val="00584A96"/>
    <w:rsid w:val="00595A13"/>
    <w:rsid w:val="005A5813"/>
    <w:rsid w:val="005D08CE"/>
    <w:rsid w:val="006201E3"/>
    <w:rsid w:val="0062050C"/>
    <w:rsid w:val="00625DA0"/>
    <w:rsid w:val="00675B54"/>
    <w:rsid w:val="00690501"/>
    <w:rsid w:val="006A0B97"/>
    <w:rsid w:val="006B1AC6"/>
    <w:rsid w:val="006C755A"/>
    <w:rsid w:val="006D348A"/>
    <w:rsid w:val="006E233B"/>
    <w:rsid w:val="006F02ED"/>
    <w:rsid w:val="00700FB1"/>
    <w:rsid w:val="007022AC"/>
    <w:rsid w:val="00714B53"/>
    <w:rsid w:val="007324C5"/>
    <w:rsid w:val="007347AF"/>
    <w:rsid w:val="00737994"/>
    <w:rsid w:val="00750416"/>
    <w:rsid w:val="00755E21"/>
    <w:rsid w:val="0075673A"/>
    <w:rsid w:val="0076115F"/>
    <w:rsid w:val="0078182D"/>
    <w:rsid w:val="0079009B"/>
    <w:rsid w:val="007A0883"/>
    <w:rsid w:val="007A703C"/>
    <w:rsid w:val="007B316B"/>
    <w:rsid w:val="007B4053"/>
    <w:rsid w:val="007C4BA5"/>
    <w:rsid w:val="007D026B"/>
    <w:rsid w:val="007E4584"/>
    <w:rsid w:val="007F69ED"/>
    <w:rsid w:val="00821C3B"/>
    <w:rsid w:val="00855D34"/>
    <w:rsid w:val="00857FE9"/>
    <w:rsid w:val="00860EE4"/>
    <w:rsid w:val="00867EB0"/>
    <w:rsid w:val="00872621"/>
    <w:rsid w:val="00872CB0"/>
    <w:rsid w:val="00887879"/>
    <w:rsid w:val="008B629A"/>
    <w:rsid w:val="008E0B71"/>
    <w:rsid w:val="008E20B3"/>
    <w:rsid w:val="008F41CA"/>
    <w:rsid w:val="008F6F53"/>
    <w:rsid w:val="00902713"/>
    <w:rsid w:val="00904F58"/>
    <w:rsid w:val="009156D3"/>
    <w:rsid w:val="00927541"/>
    <w:rsid w:val="00952FEB"/>
    <w:rsid w:val="00970EEC"/>
    <w:rsid w:val="00976B31"/>
    <w:rsid w:val="009900C9"/>
    <w:rsid w:val="009A2FDE"/>
    <w:rsid w:val="009C1F9A"/>
    <w:rsid w:val="009D35A4"/>
    <w:rsid w:val="009E7052"/>
    <w:rsid w:val="00A05B27"/>
    <w:rsid w:val="00A11B72"/>
    <w:rsid w:val="00A22088"/>
    <w:rsid w:val="00A563BD"/>
    <w:rsid w:val="00A64662"/>
    <w:rsid w:val="00A71094"/>
    <w:rsid w:val="00A75B1B"/>
    <w:rsid w:val="00A77937"/>
    <w:rsid w:val="00A8500F"/>
    <w:rsid w:val="00AC2AB1"/>
    <w:rsid w:val="00AE5389"/>
    <w:rsid w:val="00AF1FBC"/>
    <w:rsid w:val="00B0535E"/>
    <w:rsid w:val="00B52B36"/>
    <w:rsid w:val="00B606DD"/>
    <w:rsid w:val="00B625B4"/>
    <w:rsid w:val="00B74F06"/>
    <w:rsid w:val="00B908F1"/>
    <w:rsid w:val="00B9704F"/>
    <w:rsid w:val="00BA0190"/>
    <w:rsid w:val="00BA03C3"/>
    <w:rsid w:val="00BD4C6D"/>
    <w:rsid w:val="00BD6BCC"/>
    <w:rsid w:val="00BF4A83"/>
    <w:rsid w:val="00BF7C89"/>
    <w:rsid w:val="00C0636A"/>
    <w:rsid w:val="00C14BA3"/>
    <w:rsid w:val="00C24CEA"/>
    <w:rsid w:val="00C3303E"/>
    <w:rsid w:val="00C35ABC"/>
    <w:rsid w:val="00C37B18"/>
    <w:rsid w:val="00C5235A"/>
    <w:rsid w:val="00C666BF"/>
    <w:rsid w:val="00C70495"/>
    <w:rsid w:val="00C72965"/>
    <w:rsid w:val="00C7365E"/>
    <w:rsid w:val="00C744C3"/>
    <w:rsid w:val="00C948C5"/>
    <w:rsid w:val="00C97C8B"/>
    <w:rsid w:val="00CB2897"/>
    <w:rsid w:val="00CC2FD8"/>
    <w:rsid w:val="00CD7592"/>
    <w:rsid w:val="00CE0B70"/>
    <w:rsid w:val="00CE442B"/>
    <w:rsid w:val="00D2718F"/>
    <w:rsid w:val="00D35BEC"/>
    <w:rsid w:val="00D43932"/>
    <w:rsid w:val="00D5137A"/>
    <w:rsid w:val="00D53144"/>
    <w:rsid w:val="00D70E30"/>
    <w:rsid w:val="00D748D2"/>
    <w:rsid w:val="00D93067"/>
    <w:rsid w:val="00DA00BA"/>
    <w:rsid w:val="00DC0697"/>
    <w:rsid w:val="00E074C1"/>
    <w:rsid w:val="00E219DC"/>
    <w:rsid w:val="00E41E41"/>
    <w:rsid w:val="00E92C0C"/>
    <w:rsid w:val="00EC0D15"/>
    <w:rsid w:val="00EC16D1"/>
    <w:rsid w:val="00EE67E6"/>
    <w:rsid w:val="00EF178E"/>
    <w:rsid w:val="00F069A3"/>
    <w:rsid w:val="00F21EA8"/>
    <w:rsid w:val="00F30AEE"/>
    <w:rsid w:val="00F43C2F"/>
    <w:rsid w:val="00F54AA0"/>
    <w:rsid w:val="00F623FB"/>
    <w:rsid w:val="00F64624"/>
    <w:rsid w:val="00F81F9C"/>
    <w:rsid w:val="00F833A2"/>
    <w:rsid w:val="00F91F8E"/>
    <w:rsid w:val="00F93C49"/>
    <w:rsid w:val="00FA2E1C"/>
    <w:rsid w:val="00FA4A28"/>
    <w:rsid w:val="00FA733C"/>
    <w:rsid w:val="00FB3E64"/>
    <w:rsid w:val="00FB6D68"/>
    <w:rsid w:val="00FC1005"/>
    <w:rsid w:val="00FD00C9"/>
    <w:rsid w:val="00FD13EB"/>
    <w:rsid w:val="00FD74B8"/>
    <w:rsid w:val="00FF1170"/>
    <w:rsid w:val="00FF4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96EFA5"/>
  <w15:chartTrackingRefBased/>
  <w15:docId w15:val="{ED739577-7B13-4140-87BD-D614D8A26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heme="minorBidi"/>
        <w:kern w:val="2"/>
        <w:sz w:val="24"/>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B27"/>
    <w:pPr>
      <w:widowControl w:val="0"/>
      <w:jc w:val="both"/>
    </w:pPr>
    <w:rPr>
      <w:rFonts w:asciiTheme="minorHAnsi" w:eastAsiaTheme="minorEastAsia" w:hAnsiTheme="minorHAnsi"/>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scoswrapper">
    <w:name w:val="hs_cos_wrapper"/>
    <w:basedOn w:val="DefaultParagraphFont"/>
    <w:rsid w:val="00A05B27"/>
  </w:style>
  <w:style w:type="paragraph" w:styleId="Header">
    <w:name w:val="header"/>
    <w:basedOn w:val="Normal"/>
    <w:link w:val="HeaderChar"/>
    <w:uiPriority w:val="99"/>
    <w:unhideWhenUsed/>
    <w:rsid w:val="00A05B2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05B27"/>
    <w:rPr>
      <w:rFonts w:asciiTheme="minorHAnsi" w:eastAsiaTheme="minorEastAsia" w:hAnsiTheme="minorHAnsi"/>
      <w:sz w:val="18"/>
      <w:szCs w:val="18"/>
    </w:rPr>
  </w:style>
  <w:style w:type="paragraph" w:styleId="Footer">
    <w:name w:val="footer"/>
    <w:basedOn w:val="Normal"/>
    <w:link w:val="FooterChar"/>
    <w:uiPriority w:val="99"/>
    <w:unhideWhenUsed/>
    <w:rsid w:val="00A05B2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A05B27"/>
    <w:rPr>
      <w:rFonts w:asciiTheme="minorHAnsi" w:eastAsiaTheme="minorEastAsia" w:hAnsiTheme="minorHAnsi"/>
      <w:sz w:val="18"/>
      <w:szCs w:val="18"/>
    </w:rPr>
  </w:style>
  <w:style w:type="paragraph" w:customStyle="1" w:styleId="EndNoteBibliographyTitle">
    <w:name w:val="EndNote Bibliography Title"/>
    <w:basedOn w:val="Normal"/>
    <w:link w:val="EndNoteBibliographyTitle0"/>
    <w:rsid w:val="00A05B27"/>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A05B27"/>
    <w:rPr>
      <w:rFonts w:ascii="DengXian" w:eastAsia="DengXian" w:hAnsi="DengXian"/>
      <w:noProof/>
      <w:sz w:val="20"/>
    </w:rPr>
  </w:style>
  <w:style w:type="paragraph" w:customStyle="1" w:styleId="EndNoteBibliography">
    <w:name w:val="EndNote Bibliography"/>
    <w:basedOn w:val="Normal"/>
    <w:link w:val="EndNoteBibliography0"/>
    <w:rsid w:val="00A05B27"/>
    <w:rPr>
      <w:rFonts w:ascii="DengXian" w:eastAsia="DengXian" w:hAnsi="DengXian"/>
      <w:noProof/>
      <w:sz w:val="20"/>
    </w:rPr>
  </w:style>
  <w:style w:type="character" w:customStyle="1" w:styleId="EndNoteBibliography0">
    <w:name w:val="EndNote Bibliography 字符"/>
    <w:basedOn w:val="DefaultParagraphFont"/>
    <w:link w:val="EndNoteBibliography"/>
    <w:rsid w:val="00A05B27"/>
    <w:rPr>
      <w:rFonts w:ascii="DengXian" w:eastAsia="DengXian" w:hAnsi="DengXian"/>
      <w:noProof/>
      <w:sz w:val="20"/>
    </w:rPr>
  </w:style>
  <w:style w:type="paragraph" w:styleId="BalloonText">
    <w:name w:val="Balloon Text"/>
    <w:basedOn w:val="Normal"/>
    <w:link w:val="BalloonTextChar"/>
    <w:uiPriority w:val="99"/>
    <w:semiHidden/>
    <w:unhideWhenUsed/>
    <w:rsid w:val="00A05B27"/>
    <w:rPr>
      <w:sz w:val="18"/>
      <w:szCs w:val="18"/>
    </w:rPr>
  </w:style>
  <w:style w:type="character" w:customStyle="1" w:styleId="BalloonTextChar">
    <w:name w:val="Balloon Text Char"/>
    <w:basedOn w:val="DefaultParagraphFont"/>
    <w:link w:val="BalloonText"/>
    <w:uiPriority w:val="99"/>
    <w:semiHidden/>
    <w:rsid w:val="00A05B27"/>
    <w:rPr>
      <w:rFonts w:asciiTheme="minorHAnsi" w:eastAsiaTheme="minorEastAsia" w:hAnsiTheme="minorHAnsi"/>
      <w:sz w:val="18"/>
      <w:szCs w:val="18"/>
    </w:rPr>
  </w:style>
  <w:style w:type="character" w:styleId="Hyperlink">
    <w:name w:val="Hyperlink"/>
    <w:basedOn w:val="DefaultParagraphFont"/>
    <w:uiPriority w:val="99"/>
    <w:unhideWhenUsed/>
    <w:rsid w:val="00C35A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9479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350</TotalTime>
  <Pages>4</Pages>
  <Words>901</Words>
  <Characters>5137</Characters>
  <Application>Microsoft Office Word</Application>
  <DocSecurity>0</DocSecurity>
  <Lines>42</Lines>
  <Paragraphs>12</Paragraphs>
  <ScaleCrop>false</ScaleCrop>
  <Company/>
  <LinksUpToDate>false</LinksUpToDate>
  <CharactersWithSpaces>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Amruta Dange</cp:lastModifiedBy>
  <cp:revision>33</cp:revision>
  <dcterms:created xsi:type="dcterms:W3CDTF">2021-01-29T07:10:00Z</dcterms:created>
  <dcterms:modified xsi:type="dcterms:W3CDTF">2021-02-20T11:29:00Z</dcterms:modified>
</cp:coreProperties>
</file>