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2AF598" w14:textId="77777777" w:rsidR="00515778" w:rsidRDefault="00515778" w:rsidP="00515778">
      <w:pPr>
        <w:spacing w:before="60" w:after="60" w:line="360" w:lineRule="auto"/>
        <w:jc w:val="center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5CB656D5" wp14:editId="5A2E0E9B">
            <wp:extent cx="5274310" cy="45161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C88BC" w14:textId="77777777" w:rsidR="00515778" w:rsidRPr="00556F52" w:rsidRDefault="00515778" w:rsidP="00515778">
      <w:pPr>
        <w:spacing w:before="60" w:after="60" w:line="360" w:lineRule="auto"/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szCs w:val="21"/>
        </w:rPr>
        <w:t>S</w:t>
      </w:r>
      <w:r>
        <w:rPr>
          <w:rFonts w:ascii="Times New Roman" w:eastAsia="等线" w:hAnsi="Times New Roman" w:cs="Times New Roman"/>
          <w:b/>
          <w:bCs/>
          <w:szCs w:val="21"/>
        </w:rPr>
        <w:t>upplementary Fig.3</w:t>
      </w:r>
      <w:r>
        <w:rPr>
          <w:rFonts w:ascii="Times New Roman" w:eastAsia="等线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</w:t>
      </w:r>
      <w:r w:rsidRPr="00786D8D">
        <w:rPr>
          <w:rFonts w:ascii="Times New Roman" w:hAnsi="Times New Roman" w:cs="Times New Roman"/>
          <w:szCs w:val="21"/>
        </w:rPr>
        <w:t xml:space="preserve">NT157 decreased AFP secretion of HCC cells, measured by ELISA. </w:t>
      </w:r>
      <w:r>
        <w:rPr>
          <w:rFonts w:ascii="Times New Roman" w:hAnsi="Times New Roman" w:cs="Times New Roman" w:hint="eastAsia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RNA-</w:t>
      </w:r>
      <w:r>
        <w:rPr>
          <w:rFonts w:ascii="Times New Roman" w:hAnsi="Times New Roman" w:cs="Times New Roman" w:hint="eastAsia"/>
          <w:szCs w:val="21"/>
        </w:rPr>
        <w:t>seq</w:t>
      </w:r>
      <w:r>
        <w:rPr>
          <w:rFonts w:ascii="Times New Roman" w:hAnsi="Times New Roman" w:cs="Times New Roman"/>
          <w:szCs w:val="21"/>
        </w:rPr>
        <w:t xml:space="preserve"> and </w:t>
      </w:r>
      <w:proofErr w:type="spellStart"/>
      <w:r>
        <w:rPr>
          <w:rFonts w:ascii="Times New Roman" w:hAnsi="Times New Roman" w:cs="Times New Roman" w:hint="eastAsia"/>
          <w:szCs w:val="21"/>
        </w:rPr>
        <w:t>q</w:t>
      </w:r>
      <w:r>
        <w:rPr>
          <w:rFonts w:ascii="Times New Roman" w:hAnsi="Times New Roman" w:cs="Times New Roman"/>
          <w:szCs w:val="21"/>
        </w:rPr>
        <w:t>RT</w:t>
      </w:r>
      <w:proofErr w:type="spellEnd"/>
      <w:r>
        <w:rPr>
          <w:rFonts w:ascii="Times New Roman" w:hAnsi="Times New Roman" w:cs="Times New Roman"/>
          <w:szCs w:val="21"/>
        </w:rPr>
        <w:t xml:space="preserve">-PCR analysis of gene expression in the NT157 treatment group compared with the control group. Fold change = gene expression of NT157 group / gene expression of control group. </w:t>
      </w:r>
      <w:r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NT157 increased CCL20 and CXCL8 expression. HCC cells pretreated for 24 hours with or without NT157, as indicated, were submitted for flow cytometry analysis.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 Correlation analysis indicated that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CXCL8, CCL20, and AFP had negative correlation in HCC,</w:t>
      </w:r>
      <w:r>
        <w:t xml:space="preserve"> </w:t>
      </w:r>
      <w:r>
        <w:rPr>
          <w:rFonts w:ascii="Times New Roman" w:hAnsi="Times New Roman" w:cs="Times New Roman"/>
          <w:szCs w:val="21"/>
        </w:rPr>
        <w:t>respectively.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Data are expressed as mean ± SD. Experiments were performed in triplicate and repeated three times. </w:t>
      </w:r>
      <w:bookmarkStart w:id="0" w:name="OLE_LINK42"/>
      <w:r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&lt; 0.05, **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&lt; 0.01 and ***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&lt; 0.001.</w:t>
      </w:r>
      <w:bookmarkEnd w:id="0"/>
    </w:p>
    <w:p w14:paraId="18C8492F" w14:textId="77777777" w:rsidR="00966078" w:rsidRDefault="00966078"/>
    <w:sectPr w:rsidR="00966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778"/>
    <w:rsid w:val="00515778"/>
    <w:rsid w:val="0096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647D4"/>
  <w15:chartTrackingRefBased/>
  <w15:docId w15:val="{CCBFC9E9-670E-4F84-9086-17F26050A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1</cp:revision>
  <dcterms:created xsi:type="dcterms:W3CDTF">2021-02-06T05:42:00Z</dcterms:created>
  <dcterms:modified xsi:type="dcterms:W3CDTF">2021-02-06T05:43:00Z</dcterms:modified>
</cp:coreProperties>
</file>