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13EAA" w14:textId="454EDC33" w:rsidR="00DA010A" w:rsidRPr="00DA010A" w:rsidRDefault="00DA010A" w:rsidP="00DA010A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A010A">
        <w:rPr>
          <w:rFonts w:ascii="Times New Roman" w:hAnsi="Times New Roman" w:cs="Times New Roman" w:hint="eastAsia"/>
          <w:b/>
          <w:bCs/>
          <w:color w:val="000000" w:themeColor="text1"/>
        </w:rPr>
        <w:t>Supplementary</w:t>
      </w:r>
      <w:r w:rsidRPr="00DA010A">
        <w:rPr>
          <w:rFonts w:ascii="Times New Roman" w:hAnsi="Times New Roman" w:cs="Times New Roman"/>
          <w:b/>
          <w:bCs/>
          <w:color w:val="000000" w:themeColor="text1"/>
        </w:rPr>
        <w:t xml:space="preserve"> Figure legends</w:t>
      </w:r>
    </w:p>
    <w:p w14:paraId="47FDDC98" w14:textId="77777777" w:rsidR="00DA010A" w:rsidRPr="00D76F28" w:rsidRDefault="00DA010A" w:rsidP="00DA010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D76F28">
        <w:rPr>
          <w:rFonts w:ascii="Times New Roman" w:hAnsi="Times New Roman" w:cs="Times New Roman"/>
          <w:color w:val="000000" w:themeColor="text1"/>
        </w:rPr>
        <w:t>Supplementary Table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76F28">
        <w:rPr>
          <w:rFonts w:ascii="Times New Roman" w:hAnsi="Times New Roman" w:cs="Times New Roman"/>
          <w:color w:val="000000" w:themeColor="text1"/>
        </w:rPr>
        <w:t>1</w:t>
      </w:r>
    </w:p>
    <w:p w14:paraId="71048F14" w14:textId="77777777" w:rsidR="00DA010A" w:rsidRPr="00D76F28" w:rsidRDefault="00DA010A" w:rsidP="00DA010A">
      <w:pPr>
        <w:spacing w:line="480" w:lineRule="auto"/>
        <w:jc w:val="both"/>
        <w:rPr>
          <w:rFonts w:ascii="Times New Roman" w:hAnsi="Times New Roman" w:cs="Times New Roman"/>
        </w:rPr>
      </w:pPr>
      <w:r w:rsidRPr="00D76F28"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>The correlation between gut</w:t>
      </w:r>
      <w:r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 xml:space="preserve"> </w:t>
      </w:r>
      <w:r w:rsidRPr="00D76F28"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>microbiome</w:t>
      </w:r>
      <w:r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>–</w:t>
      </w:r>
      <w:r w:rsidRPr="00D76F28"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>alter</w:t>
      </w:r>
      <w:r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>ing</w:t>
      </w:r>
      <w:r w:rsidRPr="00D76F28"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 xml:space="preserve"> drugs and several known prognostic factors </w:t>
      </w:r>
      <w:r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>in</w:t>
      </w:r>
      <w:r w:rsidRPr="00D76F28"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 xml:space="preserve"> </w:t>
      </w:r>
      <w:r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 xml:space="preserve">the treatment of </w:t>
      </w:r>
      <w:r w:rsidRPr="00D76F28">
        <w:rPr>
          <w:rFonts w:ascii="Times New Roman" w:hAnsi="Times New Roman" w:cs="Times New Roman"/>
          <w:color w:val="000000" w:themeColor="text1"/>
        </w:rPr>
        <w:t>metastatic urothelial carcinoma</w:t>
      </w:r>
      <w:r w:rsidRPr="00D76F28"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 xml:space="preserve"> with </w:t>
      </w:r>
      <w:r w:rsidRPr="00D76F28">
        <w:rPr>
          <w:rFonts w:ascii="Times New Roman" w:hAnsi="Times New Roman" w:cs="Times New Roman"/>
          <w:color w:val="000000" w:themeColor="text1"/>
        </w:rPr>
        <w:t>pembrolizumab</w:t>
      </w:r>
      <w:r w:rsidRPr="00D76F28"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>.</w:t>
      </w:r>
      <w:r w:rsidRPr="00D76F28">
        <w:rPr>
          <w:rFonts w:ascii="Times New Roman" w:hAnsi="Times New Roman" w:cs="Times New Roman"/>
        </w:rPr>
        <w:t xml:space="preserve"> </w:t>
      </w:r>
      <w:r w:rsidRPr="00C32CCC">
        <w:rPr>
          <w:rFonts w:ascii="Times New Roman" w:hAnsi="Times New Roman"/>
          <w:i/>
        </w:rPr>
        <w:t>P</w:t>
      </w:r>
      <w:r w:rsidRPr="00D76F28">
        <w:rPr>
          <w:rFonts w:ascii="Times New Roman" w:hAnsi="Times New Roman" w:cs="Times New Roman"/>
        </w:rPr>
        <w:t xml:space="preserve">-values were </w:t>
      </w:r>
      <w:r>
        <w:rPr>
          <w:rFonts w:ascii="Times New Roman" w:hAnsi="Times New Roman" w:cs="Times New Roman"/>
        </w:rPr>
        <w:t>evaluated using</w:t>
      </w:r>
      <w:r w:rsidRPr="00D76F28">
        <w:rPr>
          <w:rFonts w:ascii="Times New Roman" w:hAnsi="Times New Roman" w:cs="Times New Roman"/>
        </w:rPr>
        <w:t xml:space="preserve"> Fisher's exact test or </w:t>
      </w:r>
      <w:r>
        <w:rPr>
          <w:rFonts w:ascii="Times New Roman" w:hAnsi="Times New Roman" w:cs="Times New Roman"/>
        </w:rPr>
        <w:t xml:space="preserve">a </w:t>
      </w:r>
      <w:r w:rsidRPr="00D76F28">
        <w:rPr>
          <w:rFonts w:ascii="Times New Roman" w:hAnsi="Times New Roman" w:cs="Times New Roman"/>
        </w:rPr>
        <w:t>Mann</w:t>
      </w:r>
      <w:r>
        <w:rPr>
          <w:rFonts w:ascii="Times New Roman" w:hAnsi="Times New Roman" w:cs="Times New Roman"/>
        </w:rPr>
        <w:t>–</w:t>
      </w:r>
      <w:r w:rsidRPr="00D76F28">
        <w:rPr>
          <w:rFonts w:ascii="Times New Roman" w:hAnsi="Times New Roman" w:cs="Times New Roman"/>
        </w:rPr>
        <w:t xml:space="preserve">Whitney </w:t>
      </w:r>
      <w:r w:rsidRPr="00C32CCC">
        <w:rPr>
          <w:rFonts w:ascii="Times New Roman" w:hAnsi="Times New Roman"/>
          <w:i/>
        </w:rPr>
        <w:t>U</w:t>
      </w:r>
      <w:r w:rsidRPr="00D76F28">
        <w:rPr>
          <w:rFonts w:ascii="Times New Roman" w:hAnsi="Times New Roman" w:cs="Times New Roman"/>
        </w:rPr>
        <w:t xml:space="preserve"> test. </w:t>
      </w:r>
    </w:p>
    <w:p w14:paraId="56F1E6A1" w14:textId="77777777" w:rsidR="00DA010A" w:rsidRPr="00D76F28" w:rsidRDefault="00DA010A" w:rsidP="00DA010A">
      <w:pPr>
        <w:spacing w:line="480" w:lineRule="auto"/>
        <w:jc w:val="both"/>
        <w:rPr>
          <w:rFonts w:ascii="Times New Roman" w:hAnsi="Times New Roman" w:cs="Times New Roman"/>
        </w:rPr>
      </w:pPr>
      <w:r w:rsidRPr="00D76F28">
        <w:rPr>
          <w:rFonts w:ascii="Times New Roman" w:hAnsi="Times New Roman" w:cs="Times New Roman"/>
        </w:rPr>
        <w:t>ECOG</w:t>
      </w:r>
      <w:r>
        <w:rPr>
          <w:rFonts w:ascii="Times New Roman" w:hAnsi="Times New Roman" w:cs="Times New Roman"/>
        </w:rPr>
        <w:t>-</w:t>
      </w:r>
      <w:r w:rsidRPr="00D76F28">
        <w:rPr>
          <w:rFonts w:ascii="Times New Roman" w:hAnsi="Times New Roman" w:cs="Times New Roman"/>
        </w:rPr>
        <w:t>PS</w:t>
      </w:r>
      <w:r>
        <w:rPr>
          <w:rFonts w:ascii="Times New Roman" w:hAnsi="Times New Roman" w:cs="Times New Roman"/>
        </w:rPr>
        <w:t>,</w:t>
      </w:r>
      <w:r w:rsidRPr="00D76F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</w:t>
      </w:r>
      <w:r w:rsidRPr="00D76F28">
        <w:rPr>
          <w:rFonts w:ascii="Times New Roman" w:hAnsi="Times New Roman" w:cs="Times New Roman"/>
        </w:rPr>
        <w:t xml:space="preserve">astern </w:t>
      </w:r>
      <w:r>
        <w:rPr>
          <w:rFonts w:ascii="Times New Roman" w:hAnsi="Times New Roman" w:cs="Times New Roman"/>
        </w:rPr>
        <w:t>C</w:t>
      </w:r>
      <w:r w:rsidRPr="00D76F28">
        <w:rPr>
          <w:rFonts w:ascii="Times New Roman" w:hAnsi="Times New Roman" w:cs="Times New Roman"/>
        </w:rPr>
        <w:t xml:space="preserve">ooperative </w:t>
      </w:r>
      <w:r>
        <w:rPr>
          <w:rFonts w:ascii="Times New Roman" w:hAnsi="Times New Roman" w:cs="Times New Roman"/>
        </w:rPr>
        <w:t>O</w:t>
      </w:r>
      <w:r w:rsidRPr="00D76F28">
        <w:rPr>
          <w:rFonts w:ascii="Times New Roman" w:hAnsi="Times New Roman" w:cs="Times New Roman"/>
        </w:rPr>
        <w:t xml:space="preserve">ncology </w:t>
      </w:r>
      <w:r>
        <w:rPr>
          <w:rFonts w:ascii="Times New Roman" w:hAnsi="Times New Roman" w:cs="Times New Roman"/>
        </w:rPr>
        <w:t>G</w:t>
      </w:r>
      <w:r w:rsidRPr="00D76F28">
        <w:rPr>
          <w:rFonts w:ascii="Times New Roman" w:hAnsi="Times New Roman" w:cs="Times New Roman"/>
        </w:rPr>
        <w:t xml:space="preserve">roup </w:t>
      </w:r>
      <w:r>
        <w:rPr>
          <w:rFonts w:ascii="Times New Roman" w:hAnsi="Times New Roman" w:cs="Times New Roman"/>
        </w:rPr>
        <w:t>P</w:t>
      </w:r>
      <w:r w:rsidRPr="00D76F28">
        <w:rPr>
          <w:rFonts w:ascii="Times New Roman" w:hAnsi="Times New Roman" w:cs="Times New Roman"/>
        </w:rPr>
        <w:t xml:space="preserve">erformance </w:t>
      </w:r>
      <w:r>
        <w:rPr>
          <w:rFonts w:ascii="Times New Roman" w:hAnsi="Times New Roman" w:cs="Times New Roman"/>
        </w:rPr>
        <w:t>S</w:t>
      </w:r>
      <w:r w:rsidRPr="00D76F28">
        <w:rPr>
          <w:rFonts w:ascii="Times New Roman" w:hAnsi="Times New Roman" w:cs="Times New Roman"/>
        </w:rPr>
        <w:t>tatus</w:t>
      </w:r>
      <w:r>
        <w:rPr>
          <w:rFonts w:ascii="Times New Roman" w:hAnsi="Times New Roman" w:cs="Times New Roman"/>
        </w:rPr>
        <w:t>;</w:t>
      </w:r>
      <w:r w:rsidRPr="00D76F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Hb, hemoglobin; ICI, </w:t>
      </w:r>
      <w:r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>i</w:t>
      </w:r>
      <w:r w:rsidRPr="00D76F28"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>mmune checkpoint inhibitors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</w:t>
      </w:r>
      <w:r w:rsidRPr="00D76F28">
        <w:rPr>
          <w:rFonts w:ascii="Times New Roman" w:hAnsi="Times New Roman" w:cs="Times New Roman"/>
        </w:rPr>
        <w:t>NLR</w:t>
      </w:r>
      <w:r>
        <w:rPr>
          <w:rFonts w:ascii="Times New Roman" w:hAnsi="Times New Roman" w:cs="Times New Roman"/>
        </w:rPr>
        <w:t>,</w:t>
      </w:r>
      <w:r w:rsidRPr="00D76F28">
        <w:rPr>
          <w:rFonts w:ascii="Times New Roman" w:hAnsi="Times New Roman" w:cs="Times New Roman"/>
        </w:rPr>
        <w:t xml:space="preserve"> neutrophil-to-lymphocyte ratio</w:t>
      </w:r>
      <w:r>
        <w:rPr>
          <w:rFonts w:ascii="Times New Roman" w:hAnsi="Times New Roman" w:cs="Times New Roman"/>
        </w:rPr>
        <w:t xml:space="preserve">; NSAIDs, </w:t>
      </w: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t>non-steroidal anti-inflammatory drugs</w:t>
      </w:r>
      <w:r>
        <w:rPr>
          <w:rFonts w:ascii="Times New Roman" w:hAnsi="Times New Roman" w:cs="Times New Roman"/>
        </w:rPr>
        <w:t>; PPI/P-CAB, proton pump inhibitors/</w:t>
      </w: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t>potassium-competitive acid blocker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s</w:t>
      </w:r>
      <w:r>
        <w:rPr>
          <w:rFonts w:ascii="Times New Roman" w:hAnsi="Times New Roman" w:cs="Times New Roman"/>
        </w:rPr>
        <w:t xml:space="preserve"> </w:t>
      </w:r>
    </w:p>
    <w:p w14:paraId="19298BC7" w14:textId="77777777" w:rsidR="00DA010A" w:rsidRPr="00D76F28" w:rsidRDefault="00DA010A" w:rsidP="00DA010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9E40A3C" w14:textId="77777777" w:rsidR="00DA010A" w:rsidRPr="00D76F28" w:rsidRDefault="00DA010A" w:rsidP="00DA010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D76F28">
        <w:rPr>
          <w:rFonts w:ascii="Times New Roman" w:hAnsi="Times New Roman" w:cs="Times New Roman"/>
          <w:color w:val="000000" w:themeColor="text1"/>
        </w:rPr>
        <w:t>Supplementary Table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76F28">
        <w:rPr>
          <w:rFonts w:ascii="Times New Roman" w:hAnsi="Times New Roman" w:cs="Times New Roman"/>
          <w:color w:val="000000" w:themeColor="text1"/>
        </w:rPr>
        <w:t>2</w:t>
      </w:r>
    </w:p>
    <w:p w14:paraId="6C69A1CC" w14:textId="77777777" w:rsidR="00DA010A" w:rsidRPr="00D76F28" w:rsidRDefault="00DA010A" w:rsidP="00DA010A">
      <w:pPr>
        <w:spacing w:line="480" w:lineRule="auto"/>
        <w:jc w:val="both"/>
        <w:rPr>
          <w:rFonts w:ascii="Times New Roman" w:hAnsi="Times New Roman" w:cs="Times New Roman"/>
        </w:rPr>
      </w:pP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Patients’ backgrounds between </w:t>
      </w:r>
      <w:r w:rsidRPr="00D76F28">
        <w:rPr>
          <w:rFonts w:ascii="Times New Roman" w:hAnsi="Times New Roman" w:cs="Times New Roman"/>
        </w:rPr>
        <w:t>proton pump inhibitors (PPI)/</w:t>
      </w: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t>potassium-competitive acid blocker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s</w:t>
      </w: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(P-CAB)</w:t>
      </w:r>
      <w:r w:rsidRPr="00D76F28">
        <w:rPr>
          <w:rFonts w:ascii="Times New Roman" w:hAnsi="Times New Roman" w:cs="Times New Roman"/>
        </w:rPr>
        <w:t xml:space="preserve"> user</w:t>
      </w:r>
      <w:r>
        <w:rPr>
          <w:rFonts w:ascii="Times New Roman" w:hAnsi="Times New Roman" w:cs="Times New Roman"/>
        </w:rPr>
        <w:t>s</w:t>
      </w:r>
      <w:r w:rsidRPr="00D76F28">
        <w:rPr>
          <w:rFonts w:ascii="Times New Roman" w:hAnsi="Times New Roman" w:cs="Times New Roman"/>
        </w:rPr>
        <w:t xml:space="preserve"> and non-PPI/P-CAB user</w:t>
      </w:r>
      <w:r>
        <w:rPr>
          <w:rFonts w:ascii="Times New Roman" w:hAnsi="Times New Roman" w:cs="Times New Roman"/>
        </w:rPr>
        <w:t>s</w:t>
      </w:r>
      <w:r w:rsidRPr="00D76F28">
        <w:rPr>
          <w:rFonts w:ascii="Times New Roman" w:hAnsi="Times New Roman" w:cs="Times New Roman"/>
        </w:rPr>
        <w:t xml:space="preserve"> after 1:1 </w:t>
      </w:r>
      <w:r w:rsidRPr="00D76F28">
        <w:rPr>
          <w:rFonts w:ascii="Times New Roman" w:hAnsi="Times New Roman" w:cs="Times New Roman"/>
          <w:color w:val="000000" w:themeColor="text1"/>
        </w:rPr>
        <w:t>propensity score matching.</w:t>
      </w:r>
    </w:p>
    <w:p w14:paraId="2B70EE92" w14:textId="77777777" w:rsidR="00DA010A" w:rsidRPr="00D76F28" w:rsidRDefault="00DA010A" w:rsidP="00DA010A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ECOG-PS, </w:t>
      </w:r>
      <w:r>
        <w:rPr>
          <w:rFonts w:ascii="Times New Roman" w:hAnsi="Times New Roman" w:cs="Times New Roman"/>
        </w:rPr>
        <w:t>E</w:t>
      </w:r>
      <w:r w:rsidRPr="00D76F28">
        <w:rPr>
          <w:rFonts w:ascii="Times New Roman" w:hAnsi="Times New Roman" w:cs="Times New Roman"/>
        </w:rPr>
        <w:t xml:space="preserve">astern </w:t>
      </w:r>
      <w:r>
        <w:rPr>
          <w:rFonts w:ascii="Times New Roman" w:hAnsi="Times New Roman" w:cs="Times New Roman"/>
        </w:rPr>
        <w:t>C</w:t>
      </w:r>
      <w:r w:rsidRPr="00D76F28">
        <w:rPr>
          <w:rFonts w:ascii="Times New Roman" w:hAnsi="Times New Roman" w:cs="Times New Roman"/>
        </w:rPr>
        <w:t xml:space="preserve">ooperative </w:t>
      </w:r>
      <w:r>
        <w:rPr>
          <w:rFonts w:ascii="Times New Roman" w:hAnsi="Times New Roman" w:cs="Times New Roman"/>
        </w:rPr>
        <w:t>O</w:t>
      </w:r>
      <w:r w:rsidRPr="00D76F28">
        <w:rPr>
          <w:rFonts w:ascii="Times New Roman" w:hAnsi="Times New Roman" w:cs="Times New Roman"/>
        </w:rPr>
        <w:t xml:space="preserve">ncology </w:t>
      </w:r>
      <w:r>
        <w:rPr>
          <w:rFonts w:ascii="Times New Roman" w:hAnsi="Times New Roman" w:cs="Times New Roman"/>
        </w:rPr>
        <w:t>G</w:t>
      </w:r>
      <w:r w:rsidRPr="00D76F28">
        <w:rPr>
          <w:rFonts w:ascii="Times New Roman" w:hAnsi="Times New Roman" w:cs="Times New Roman"/>
        </w:rPr>
        <w:t xml:space="preserve">roup </w:t>
      </w:r>
      <w:r>
        <w:rPr>
          <w:rFonts w:ascii="Times New Roman" w:hAnsi="Times New Roman" w:cs="Times New Roman"/>
        </w:rPr>
        <w:t>P</w:t>
      </w:r>
      <w:r w:rsidRPr="00D76F28">
        <w:rPr>
          <w:rFonts w:ascii="Times New Roman" w:hAnsi="Times New Roman" w:cs="Times New Roman"/>
        </w:rPr>
        <w:t xml:space="preserve">erformance </w:t>
      </w:r>
      <w:r>
        <w:rPr>
          <w:rFonts w:ascii="Times New Roman" w:hAnsi="Times New Roman" w:cs="Times New Roman"/>
        </w:rPr>
        <w:t>S</w:t>
      </w:r>
      <w:r w:rsidRPr="00D76F28">
        <w:rPr>
          <w:rFonts w:ascii="Times New Roman" w:hAnsi="Times New Roman" w:cs="Times New Roman"/>
        </w:rPr>
        <w:t>tatus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NLR, </w:t>
      </w:r>
      <w:r w:rsidRPr="00D76F28">
        <w:rPr>
          <w:rFonts w:ascii="Times New Roman" w:hAnsi="Times New Roman" w:cs="Times New Roman"/>
        </w:rPr>
        <w:t>neutrophil-to-lymphocyte ratio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NSAIDs, </w:t>
      </w: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t>non-steroidal anti-inflammatory drugs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PPI/P-CAB, </w:t>
      </w:r>
      <w:r>
        <w:rPr>
          <w:rFonts w:ascii="Times New Roman" w:hAnsi="Times New Roman" w:cs="Times New Roman"/>
        </w:rPr>
        <w:t>proton pump inhibitor/</w:t>
      </w: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t>potassium-competitive acid blocker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s</w:t>
      </w:r>
    </w:p>
    <w:p w14:paraId="267D1A67" w14:textId="77777777" w:rsidR="00DA010A" w:rsidRPr="00D76F28" w:rsidRDefault="00DA010A" w:rsidP="00DA010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86AA036" w14:textId="77777777" w:rsidR="00DA010A" w:rsidRPr="00D76F28" w:rsidRDefault="00DA010A" w:rsidP="00DA010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D76F28">
        <w:rPr>
          <w:rFonts w:ascii="Times New Roman" w:hAnsi="Times New Roman" w:cs="Times New Roman"/>
          <w:color w:val="000000" w:themeColor="text1"/>
        </w:rPr>
        <w:t>Supplementary Table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76F28">
        <w:rPr>
          <w:rFonts w:ascii="Times New Roman" w:hAnsi="Times New Roman" w:cs="Times New Roman"/>
          <w:color w:val="000000" w:themeColor="text1"/>
        </w:rPr>
        <w:t>3</w:t>
      </w:r>
    </w:p>
    <w:p w14:paraId="1D90F356" w14:textId="77777777" w:rsidR="00DA010A" w:rsidRPr="00D76F28" w:rsidRDefault="00DA010A" w:rsidP="00DA010A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Sub-analysis of the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effect</w:t>
      </w: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of antibiotic us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e</w:t>
      </w: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for a long period </w:t>
      </w: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(more than 8 days) on predicting disease progression and death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in </w:t>
      </w:r>
      <w:r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>patients with</w:t>
      </w:r>
      <w:r w:rsidRPr="00D76F28"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 xml:space="preserve"> </w:t>
      </w:r>
      <w:r w:rsidRPr="00D76F28">
        <w:rPr>
          <w:rFonts w:ascii="Times New Roman" w:hAnsi="Times New Roman" w:cs="Times New Roman"/>
          <w:color w:val="000000" w:themeColor="text1"/>
        </w:rPr>
        <w:t>metastatic urothelial carcinoma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and</w:t>
      </w: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D76F28"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>pembrolizumab as second</w:t>
      </w:r>
      <w:r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>-</w:t>
      </w:r>
      <w:r w:rsidRPr="00D76F28"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>line treatment</w:t>
      </w:r>
      <w:r w:rsidRPr="00D76F28">
        <w:rPr>
          <w:rFonts w:ascii="Times New Roman" w:hAnsi="Times New Roman" w:cs="Times New Roman"/>
          <w:color w:val="000000" w:themeColor="text1"/>
        </w:rPr>
        <w:t xml:space="preserve">. </w:t>
      </w:r>
    </w:p>
    <w:p w14:paraId="5CD3FB2A" w14:textId="77777777" w:rsidR="00DA010A" w:rsidRPr="00D76F28" w:rsidRDefault="00DA010A" w:rsidP="00DA010A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Alb, albumin; CI, confidence interval; ECOG-PS, </w:t>
      </w:r>
      <w:r>
        <w:rPr>
          <w:rFonts w:ascii="Times New Roman" w:hAnsi="Times New Roman" w:cs="Times New Roman"/>
        </w:rPr>
        <w:t>E</w:t>
      </w:r>
      <w:r w:rsidRPr="00D76F28">
        <w:rPr>
          <w:rFonts w:ascii="Times New Roman" w:hAnsi="Times New Roman" w:cs="Times New Roman"/>
        </w:rPr>
        <w:t xml:space="preserve">astern </w:t>
      </w:r>
      <w:r>
        <w:rPr>
          <w:rFonts w:ascii="Times New Roman" w:hAnsi="Times New Roman" w:cs="Times New Roman"/>
        </w:rPr>
        <w:t>C</w:t>
      </w:r>
      <w:r w:rsidRPr="00D76F28">
        <w:rPr>
          <w:rFonts w:ascii="Times New Roman" w:hAnsi="Times New Roman" w:cs="Times New Roman"/>
        </w:rPr>
        <w:t xml:space="preserve">ooperative </w:t>
      </w:r>
      <w:r>
        <w:rPr>
          <w:rFonts w:ascii="Times New Roman" w:hAnsi="Times New Roman" w:cs="Times New Roman"/>
        </w:rPr>
        <w:t>O</w:t>
      </w:r>
      <w:r w:rsidRPr="00D76F28">
        <w:rPr>
          <w:rFonts w:ascii="Times New Roman" w:hAnsi="Times New Roman" w:cs="Times New Roman"/>
        </w:rPr>
        <w:t xml:space="preserve">ncology </w:t>
      </w:r>
      <w:r>
        <w:rPr>
          <w:rFonts w:ascii="Times New Roman" w:hAnsi="Times New Roman" w:cs="Times New Roman"/>
        </w:rPr>
        <w:t>G</w:t>
      </w:r>
      <w:r w:rsidRPr="00D76F28">
        <w:rPr>
          <w:rFonts w:ascii="Times New Roman" w:hAnsi="Times New Roman" w:cs="Times New Roman"/>
        </w:rPr>
        <w:t xml:space="preserve">roup </w:t>
      </w:r>
      <w:r>
        <w:rPr>
          <w:rFonts w:ascii="Times New Roman" w:hAnsi="Times New Roman" w:cs="Times New Roman"/>
        </w:rPr>
        <w:t>P</w:t>
      </w:r>
      <w:r w:rsidRPr="00D76F28">
        <w:rPr>
          <w:rFonts w:ascii="Times New Roman" w:hAnsi="Times New Roman" w:cs="Times New Roman"/>
        </w:rPr>
        <w:t xml:space="preserve">erformance </w:t>
      </w:r>
      <w:r>
        <w:rPr>
          <w:rFonts w:ascii="Times New Roman" w:hAnsi="Times New Roman" w:cs="Times New Roman"/>
        </w:rPr>
        <w:t>S</w:t>
      </w:r>
      <w:r w:rsidRPr="00D76F28">
        <w:rPr>
          <w:rFonts w:ascii="Times New Roman" w:hAnsi="Times New Roman" w:cs="Times New Roman"/>
        </w:rPr>
        <w:t>tatus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Hb, hemoglobin; HR, hazard ratio; ICI, </w:t>
      </w:r>
      <w:r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>i</w:t>
      </w:r>
      <w:r w:rsidRPr="00D76F28">
        <w:rPr>
          <w:rFonts w:ascii="Times New Roman" w:eastAsia="ＭＳ ゴシック" w:hAnsi="Times New Roman" w:cs="Times New Roman"/>
          <w:color w:val="000000" w:themeColor="text1"/>
          <w:shd w:val="clear" w:color="auto" w:fill="FFFFFF"/>
        </w:rPr>
        <w:t>mmune checkpoint inhibitors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NLR, </w:t>
      </w:r>
      <w:r w:rsidRPr="00D76F28">
        <w:rPr>
          <w:rFonts w:ascii="Times New Roman" w:hAnsi="Times New Roman" w:cs="Times New Roman"/>
        </w:rPr>
        <w:t>neutrophil-to-lymphocyte ratio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NSAIDs, </w:t>
      </w: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t>non-steroidal anti-inflammatory drugs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PPI/P-CAB, </w:t>
      </w:r>
      <w:r>
        <w:rPr>
          <w:rFonts w:ascii="Times New Roman" w:hAnsi="Times New Roman" w:cs="Times New Roman"/>
        </w:rPr>
        <w:t>proton pump inhibitor/</w:t>
      </w: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t>potassium-competitive acid blocker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; UTUC, upper urinary tract urothelial carcinoma</w:t>
      </w:r>
    </w:p>
    <w:p w14:paraId="4B575AB1" w14:textId="77777777" w:rsidR="00DA010A" w:rsidRPr="00BB6CB2" w:rsidRDefault="00DA010A" w:rsidP="00DA010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13F095F" w14:textId="77777777" w:rsidR="00DA010A" w:rsidRPr="00D76F28" w:rsidRDefault="00DA010A" w:rsidP="00DA010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D76F28">
        <w:rPr>
          <w:rFonts w:ascii="Times New Roman" w:hAnsi="Times New Roman" w:cs="Times New Roman"/>
          <w:color w:val="000000" w:themeColor="text1"/>
        </w:rPr>
        <w:t xml:space="preserve">Supplementary </w:t>
      </w:r>
      <w:r>
        <w:rPr>
          <w:rFonts w:ascii="Times New Roman" w:hAnsi="Times New Roman" w:cs="Times New Roman"/>
          <w:color w:val="000000" w:themeColor="text1"/>
        </w:rPr>
        <w:t>F</w:t>
      </w:r>
      <w:r w:rsidRPr="00D76F28">
        <w:rPr>
          <w:rFonts w:ascii="Times New Roman" w:hAnsi="Times New Roman" w:cs="Times New Roman"/>
          <w:color w:val="000000" w:themeColor="text1"/>
        </w:rPr>
        <w:t>igure</w:t>
      </w:r>
    </w:p>
    <w:p w14:paraId="1A576FE2" w14:textId="77777777" w:rsidR="00DA010A" w:rsidRPr="00D76F28" w:rsidRDefault="00DA010A" w:rsidP="00DA010A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D76F28">
        <w:rPr>
          <w:rFonts w:ascii="Times New Roman" w:hAnsi="Times New Roman" w:cs="Times New Roman"/>
          <w:color w:val="000000" w:themeColor="text1"/>
        </w:rPr>
        <w:t>Kaplan</w:t>
      </w:r>
      <w:r>
        <w:rPr>
          <w:rFonts w:ascii="Times New Roman" w:hAnsi="Times New Roman" w:cs="Times New Roman"/>
          <w:color w:val="000000" w:themeColor="text1"/>
        </w:rPr>
        <w:t>–</w:t>
      </w:r>
      <w:r w:rsidRPr="00D76F28">
        <w:rPr>
          <w:rFonts w:ascii="Times New Roman" w:hAnsi="Times New Roman" w:cs="Times New Roman"/>
          <w:color w:val="000000" w:themeColor="text1"/>
        </w:rPr>
        <w:t xml:space="preserve">Meier curves for patients treated with pembrolizumab </w:t>
      </w:r>
      <w:r>
        <w:rPr>
          <w:rFonts w:ascii="Times New Roman" w:hAnsi="Times New Roman" w:cs="Times New Roman"/>
          <w:color w:val="000000" w:themeColor="text1"/>
        </w:rPr>
        <w:t>and</w:t>
      </w:r>
      <w:r w:rsidRPr="00D76F28">
        <w:rPr>
          <w:rFonts w:ascii="Times New Roman" w:hAnsi="Times New Roman" w:cs="Times New Roman"/>
          <w:color w:val="000000" w:themeColor="text1"/>
        </w:rPr>
        <w:t xml:space="preserve"> </w:t>
      </w:r>
      <w:r w:rsidRPr="00D76F28">
        <w:rPr>
          <w:rFonts w:ascii="Times New Roman" w:hAnsi="Times New Roman" w:cs="Times New Roman"/>
        </w:rPr>
        <w:t>proton pump inhibitors</w:t>
      </w:r>
      <w:r w:rsidRPr="00D76F28">
        <w:rPr>
          <w:rFonts w:ascii="Times New Roman" w:hAnsi="Times New Roman" w:cs="Times New Roman"/>
          <w:color w:val="000000" w:themeColor="text1"/>
        </w:rPr>
        <w:t xml:space="preserve"> (PPI) </w:t>
      </w:r>
      <w:r>
        <w:rPr>
          <w:rFonts w:ascii="Times New Roman" w:hAnsi="Times New Roman" w:cs="Times New Roman"/>
          <w:color w:val="000000" w:themeColor="text1"/>
        </w:rPr>
        <w:t xml:space="preserve">or </w:t>
      </w: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t>potassium-competitive acid blocker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s</w:t>
      </w:r>
      <w:r w:rsidRPr="00D76F2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</w:t>
      </w:r>
      <w:r w:rsidRPr="00D76F28">
        <w:rPr>
          <w:rFonts w:ascii="Times New Roman" w:hAnsi="Times New Roman" w:cs="Times New Roman"/>
          <w:color w:val="000000" w:themeColor="text1"/>
        </w:rPr>
        <w:t>P-CAB)</w:t>
      </w:r>
      <w:r>
        <w:rPr>
          <w:rFonts w:ascii="Times New Roman" w:hAnsi="Times New Roman" w:cs="Times New Roman"/>
          <w:color w:val="000000" w:themeColor="text1"/>
        </w:rPr>
        <w:t>,</w:t>
      </w:r>
      <w:r w:rsidRPr="00D76F2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or</w:t>
      </w:r>
      <w:r w:rsidRPr="00D76F28">
        <w:rPr>
          <w:rFonts w:ascii="Times New Roman" w:hAnsi="Times New Roman" w:cs="Times New Roman"/>
          <w:color w:val="000000" w:themeColor="text1"/>
        </w:rPr>
        <w:t xml:space="preserve"> without the use of PPI or P-CAB after propensity score matching (1:1, 1:3, respectively). PPI and P-CAB user</w:t>
      </w:r>
      <w:r>
        <w:rPr>
          <w:rFonts w:ascii="Times New Roman" w:hAnsi="Times New Roman" w:cs="Times New Roman"/>
          <w:color w:val="000000" w:themeColor="text1"/>
        </w:rPr>
        <w:t>s</w:t>
      </w:r>
      <w:r w:rsidRPr="00D76F2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show </w:t>
      </w:r>
      <w:r w:rsidRPr="00D76F28">
        <w:rPr>
          <w:rFonts w:ascii="Times New Roman" w:hAnsi="Times New Roman" w:cs="Times New Roman"/>
          <w:color w:val="000000" w:themeColor="text1"/>
        </w:rPr>
        <w:t xml:space="preserve">progression-free survival </w:t>
      </w:r>
      <w:r>
        <w:rPr>
          <w:rFonts w:ascii="Times New Roman" w:hAnsi="Times New Roman" w:cs="Times New Roman"/>
          <w:color w:val="000000" w:themeColor="text1"/>
        </w:rPr>
        <w:t xml:space="preserve">that was significantly shorter </w:t>
      </w:r>
      <w:r w:rsidRPr="00D76F28">
        <w:rPr>
          <w:rFonts w:ascii="Times New Roman" w:hAnsi="Times New Roman" w:cs="Times New Roman"/>
          <w:color w:val="000000" w:themeColor="text1"/>
        </w:rPr>
        <w:t xml:space="preserve">than </w:t>
      </w:r>
      <w:r>
        <w:rPr>
          <w:rFonts w:ascii="Times New Roman" w:hAnsi="Times New Roman" w:cs="Times New Roman"/>
          <w:color w:val="000000" w:themeColor="text1"/>
        </w:rPr>
        <w:t xml:space="preserve">for </w:t>
      </w:r>
      <w:r w:rsidRPr="00D76F28">
        <w:rPr>
          <w:rFonts w:ascii="Times New Roman" w:hAnsi="Times New Roman" w:cs="Times New Roman"/>
          <w:color w:val="000000" w:themeColor="text1"/>
        </w:rPr>
        <w:t>non-user</w:t>
      </w:r>
      <w:r>
        <w:rPr>
          <w:rFonts w:ascii="Times New Roman" w:hAnsi="Times New Roman" w:cs="Times New Roman"/>
          <w:color w:val="000000" w:themeColor="text1"/>
        </w:rPr>
        <w:t>s</w:t>
      </w:r>
      <w:r w:rsidRPr="00D76F28">
        <w:rPr>
          <w:rFonts w:ascii="Times New Roman" w:hAnsi="Times New Roman" w:cs="Times New Roman"/>
          <w:color w:val="000000" w:themeColor="text1"/>
        </w:rPr>
        <w:t xml:space="preserve"> (</w:t>
      </w:r>
      <w:r w:rsidRPr="00C32CCC">
        <w:rPr>
          <w:rFonts w:ascii="Times New Roman" w:hAnsi="Times New Roman"/>
          <w:i/>
          <w:color w:val="000000" w:themeColor="text1"/>
        </w:rPr>
        <w:t>p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76F28">
        <w:rPr>
          <w:rFonts w:ascii="Times New Roman" w:hAnsi="Times New Roman" w:cs="Times New Roman"/>
          <w:color w:val="000000" w:themeColor="text1"/>
        </w:rPr>
        <w:t>=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76F28">
        <w:rPr>
          <w:rFonts w:ascii="Times New Roman" w:hAnsi="Times New Roman" w:cs="Times New Roman"/>
          <w:color w:val="000000" w:themeColor="text1"/>
        </w:rPr>
        <w:t xml:space="preserve">0.008 and </w:t>
      </w:r>
      <w:r w:rsidRPr="00C32CCC">
        <w:rPr>
          <w:rFonts w:ascii="Times New Roman" w:hAnsi="Times New Roman"/>
          <w:i/>
          <w:color w:val="000000" w:themeColor="text1"/>
        </w:rPr>
        <w:t>p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76F28">
        <w:rPr>
          <w:rFonts w:ascii="Times New Roman" w:hAnsi="Times New Roman" w:cs="Times New Roman"/>
          <w:color w:val="000000" w:themeColor="text1"/>
        </w:rPr>
        <w:t>=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76F28">
        <w:rPr>
          <w:rFonts w:ascii="Times New Roman" w:hAnsi="Times New Roman" w:cs="Times New Roman"/>
          <w:color w:val="000000" w:themeColor="text1"/>
        </w:rPr>
        <w:t>0.023, respectively).</w:t>
      </w:r>
    </w:p>
    <w:p w14:paraId="1261116B" w14:textId="77777777" w:rsidR="002C2FBB" w:rsidRPr="00DA010A" w:rsidRDefault="002C2FBB"/>
    <w:sectPr w:rsidR="002C2FBB" w:rsidRPr="00DA01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10A"/>
    <w:rsid w:val="002C2FBB"/>
    <w:rsid w:val="00DA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E089CB"/>
  <w15:chartTrackingRefBased/>
  <w15:docId w15:val="{AD882F1C-E1C2-4183-9AFA-1EAC9962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10A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Taku Naiki</dc:creator>
  <cp:keywords/>
  <dc:description/>
  <cp:lastModifiedBy>Taku Naiki</cp:lastModifiedBy>
  <cp:revision>1</cp:revision>
  <dcterms:created xsi:type="dcterms:W3CDTF">2022-10-18T02:52:00Z</dcterms:created>
  <dcterms:modified xsi:type="dcterms:W3CDTF">2022-10-18T02:52:00Z</dcterms:modified>
</cp:coreProperties>
</file>