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BFC120F" w14:textId="77777777" w:rsidR="00830038" w:rsidRDefault="000D62E4">
      <w:pPr>
        <w:pStyle w:val="Heading2"/>
        <w:spacing w:after="126"/>
        <w:ind w:left="-5"/>
        <w:rPr>
          <w:b/>
          <w:bCs/>
          <w:sz w:val="28"/>
          <w:szCs w:val="24"/>
          <w:lang w:val="en-US"/>
        </w:rPr>
      </w:pPr>
      <w:r>
        <w:rPr>
          <w:b/>
          <w:bCs/>
          <w:sz w:val="28"/>
          <w:szCs w:val="24"/>
          <w:lang w:val="en-US"/>
        </w:rPr>
        <w:t>Appendix</w:t>
      </w:r>
    </w:p>
    <w:p w14:paraId="304D9D4C" w14:textId="77777777" w:rsidR="00830038" w:rsidRDefault="000D62E4">
      <w:pPr>
        <w:spacing w:line="259" w:lineRule="auto"/>
        <w:ind w:left="-5" w:right="0"/>
        <w:rPr>
          <w:b/>
          <w:bCs/>
          <w:lang w:val="en-US"/>
        </w:rPr>
      </w:pPr>
      <w:r>
        <w:rPr>
          <w:rFonts w:ascii="Calibri" w:eastAsia="Calibri" w:hAnsi="Calibri" w:cs="Calibri"/>
          <w:b/>
          <w:bCs/>
          <w:sz w:val="14"/>
          <w:lang w:val="en-US"/>
        </w:rPr>
        <w:t>Funding</w:t>
      </w:r>
    </w:p>
    <w:p w14:paraId="2C9829E7" w14:textId="77777777" w:rsidR="00830038" w:rsidRDefault="000D62E4">
      <w:pPr>
        <w:spacing w:after="127" w:line="264" w:lineRule="auto"/>
        <w:ind w:left="15" w:right="0"/>
        <w:rPr>
          <w:lang w:val="en-US"/>
        </w:rPr>
      </w:pPr>
      <w:r>
        <w:rPr>
          <w:rFonts w:ascii="Calibri" w:eastAsia="Calibri" w:hAnsi="Calibri" w:cs="Calibri"/>
          <w:sz w:val="14"/>
          <w:lang w:val="en-US"/>
        </w:rPr>
        <w:t>This study was supported by the German Research Council (DFG Schi 476/19-1, and DFG KA 1116/22-1).</w:t>
      </w:r>
    </w:p>
    <w:p w14:paraId="648C4CB8" w14:textId="77777777" w:rsidR="00830038" w:rsidRDefault="000D62E4">
      <w:pPr>
        <w:spacing w:line="259" w:lineRule="auto"/>
        <w:ind w:left="-5" w:right="0"/>
        <w:rPr>
          <w:b/>
          <w:bCs/>
          <w:lang w:val="en-US"/>
        </w:rPr>
      </w:pPr>
      <w:r>
        <w:rPr>
          <w:rFonts w:ascii="Calibri" w:eastAsia="Calibri" w:hAnsi="Calibri" w:cs="Calibri"/>
          <w:b/>
          <w:bCs/>
          <w:sz w:val="14"/>
          <w:lang w:val="en-US"/>
        </w:rPr>
        <w:t>Abbreviations</w:t>
      </w:r>
    </w:p>
    <w:p w14:paraId="75682BD2" w14:textId="77777777" w:rsidR="00830038" w:rsidRDefault="000D62E4">
      <w:pPr>
        <w:spacing w:line="264" w:lineRule="auto"/>
        <w:ind w:left="15" w:right="0"/>
        <w:rPr>
          <w:lang w:val="en-US"/>
        </w:rPr>
      </w:pPr>
      <w:r>
        <w:rPr>
          <w:rFonts w:ascii="Calibri" w:eastAsia="Calibri" w:hAnsi="Calibri" w:cs="Calibri"/>
          <w:sz w:val="14"/>
          <w:lang w:val="en-US"/>
        </w:rPr>
        <w:t>ACADS: Acyl-CoA Dehydrogenase Short Chain, A</w:t>
      </w:r>
      <w:r>
        <w:rPr>
          <w:rFonts w:ascii="Calibri" w:eastAsia="Calibri" w:hAnsi="Calibri" w:cs="Calibri"/>
          <w:sz w:val="14"/>
          <w:lang w:val="en-US"/>
        </w:rPr>
        <w:t>POBEC3G: Apolipoprotein B MRNA Editing Enzyme Catalytic Subunit, AQP7: Aquaporin, CAV1: Caveolin, CHKA: Choline Kinase Alpha, CHKB: Choline Kinase Beta, CIDEA:</w:t>
      </w:r>
    </w:p>
    <w:p w14:paraId="38661698" w14:textId="77777777" w:rsidR="00830038" w:rsidRDefault="000D62E4">
      <w:pPr>
        <w:spacing w:line="264" w:lineRule="auto"/>
        <w:ind w:left="15" w:right="0"/>
        <w:rPr>
          <w:lang w:val="en-US"/>
        </w:rPr>
      </w:pPr>
      <w:r>
        <w:rPr>
          <w:rFonts w:ascii="Calibri" w:eastAsia="Calibri" w:hAnsi="Calibri" w:cs="Calibri"/>
          <w:sz w:val="14"/>
          <w:lang w:val="en-US"/>
        </w:rPr>
        <w:t xml:space="preserve">Cell Death Inducing DFFA Like Effector, CPA4, CXCR6, DGAT1, ELOVL1: Fatty Acid Elongase, FABP4: </w:t>
      </w:r>
      <w:r>
        <w:rPr>
          <w:rFonts w:ascii="Calibri" w:eastAsia="Calibri" w:hAnsi="Calibri" w:cs="Calibri"/>
          <w:sz w:val="14"/>
          <w:lang w:val="en-US"/>
        </w:rPr>
        <w:t>Fatty Acid Binding Protein, FITM1: Fat Storage Inducing Transmembrane Protein, FKBP5: Prolyl Isomerase, FOXO2:Forkhead Box, HSD: Hydroxysteroid, HSD17B1: Hydroxysteroid 17-Beta Dehydrogenase, LIPE: Lipase E, LPCAT:</w:t>
      </w:r>
    </w:p>
    <w:p w14:paraId="3F7D9013" w14:textId="77777777" w:rsidR="00830038" w:rsidRDefault="000D62E4">
      <w:pPr>
        <w:spacing w:line="264" w:lineRule="auto"/>
        <w:ind w:left="15" w:right="0"/>
        <w:rPr>
          <w:lang w:val="en-US"/>
        </w:rPr>
      </w:pPr>
      <w:r>
        <w:rPr>
          <w:rFonts w:ascii="Calibri" w:eastAsia="Calibri" w:hAnsi="Calibri" w:cs="Calibri"/>
          <w:sz w:val="14"/>
          <w:lang w:val="en-US"/>
        </w:rPr>
        <w:t xml:space="preserve">Lysophosphatidylcholine acyltransferase, </w:t>
      </w:r>
      <w:r>
        <w:rPr>
          <w:rFonts w:ascii="Calibri" w:eastAsia="Calibri" w:hAnsi="Calibri" w:cs="Calibri"/>
          <w:sz w:val="14"/>
          <w:lang w:val="en-US"/>
        </w:rPr>
        <w:t>LAMP2: Lysosomal Associated Membrane Protein, LRGUK: Leucine Rich</w:t>
      </w:r>
    </w:p>
    <w:p w14:paraId="4F0CEDFC" w14:textId="77777777" w:rsidR="00830038" w:rsidRDefault="000D62E4">
      <w:pPr>
        <w:spacing w:after="131" w:line="264" w:lineRule="auto"/>
        <w:ind w:left="15" w:right="0"/>
        <w:rPr>
          <w:lang w:val="en-US"/>
        </w:rPr>
      </w:pPr>
      <w:r>
        <w:rPr>
          <w:rFonts w:ascii="Calibri" w:eastAsia="Calibri" w:hAnsi="Calibri" w:cs="Calibri"/>
          <w:sz w:val="14"/>
          <w:lang w:val="en-US"/>
        </w:rPr>
        <w:t>Repeats And Guanylate Kinase Domain, LSS: Lanosterol Synthase, MTTP: Microsomal triglyceride transfer protein, OSBPL: Oxysterol binding protein like, PIM2: Pim-2 Proto-Oncogene, PLA2G10: Pho</w:t>
      </w:r>
      <w:r>
        <w:rPr>
          <w:rFonts w:ascii="Calibri" w:eastAsia="Calibri" w:hAnsi="Calibri" w:cs="Calibri"/>
          <w:sz w:val="14"/>
          <w:lang w:val="en-US"/>
        </w:rPr>
        <w:t>spholipase A2 Group, PLIN: Perilipin, PNPLA2: Patatin-like phospholipase, PTGS2: Prostaglandin-Endoperoxide Synthase, RBP4: Retinol Binding Protein, SAA4: Serum Amyloid, SELE: Selectin, SNAP23: Synaptosome Associated Protein, SQLE: Squalene epoxidase, TMEM</w:t>
      </w:r>
      <w:r>
        <w:rPr>
          <w:rFonts w:ascii="Calibri" w:eastAsia="Calibri" w:hAnsi="Calibri" w:cs="Calibri"/>
          <w:sz w:val="14"/>
          <w:lang w:val="en-US"/>
        </w:rPr>
        <w:t>229B: Transmembrane Protein</w:t>
      </w:r>
    </w:p>
    <w:p w14:paraId="3E12C885" w14:textId="77777777" w:rsidR="00830038" w:rsidRDefault="000D62E4">
      <w:pPr>
        <w:spacing w:line="259" w:lineRule="auto"/>
        <w:ind w:left="-5" w:right="0"/>
        <w:rPr>
          <w:b/>
          <w:bCs/>
          <w:lang w:val="en-US"/>
        </w:rPr>
      </w:pPr>
      <w:r>
        <w:rPr>
          <w:rFonts w:ascii="Calibri" w:eastAsia="Calibri" w:hAnsi="Calibri" w:cs="Calibri"/>
          <w:b/>
          <w:bCs/>
          <w:sz w:val="14"/>
          <w:lang w:val="en-US"/>
        </w:rPr>
        <w:t>Cell line Abbreviations</w:t>
      </w:r>
    </w:p>
    <w:p w14:paraId="71A36656" w14:textId="77777777" w:rsidR="00830038" w:rsidRDefault="000D62E4">
      <w:pPr>
        <w:spacing w:line="264" w:lineRule="auto"/>
        <w:ind w:left="15" w:right="0"/>
        <w:rPr>
          <w:lang w:val="en-US"/>
        </w:rPr>
      </w:pPr>
      <w:r>
        <w:rPr>
          <w:rFonts w:ascii="Calibri" w:eastAsia="Calibri" w:hAnsi="Calibri" w:cs="Calibri"/>
          <w:b/>
          <w:bCs/>
          <w:sz w:val="14"/>
          <w:lang w:val="en-US"/>
        </w:rPr>
        <w:t>MCF 10A</w:t>
      </w:r>
      <w:r>
        <w:rPr>
          <w:rFonts w:ascii="Calibri" w:eastAsia="Calibri" w:hAnsi="Calibri" w:cs="Calibri"/>
          <w:sz w:val="14"/>
          <w:lang w:val="en-US"/>
        </w:rPr>
        <w:t xml:space="preserve"> is an epithelial cell line that was isolated in 1984 from the mammary gland of a White, 36-year-old female with fibrocystic breasts. This cell line was deposited by the Michigan Cancer Foundation.</w:t>
      </w:r>
    </w:p>
    <w:p w14:paraId="2499F126" w14:textId="77777777" w:rsidR="00830038" w:rsidRDefault="000D62E4">
      <w:pPr>
        <w:spacing w:line="264" w:lineRule="auto"/>
        <w:ind w:left="15" w:right="0"/>
        <w:rPr>
          <w:lang w:val="en-US"/>
        </w:rPr>
      </w:pPr>
      <w:r>
        <w:rPr>
          <w:rFonts w:ascii="Calibri" w:eastAsia="Calibri" w:hAnsi="Calibri" w:cs="Calibri"/>
          <w:b/>
          <w:bCs/>
          <w:sz w:val="14"/>
          <w:lang w:val="en-US"/>
        </w:rPr>
        <w:t>The MDA-MB-231</w:t>
      </w:r>
      <w:r>
        <w:rPr>
          <w:rFonts w:ascii="Calibri" w:eastAsia="Calibri" w:hAnsi="Calibri" w:cs="Calibri"/>
          <w:sz w:val="14"/>
          <w:lang w:val="en-US"/>
        </w:rPr>
        <w:t xml:space="preserve"> cell line is an epithelial, human breast cancer cell line that was established from a pleural effusion of a 51-year caucasian female with a metastatic mammary adenocarcinoma and is one of the most commonly used breast cancer cell lines in m</w:t>
      </w:r>
      <w:r>
        <w:rPr>
          <w:rFonts w:ascii="Calibri" w:eastAsia="Calibri" w:hAnsi="Calibri" w:cs="Calibri"/>
          <w:sz w:val="14"/>
          <w:lang w:val="en-US"/>
        </w:rPr>
        <w:t>edical research laboratories.</w:t>
      </w:r>
    </w:p>
    <w:p w14:paraId="40C4F4AE" w14:textId="77777777" w:rsidR="00830038" w:rsidRDefault="000D62E4">
      <w:pPr>
        <w:spacing w:after="132" w:line="264" w:lineRule="auto"/>
        <w:ind w:left="15" w:right="0"/>
        <w:rPr>
          <w:lang w:val="en-US"/>
        </w:rPr>
      </w:pPr>
      <w:r>
        <w:rPr>
          <w:rFonts w:ascii="Calibri" w:eastAsia="Calibri" w:hAnsi="Calibri" w:cs="Calibri"/>
          <w:b/>
          <w:bCs/>
          <w:sz w:val="14"/>
          <w:lang w:val="en-US"/>
        </w:rPr>
        <w:t>MDA-MB-436</w:t>
      </w:r>
      <w:r>
        <w:rPr>
          <w:rFonts w:ascii="Calibri" w:eastAsia="Calibri" w:hAnsi="Calibri" w:cs="Calibri"/>
          <w:sz w:val="14"/>
          <w:lang w:val="en-US"/>
        </w:rPr>
        <w:t xml:space="preserve"> triple negative breast cancer cell lines that are epithelial in nature.</w:t>
      </w:r>
    </w:p>
    <w:p w14:paraId="5EEB81B0" w14:textId="77777777" w:rsidR="00830038" w:rsidRDefault="000D62E4">
      <w:pPr>
        <w:spacing w:line="259" w:lineRule="auto"/>
        <w:ind w:left="-5" w:right="0"/>
        <w:rPr>
          <w:b/>
          <w:bCs/>
          <w:lang w:val="en-US"/>
        </w:rPr>
      </w:pPr>
      <w:r>
        <w:rPr>
          <w:rFonts w:ascii="Calibri" w:eastAsia="Calibri" w:hAnsi="Calibri" w:cs="Calibri"/>
          <w:b/>
          <w:bCs/>
          <w:sz w:val="14"/>
          <w:lang w:val="en-US"/>
        </w:rPr>
        <w:t>Statistical Explanations</w:t>
      </w:r>
    </w:p>
    <w:p w14:paraId="0BDB2BE9" w14:textId="77777777" w:rsidR="00830038" w:rsidRDefault="000D62E4">
      <w:pPr>
        <w:spacing w:line="264" w:lineRule="auto"/>
        <w:ind w:left="15" w:right="0"/>
        <w:rPr>
          <w:lang w:val="en-US"/>
        </w:rPr>
      </w:pPr>
      <w:r>
        <w:rPr>
          <w:rFonts w:ascii="Calibri" w:eastAsia="Calibri" w:hAnsi="Calibri" w:cs="Calibri"/>
          <w:b/>
          <w:bCs/>
          <w:sz w:val="14"/>
          <w:lang w:val="en-US"/>
        </w:rPr>
        <w:t xml:space="preserve">Overall Survival: </w:t>
      </w:r>
      <w:r>
        <w:rPr>
          <w:rFonts w:ascii="Calibri" w:eastAsia="Calibri" w:hAnsi="Calibri" w:cs="Calibri"/>
          <w:sz w:val="14"/>
          <w:lang w:val="en-US"/>
        </w:rPr>
        <w:t xml:space="preserve">Survival analysis is a collection of statistical procedures in which the length of time from </w:t>
      </w:r>
      <w:r>
        <w:rPr>
          <w:rFonts w:ascii="Calibri" w:eastAsia="Calibri" w:hAnsi="Calibri" w:cs="Calibri"/>
          <w:sz w:val="14"/>
          <w:lang w:val="en-US"/>
        </w:rPr>
        <w:t>either the date of diagnosis or the start of treatment for a disease, such as cancer, that patients are diagnosed with up to death. It is used to estimate the lifespan of a particular population under study. In the beginning, the survival probability is 1.</w:t>
      </w:r>
      <w:r>
        <w:rPr>
          <w:rFonts w:ascii="Calibri" w:eastAsia="Calibri" w:hAnsi="Calibri" w:cs="Calibri"/>
          <w:sz w:val="14"/>
          <w:lang w:val="en-US"/>
        </w:rPr>
        <w:t>0 (or 100% of the participants are alive). After that, it gives the probability that a patient, device, or other objects of interest will survive past a certain time [33].</w:t>
      </w:r>
    </w:p>
    <w:p w14:paraId="72303D7E" w14:textId="77777777" w:rsidR="00830038" w:rsidRDefault="000D62E4">
      <w:pPr>
        <w:spacing w:line="264" w:lineRule="auto"/>
        <w:ind w:left="15" w:right="0"/>
        <w:rPr>
          <w:lang w:val="en-US"/>
        </w:rPr>
      </w:pPr>
      <w:r>
        <w:rPr>
          <w:rFonts w:ascii="Calibri" w:eastAsia="Calibri" w:hAnsi="Calibri" w:cs="Calibri"/>
          <w:b/>
          <w:bCs/>
          <w:sz w:val="14"/>
          <w:lang w:val="en-US"/>
        </w:rPr>
        <w:t>Cox regression:</w:t>
      </w:r>
      <w:r>
        <w:rPr>
          <w:rFonts w:ascii="Calibri" w:eastAsia="Calibri" w:hAnsi="Calibri" w:cs="Calibri"/>
          <w:sz w:val="14"/>
          <w:lang w:val="en-US"/>
        </w:rPr>
        <w:t xml:space="preserve"> is a method for investigating the effects of a few variables upon th</w:t>
      </w:r>
      <w:r>
        <w:rPr>
          <w:rFonts w:ascii="Calibri" w:eastAsia="Calibri" w:hAnsi="Calibri" w:cs="Calibri"/>
          <w:sz w:val="14"/>
          <w:lang w:val="en-US"/>
        </w:rPr>
        <w:t>e time a specified event takes to happen. It is known as Cox regression for survival analysis if the context outcome is death. The probabilities lower than 0.05 are considered significant and researchers provide a 95% confidence interval for the hazard rat</w:t>
      </w:r>
      <w:r>
        <w:rPr>
          <w:rFonts w:ascii="Calibri" w:eastAsia="Calibri" w:hAnsi="Calibri" w:cs="Calibri"/>
          <w:sz w:val="14"/>
          <w:lang w:val="en-US"/>
        </w:rPr>
        <w:t>io conventionally [34].</w:t>
      </w:r>
    </w:p>
    <w:p w14:paraId="3FB3FF4A" w14:textId="77777777" w:rsidR="00830038" w:rsidRDefault="000D62E4">
      <w:pPr>
        <w:spacing w:line="264" w:lineRule="auto"/>
        <w:ind w:left="15" w:right="0"/>
        <w:rPr>
          <w:lang w:val="en-US"/>
        </w:rPr>
      </w:pPr>
      <w:r>
        <w:rPr>
          <w:rFonts w:ascii="Calibri" w:eastAsia="Calibri" w:hAnsi="Calibri" w:cs="Calibri"/>
          <w:b/>
          <w:bCs/>
          <w:sz w:val="14"/>
          <w:lang w:val="en-US"/>
        </w:rPr>
        <w:t>Hazard Ratio:</w:t>
      </w:r>
      <w:r>
        <w:rPr>
          <w:rFonts w:ascii="Calibri" w:eastAsia="Calibri" w:hAnsi="Calibri" w:cs="Calibri"/>
          <w:sz w:val="14"/>
          <w:lang w:val="en-US"/>
        </w:rPr>
        <w:t xml:space="preserve"> is the hazard rate corresponding to the conditions described by two levels of an explanatory variable. The measures of association tell us that a hazard ratio of 1 means a lack of association, a hazard ratio greater th</w:t>
      </w:r>
      <w:r>
        <w:rPr>
          <w:rFonts w:ascii="Calibri" w:eastAsia="Calibri" w:hAnsi="Calibri" w:cs="Calibri"/>
          <w:sz w:val="14"/>
          <w:lang w:val="en-US"/>
        </w:rPr>
        <w:t>an 1 suggests an increased risk, and a hazard ratio below 1 suggests a smaller risk [35].</w:t>
      </w:r>
    </w:p>
    <w:p w14:paraId="77557EBD" w14:textId="77777777" w:rsidR="00830038" w:rsidRDefault="000D62E4">
      <w:pPr>
        <w:spacing w:line="264" w:lineRule="auto"/>
        <w:ind w:left="15" w:right="0"/>
        <w:rPr>
          <w:lang w:val="en-US"/>
        </w:rPr>
      </w:pPr>
      <w:r>
        <w:rPr>
          <w:rFonts w:ascii="Calibri" w:eastAsia="Calibri" w:hAnsi="Calibri" w:cs="Calibri"/>
          <w:b/>
          <w:bCs/>
          <w:sz w:val="14"/>
          <w:lang w:val="en-US"/>
        </w:rPr>
        <w:t>F-Statistics:</w:t>
      </w:r>
      <w:r>
        <w:rPr>
          <w:rFonts w:ascii="Calibri" w:eastAsia="Calibri" w:hAnsi="Calibri" w:cs="Calibri"/>
          <w:sz w:val="14"/>
          <w:lang w:val="en-US"/>
        </w:rPr>
        <w:t xml:space="preserve"> is a statistical test that shows the equality of the variances of the two normal populations and is used to determine whether the variances of two popul</w:t>
      </w:r>
      <w:r>
        <w:rPr>
          <w:rFonts w:ascii="Calibri" w:eastAsia="Calibri" w:hAnsi="Calibri" w:cs="Calibri"/>
          <w:sz w:val="14"/>
          <w:lang w:val="en-US"/>
        </w:rPr>
        <w:t>ations are equal or not by using a one-tailed or two-tailed hypothesis test [36].</w:t>
      </w:r>
    </w:p>
    <w:p w14:paraId="25EC1618" w14:textId="77777777" w:rsidR="00830038" w:rsidRDefault="000D62E4">
      <w:pPr>
        <w:spacing w:line="264" w:lineRule="auto"/>
        <w:ind w:left="15" w:right="0"/>
        <w:rPr>
          <w:lang w:val="en-US"/>
        </w:rPr>
      </w:pPr>
      <w:r>
        <w:rPr>
          <w:rFonts w:ascii="Calibri" w:eastAsia="Calibri" w:hAnsi="Calibri" w:cs="Calibri"/>
          <w:b/>
          <w:bCs/>
          <w:sz w:val="14"/>
          <w:lang w:val="en-US"/>
        </w:rPr>
        <w:t>Disease Free Survival:</w:t>
      </w:r>
      <w:r>
        <w:rPr>
          <w:rFonts w:ascii="Calibri" w:eastAsia="Calibri" w:hAnsi="Calibri" w:cs="Calibri"/>
          <w:sz w:val="14"/>
          <w:lang w:val="en-US"/>
        </w:rPr>
        <w:t xml:space="preserve"> is a number that shows the chances of staying free of a disease or cancer after a particular treatment. It also refers to the time from treatment until the recurrence of disease (or death) after undergoing curative-intent treatment [37].</w:t>
      </w:r>
    </w:p>
    <w:p w14:paraId="6D184CE4" w14:textId="77777777" w:rsidR="00830038" w:rsidRDefault="000D62E4">
      <w:pPr>
        <w:spacing w:after="131" w:line="264" w:lineRule="auto"/>
        <w:ind w:left="15" w:right="0"/>
        <w:rPr>
          <w:lang w:val="en-US"/>
        </w:rPr>
      </w:pPr>
      <w:r>
        <w:rPr>
          <w:rFonts w:ascii="Calibri" w:eastAsia="Calibri" w:hAnsi="Calibri" w:cs="Calibri"/>
          <w:b/>
          <w:bCs/>
          <w:sz w:val="14"/>
          <w:lang w:val="en-US"/>
        </w:rPr>
        <w:t>Prognostic Factor</w:t>
      </w:r>
      <w:r>
        <w:rPr>
          <w:rFonts w:ascii="Calibri" w:eastAsia="Calibri" w:hAnsi="Calibri" w:cs="Calibri"/>
          <w:b/>
          <w:bCs/>
          <w:sz w:val="14"/>
          <w:lang w:val="en-US"/>
        </w:rPr>
        <w:t>:</w:t>
      </w:r>
      <w:r>
        <w:rPr>
          <w:rFonts w:ascii="Calibri" w:eastAsia="Calibri" w:hAnsi="Calibri" w:cs="Calibri"/>
          <w:sz w:val="14"/>
          <w:lang w:val="en-US"/>
        </w:rPr>
        <w:t xml:space="preserve"> is a characteristic of a patient, that can be used to estimate the chance of recovery from a disease or the chance of the disease recurring (coming back) [38].</w:t>
      </w:r>
    </w:p>
    <w:p w14:paraId="584AAD2E" w14:textId="77777777" w:rsidR="00830038" w:rsidRDefault="000D62E4">
      <w:pPr>
        <w:spacing w:line="259" w:lineRule="auto"/>
        <w:ind w:left="-5" w:right="0"/>
        <w:rPr>
          <w:b/>
          <w:bCs/>
          <w:lang w:val="en-US"/>
        </w:rPr>
      </w:pPr>
      <w:r>
        <w:rPr>
          <w:rFonts w:ascii="Calibri" w:eastAsia="Calibri" w:hAnsi="Calibri" w:cs="Calibri"/>
          <w:b/>
          <w:bCs/>
          <w:sz w:val="14"/>
          <w:lang w:val="en-US"/>
        </w:rPr>
        <w:t>Availability of data and materials</w:t>
      </w:r>
    </w:p>
    <w:p w14:paraId="43E29C58" w14:textId="77777777" w:rsidR="00830038" w:rsidRDefault="000D62E4">
      <w:pPr>
        <w:spacing w:after="132" w:line="264" w:lineRule="auto"/>
        <w:ind w:left="15" w:right="0"/>
        <w:rPr>
          <w:lang w:val="en-US"/>
        </w:rPr>
      </w:pPr>
      <w:r>
        <w:rPr>
          <w:rFonts w:ascii="Calibri" w:eastAsia="Calibri" w:hAnsi="Calibri" w:cs="Calibri"/>
          <w:sz w:val="14"/>
          <w:lang w:val="en-US"/>
        </w:rPr>
        <w:t>All data generated or analyzed during this study are includ</w:t>
      </w:r>
      <w:r>
        <w:rPr>
          <w:rFonts w:ascii="Calibri" w:eastAsia="Calibri" w:hAnsi="Calibri" w:cs="Calibri"/>
          <w:sz w:val="14"/>
          <w:lang w:val="en-US"/>
        </w:rPr>
        <w:t>ed in this article.</w:t>
      </w:r>
    </w:p>
    <w:p w14:paraId="6794C59E" w14:textId="77777777" w:rsidR="00830038" w:rsidRDefault="000D62E4">
      <w:pPr>
        <w:spacing w:line="259" w:lineRule="auto"/>
        <w:ind w:left="-5" w:right="0"/>
        <w:rPr>
          <w:b/>
          <w:bCs/>
          <w:lang w:val="en-US"/>
        </w:rPr>
      </w:pPr>
      <w:r>
        <w:rPr>
          <w:rFonts w:ascii="Calibri" w:eastAsia="Calibri" w:hAnsi="Calibri" w:cs="Calibri"/>
          <w:b/>
          <w:bCs/>
          <w:sz w:val="14"/>
          <w:lang w:val="en-US"/>
        </w:rPr>
        <w:t>Ethics approval and consent to participate</w:t>
      </w:r>
    </w:p>
    <w:p w14:paraId="516E1C95" w14:textId="77777777" w:rsidR="00830038" w:rsidRDefault="000D62E4">
      <w:pPr>
        <w:spacing w:after="132" w:line="264" w:lineRule="auto"/>
        <w:ind w:left="15" w:right="0"/>
        <w:rPr>
          <w:lang w:val="en-US"/>
        </w:rPr>
      </w:pPr>
      <w:r>
        <w:rPr>
          <w:rFonts w:ascii="Calibri" w:eastAsia="Calibri" w:hAnsi="Calibri" w:cs="Calibri"/>
          <w:sz w:val="14"/>
          <w:lang w:val="en-US"/>
        </w:rPr>
        <w:t>Ethics approval and consent to participate Not applicable</w:t>
      </w:r>
    </w:p>
    <w:p w14:paraId="084B6656" w14:textId="77777777" w:rsidR="00830038" w:rsidRDefault="000D62E4">
      <w:pPr>
        <w:spacing w:line="259" w:lineRule="auto"/>
        <w:ind w:left="-5" w:right="0"/>
        <w:rPr>
          <w:b/>
          <w:bCs/>
          <w:lang w:val="en-US"/>
        </w:rPr>
      </w:pPr>
      <w:r>
        <w:rPr>
          <w:rFonts w:ascii="Calibri" w:eastAsia="Calibri" w:hAnsi="Calibri" w:cs="Calibri"/>
          <w:b/>
          <w:bCs/>
          <w:sz w:val="14"/>
          <w:lang w:val="en-US"/>
        </w:rPr>
        <w:t>Competing interests</w:t>
      </w:r>
    </w:p>
    <w:p w14:paraId="4FA19B6D" w14:textId="77777777" w:rsidR="00830038" w:rsidRDefault="000D62E4">
      <w:pPr>
        <w:spacing w:after="132" w:line="264" w:lineRule="auto"/>
        <w:ind w:left="15" w:right="0"/>
        <w:jc w:val="left"/>
        <w:rPr>
          <w:lang w:val="en-US"/>
        </w:rPr>
      </w:pPr>
      <w:r>
        <w:rPr>
          <w:rFonts w:ascii="Calibri" w:eastAsia="Calibri" w:hAnsi="Calibri" w:cs="Calibri"/>
          <w:sz w:val="14"/>
          <w:lang w:val="en-US"/>
        </w:rPr>
        <w:t>The authors have no conflict of interest.</w:t>
      </w:r>
    </w:p>
    <w:p w14:paraId="05D4888E" w14:textId="77777777" w:rsidR="00830038" w:rsidRDefault="000D62E4">
      <w:pPr>
        <w:spacing w:line="259" w:lineRule="auto"/>
        <w:ind w:left="-5" w:right="0"/>
        <w:jc w:val="left"/>
        <w:rPr>
          <w:b/>
          <w:bCs/>
          <w:lang w:val="en-US"/>
        </w:rPr>
      </w:pPr>
      <w:r>
        <w:rPr>
          <w:rFonts w:ascii="Calibri" w:eastAsia="Calibri" w:hAnsi="Calibri" w:cs="Calibri"/>
          <w:b/>
          <w:bCs/>
          <w:sz w:val="14"/>
          <w:lang w:val="en-US"/>
        </w:rPr>
        <w:t>Consent for publication</w:t>
      </w:r>
    </w:p>
    <w:p w14:paraId="45876EE6" w14:textId="77777777" w:rsidR="00830038" w:rsidRDefault="000D62E4">
      <w:pPr>
        <w:spacing w:after="131" w:line="264" w:lineRule="auto"/>
        <w:ind w:left="15" w:right="0"/>
        <w:jc w:val="left"/>
        <w:rPr>
          <w:lang w:val="en-US"/>
        </w:rPr>
      </w:pPr>
      <w:r>
        <w:rPr>
          <w:rFonts w:ascii="Calibri" w:eastAsia="Calibri" w:hAnsi="Calibri" w:cs="Calibri"/>
          <w:sz w:val="14"/>
          <w:lang w:val="en-US"/>
        </w:rPr>
        <w:t>The Human Protein Atlas version 20.1 (https://www</w:t>
      </w:r>
      <w:r>
        <w:rPr>
          <w:rFonts w:ascii="Calibri" w:eastAsia="Calibri" w:hAnsi="Calibri" w:cs="Calibri"/>
          <w:sz w:val="14"/>
          <w:lang w:val="en-US"/>
        </w:rPr>
        <w:t>.proteinatlas.org) was used to analyze differentially expressed genes at the protein level by immunohistochemistry. Image credit: Human Protein Atlas.</w:t>
      </w:r>
    </w:p>
    <w:p w14:paraId="77B65A0C" w14:textId="77777777" w:rsidR="00830038" w:rsidRDefault="000D62E4">
      <w:pPr>
        <w:spacing w:line="259" w:lineRule="auto"/>
        <w:ind w:left="-5" w:right="0"/>
        <w:jc w:val="left"/>
        <w:rPr>
          <w:b/>
          <w:bCs/>
          <w:lang w:val="en-US"/>
        </w:rPr>
      </w:pPr>
      <w:r>
        <w:rPr>
          <w:rFonts w:ascii="Calibri" w:eastAsia="Calibri" w:hAnsi="Calibri" w:cs="Calibri"/>
          <w:b/>
          <w:bCs/>
          <w:sz w:val="14"/>
          <w:lang w:val="en-US"/>
        </w:rPr>
        <w:t>Authors’ contributions</w:t>
      </w:r>
    </w:p>
    <w:p w14:paraId="29A97F2A" w14:textId="77777777" w:rsidR="00830038" w:rsidRDefault="000D62E4">
      <w:pPr>
        <w:spacing w:line="264" w:lineRule="auto"/>
        <w:ind w:left="15" w:right="0"/>
        <w:jc w:val="left"/>
        <w:rPr>
          <w:lang w:val="en-US"/>
        </w:rPr>
      </w:pPr>
      <w:r>
        <w:rPr>
          <w:rFonts w:ascii="Calibri" w:eastAsia="Calibri" w:hAnsi="Calibri" w:cs="Calibri"/>
          <w:sz w:val="14"/>
          <w:lang w:val="en-US"/>
        </w:rPr>
        <w:t>SD performed the gene bioinformatics analysis, combined biochemistry and biophysic</w:t>
      </w:r>
      <w:r>
        <w:rPr>
          <w:rFonts w:ascii="Calibri" w:eastAsia="Calibri" w:hAnsi="Calibri" w:cs="Calibri"/>
          <w:sz w:val="14"/>
          <w:lang w:val="en-US"/>
        </w:rPr>
        <w:t>s perspectives and conceptualized the manuscript. JL performed the gene selection related to lipid metabolism and performed the lipid structure studies. JS performed the gene selection analysis and connected lipid wet-lab studies with dry-lab bioinformatic</w:t>
      </w:r>
      <w:r>
        <w:rPr>
          <w:rFonts w:ascii="Calibri" w:eastAsia="Calibri" w:hAnsi="Calibri" w:cs="Calibri"/>
          <w:sz w:val="14"/>
          <w:lang w:val="en-US"/>
        </w:rPr>
        <w:t xml:space="preserve">s. DTH stained and distinguished the lipid droplets in the cell line cultures and worked on formatting the manuscript. HK imaged lipid droplets amount and their sizes under microscopy. EB and AZ stained the lipid droplets and evaluated the size and amount </w:t>
      </w:r>
      <w:r>
        <w:rPr>
          <w:rFonts w:ascii="Calibri" w:eastAsia="Calibri" w:hAnsi="Calibri" w:cs="Calibri"/>
          <w:sz w:val="14"/>
          <w:lang w:val="en-US"/>
        </w:rPr>
        <w:t>of lipid droplets under microscope in breast cancer cell lines. CF designed and helped with cell culture. JK supervised the study. All author(s) read and approved the final manuscript.</w:t>
      </w:r>
    </w:p>
    <w:p w14:paraId="66802B06" w14:textId="77777777" w:rsidR="00830038" w:rsidRDefault="00830038">
      <w:pPr>
        <w:spacing w:after="38" w:line="259" w:lineRule="auto"/>
        <w:ind w:left="-5" w:right="0"/>
        <w:jc w:val="left"/>
        <w:rPr>
          <w:rFonts w:ascii="Calibri" w:eastAsia="Calibri" w:hAnsi="Calibri" w:cs="Calibri"/>
          <w:sz w:val="14"/>
          <w:lang w:val="en-US"/>
        </w:rPr>
      </w:pPr>
    </w:p>
    <w:p w14:paraId="5DFF6AEE" w14:textId="77777777" w:rsidR="00830038" w:rsidRDefault="00830038">
      <w:pPr>
        <w:spacing w:after="38" w:line="259" w:lineRule="auto"/>
        <w:ind w:left="-5" w:right="0"/>
        <w:jc w:val="left"/>
        <w:rPr>
          <w:rFonts w:ascii="Calibri" w:eastAsia="Calibri" w:hAnsi="Calibri" w:cs="Calibri"/>
          <w:sz w:val="14"/>
          <w:lang w:val="en-US"/>
        </w:rPr>
      </w:pPr>
    </w:p>
    <w:p w14:paraId="2AB61FED" w14:textId="77777777" w:rsidR="00830038" w:rsidRDefault="00830038">
      <w:pPr>
        <w:spacing w:after="38" w:line="259" w:lineRule="auto"/>
        <w:ind w:left="-5" w:right="0"/>
        <w:jc w:val="left"/>
        <w:rPr>
          <w:rFonts w:ascii="Calibri" w:eastAsia="Calibri" w:hAnsi="Calibri" w:cs="Calibri"/>
          <w:sz w:val="14"/>
          <w:lang w:val="en-US"/>
        </w:rPr>
      </w:pPr>
    </w:p>
    <w:p w14:paraId="27F39D6B" w14:textId="77777777" w:rsidR="00830038" w:rsidRDefault="000D62E4">
      <w:pPr>
        <w:spacing w:after="38" w:line="259" w:lineRule="auto"/>
        <w:ind w:left="-5" w:right="0"/>
        <w:jc w:val="left"/>
        <w:rPr>
          <w:b/>
          <w:bCs/>
          <w:lang w:val="en-US"/>
        </w:rPr>
      </w:pPr>
      <w:r>
        <w:rPr>
          <w:rFonts w:ascii="Calibri" w:eastAsia="Calibri" w:hAnsi="Calibri" w:cs="Calibri"/>
          <w:b/>
          <w:bCs/>
          <w:sz w:val="14"/>
          <w:lang w:val="en-US"/>
        </w:rPr>
        <w:t>Author details</w:t>
      </w:r>
    </w:p>
    <w:p w14:paraId="47EACEF0" w14:textId="77777777" w:rsidR="00830038" w:rsidRDefault="000D62E4">
      <w:pPr>
        <w:spacing w:line="264" w:lineRule="auto"/>
        <w:ind w:left="15" w:right="0"/>
        <w:jc w:val="left"/>
        <w:rPr>
          <w:lang w:val="en-US"/>
        </w:rPr>
      </w:pPr>
      <w:r>
        <w:rPr>
          <w:rFonts w:ascii="Calibri" w:eastAsia="Calibri" w:hAnsi="Calibri" w:cs="Calibri"/>
          <w:sz w:val="14"/>
          <w:vertAlign w:val="superscript"/>
          <w:lang w:val="en-US"/>
        </w:rPr>
        <w:lastRenderedPageBreak/>
        <w:t>1</w:t>
      </w:r>
      <w:r>
        <w:rPr>
          <w:rFonts w:ascii="Calibri" w:eastAsia="Calibri" w:hAnsi="Calibri" w:cs="Calibri"/>
          <w:sz w:val="14"/>
          <w:lang w:val="en-US"/>
        </w:rPr>
        <w:t xml:space="preserve">Soft Matter Division, Peter Debye </w:t>
      </w:r>
      <w:r>
        <w:rPr>
          <w:rFonts w:ascii="Calibri" w:eastAsia="Calibri" w:hAnsi="Calibri" w:cs="Calibri"/>
          <w:sz w:val="14"/>
          <w:lang w:val="en-US"/>
        </w:rPr>
        <w:t>Institute, Faculty of Physics and Earth Science, Leipzig University, Linn´estr. 5,</w:t>
      </w:r>
    </w:p>
    <w:p w14:paraId="1611A874" w14:textId="77777777" w:rsidR="00830038" w:rsidRDefault="000D62E4">
      <w:pPr>
        <w:spacing w:after="156" w:line="264" w:lineRule="auto"/>
        <w:ind w:left="15" w:right="0"/>
        <w:jc w:val="left"/>
        <w:rPr>
          <w:lang w:val="en-US"/>
        </w:rPr>
      </w:pPr>
      <w:r>
        <w:rPr>
          <w:rFonts w:ascii="Calibri" w:eastAsia="Calibri" w:hAnsi="Calibri" w:cs="Calibri"/>
          <w:sz w:val="14"/>
          <w:lang w:val="en-US"/>
        </w:rPr>
        <w:t xml:space="preserve">D-04103 Leipzig, Germany. </w:t>
      </w:r>
      <w:r>
        <w:rPr>
          <w:rFonts w:ascii="Calibri" w:eastAsia="Calibri" w:hAnsi="Calibri" w:cs="Calibri"/>
          <w:sz w:val="14"/>
          <w:vertAlign w:val="superscript"/>
          <w:lang w:val="en-US"/>
        </w:rPr>
        <w:t>2</w:t>
      </w:r>
      <w:r>
        <w:rPr>
          <w:rFonts w:ascii="Calibri" w:eastAsia="Calibri" w:hAnsi="Calibri" w:cs="Calibri"/>
          <w:sz w:val="14"/>
          <w:lang w:val="en-US"/>
        </w:rPr>
        <w:t xml:space="preserve">Institute for Medical Physics and Biophysics, Faculty of Medicine, Leipzig University, H¨artelstr. 16-18, D-04107 Leipzig, Germany. </w:t>
      </w:r>
      <w:r>
        <w:rPr>
          <w:rFonts w:ascii="Calibri" w:eastAsia="Calibri" w:hAnsi="Calibri" w:cs="Calibri"/>
          <w:sz w:val="14"/>
          <w:vertAlign w:val="superscript"/>
          <w:lang w:val="en-US"/>
        </w:rPr>
        <w:t>3</w:t>
      </w:r>
      <w:r>
        <w:rPr>
          <w:rFonts w:ascii="Calibri" w:eastAsia="Calibri" w:hAnsi="Calibri" w:cs="Calibri"/>
          <w:sz w:val="14"/>
          <w:lang w:val="en-US"/>
        </w:rPr>
        <w:t>Werner-Heisen</w:t>
      </w:r>
      <w:r>
        <w:rPr>
          <w:rFonts w:ascii="Calibri" w:eastAsia="Calibri" w:hAnsi="Calibri" w:cs="Calibri"/>
          <w:sz w:val="14"/>
          <w:lang w:val="en-US"/>
        </w:rPr>
        <w:t>berg-Schule, Gymnasium of the city of Leipzig, Renftstraße 3, D-04159 Leipzig, Germany.</w:t>
      </w:r>
    </w:p>
    <w:sectPr w:rsidR="00830038">
      <w:headerReference w:type="default" r:id="rId8"/>
      <w:pgSz w:w="12240" w:h="15840"/>
      <w:pgMar w:top="1746" w:right="2696" w:bottom="1140" w:left="2351" w:header="656" w:footer="0" w:gutter="0"/>
      <w:lnNumType w:countBy="5" w:distance="283" w:restart="continuous"/>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112A04D" w14:textId="77777777" w:rsidR="000D62E4" w:rsidRDefault="000D62E4">
      <w:pPr>
        <w:spacing w:after="0" w:line="240" w:lineRule="auto"/>
      </w:pPr>
      <w:r>
        <w:separator/>
      </w:r>
    </w:p>
  </w:endnote>
  <w:endnote w:type="continuationSeparator" w:id="0">
    <w:p w14:paraId="7CE36CFE" w14:textId="77777777" w:rsidR="000D62E4" w:rsidRDefault="000D6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eration Sans">
    <w:altName w:val="Arial"/>
    <w:charset w:val="01"/>
    <w:family w:val="roman"/>
    <w:pitch w:val="variable"/>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3840034" w14:textId="77777777" w:rsidR="000D62E4" w:rsidRDefault="000D62E4">
      <w:pPr>
        <w:spacing w:after="0" w:line="240" w:lineRule="auto"/>
      </w:pPr>
      <w:r>
        <w:separator/>
      </w:r>
    </w:p>
  </w:footnote>
  <w:footnote w:type="continuationSeparator" w:id="0">
    <w:p w14:paraId="58093296" w14:textId="77777777" w:rsidR="000D62E4" w:rsidRDefault="000D62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DEEC85" w14:textId="77777777" w:rsidR="00830038" w:rsidRDefault="000D62E4">
    <w:pPr>
      <w:tabs>
        <w:tab w:val="right" w:pos="8428"/>
      </w:tabs>
      <w:spacing w:after="0" w:line="259" w:lineRule="auto"/>
      <w:ind w:left="-1215" w:right="-1235" w:firstLine="0"/>
      <w:jc w:val="left"/>
    </w:pPr>
    <w:r>
      <w:rPr>
        <w:rFonts w:ascii="Calibri" w:eastAsia="Calibri" w:hAnsi="Calibri" w:cs="Calibri"/>
        <w:sz w:val="16"/>
        <w:lang w:val="en-US"/>
      </w:rPr>
      <w:t xml:space="preserve">Dogan </w:t>
    </w:r>
    <w:r>
      <w:rPr>
        <w:rFonts w:ascii="Calibri" w:eastAsia="Calibri" w:hAnsi="Calibri" w:cs="Calibri"/>
        <w:i/>
        <w:sz w:val="16"/>
        <w:lang w:val="en-US"/>
      </w:rPr>
      <w:t>et al.</w:t>
    </w:r>
    <w:r>
      <w:rPr>
        <w:rFonts w:ascii="Calibri" w:eastAsia="Calibri" w:hAnsi="Calibri" w:cs="Calibri"/>
        <w:i/>
        <w:sz w:val="16"/>
        <w:lang w:val="en-US"/>
      </w:rPr>
      <w:tab/>
    </w:r>
    <w:r>
      <w:rPr>
        <w:rFonts w:ascii="Calibri" w:eastAsia="Calibri" w:hAnsi="Calibri" w:cs="Calibri"/>
        <w:sz w:val="16"/>
        <w:lang w:val="en-US"/>
      </w:rPr>
      <w:t xml:space="preserve">Page </w:t>
    </w:r>
    <w:r>
      <w:rPr>
        <w:rFonts w:ascii="Calibri" w:eastAsia="Calibri" w:hAnsi="Calibri" w:cs="Calibri"/>
        <w:sz w:val="16"/>
      </w:rPr>
      <w:fldChar w:fldCharType="begin"/>
    </w:r>
    <w:r>
      <w:rPr>
        <w:rFonts w:ascii="Calibri" w:eastAsia="Calibri" w:hAnsi="Calibri" w:cs="Calibri"/>
        <w:sz w:val="16"/>
      </w:rPr>
      <w:instrText>PAGE</w:instrText>
    </w:r>
    <w:r>
      <w:rPr>
        <w:rFonts w:ascii="Calibri" w:eastAsia="Calibri" w:hAnsi="Calibri" w:cs="Calibri"/>
        <w:sz w:val="16"/>
      </w:rPr>
      <w:fldChar w:fldCharType="separate"/>
    </w:r>
    <w:r>
      <w:rPr>
        <w:rFonts w:ascii="Calibri" w:eastAsia="Calibri" w:hAnsi="Calibri" w:cs="Calibri"/>
        <w:sz w:val="16"/>
      </w:rPr>
      <w:t>25</w:t>
    </w:r>
    <w:r>
      <w:rPr>
        <w:rFonts w:ascii="Calibri" w:eastAsia="Calibri" w:hAnsi="Calibri" w:cs="Calibri"/>
        <w:sz w:val="16"/>
      </w:rPr>
      <w:fldChar w:fldCharType="end"/>
    </w:r>
    <w:r>
      <w:rPr>
        <w:rFonts w:ascii="Calibri" w:eastAsia="Calibri" w:hAnsi="Calibri" w:cs="Calibri"/>
        <w:sz w:val="16"/>
        <w:lang w:val="en-US"/>
      </w:rPr>
      <w:t xml:space="preserve"> of 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B57225"/>
    <w:multiLevelType w:val="multilevel"/>
    <w:tmpl w:val="8D1E26A4"/>
    <w:lvl w:ilvl="0">
      <w:start w:val="1"/>
      <w:numFmt w:val="decimal"/>
      <w:lvlText w:val="%1."/>
      <w:lvlJc w:val="left"/>
      <w:pPr>
        <w:ind w:left="294" w:firstLine="0"/>
      </w:pPr>
      <w:rPr>
        <w:rFonts w:eastAsia="Calibri" w:cs="Calibri"/>
        <w:b w:val="0"/>
        <w:i w:val="0"/>
        <w:strike w:val="0"/>
        <w:dstrike w:val="0"/>
        <w:color w:val="000000"/>
        <w:position w:val="0"/>
        <w:sz w:val="14"/>
        <w:szCs w:val="14"/>
        <w:u w:val="none" w:color="000000"/>
        <w:vertAlign w:val="baseline"/>
      </w:rPr>
    </w:lvl>
    <w:lvl w:ilvl="1">
      <w:start w:val="1"/>
      <w:numFmt w:val="lowerLetter"/>
      <w:lvlText w:val="%2"/>
      <w:lvlJc w:val="left"/>
      <w:pPr>
        <w:ind w:left="1098" w:firstLine="0"/>
      </w:pPr>
      <w:rPr>
        <w:rFonts w:eastAsia="Calibri" w:cs="Calibri"/>
        <w:b w:val="0"/>
        <w:i w:val="0"/>
        <w:strike w:val="0"/>
        <w:dstrike w:val="0"/>
        <w:color w:val="000000"/>
        <w:position w:val="0"/>
        <w:sz w:val="14"/>
        <w:szCs w:val="14"/>
        <w:u w:val="none" w:color="000000"/>
        <w:vertAlign w:val="baseline"/>
      </w:rPr>
    </w:lvl>
    <w:lvl w:ilvl="2">
      <w:start w:val="1"/>
      <w:numFmt w:val="lowerRoman"/>
      <w:lvlText w:val="%3"/>
      <w:lvlJc w:val="left"/>
      <w:pPr>
        <w:ind w:left="1818" w:firstLine="0"/>
      </w:pPr>
      <w:rPr>
        <w:rFonts w:eastAsia="Calibri" w:cs="Calibri"/>
        <w:b w:val="0"/>
        <w:i w:val="0"/>
        <w:strike w:val="0"/>
        <w:dstrike w:val="0"/>
        <w:color w:val="000000"/>
        <w:position w:val="0"/>
        <w:sz w:val="14"/>
        <w:szCs w:val="14"/>
        <w:u w:val="none" w:color="000000"/>
        <w:vertAlign w:val="baseline"/>
      </w:rPr>
    </w:lvl>
    <w:lvl w:ilvl="3">
      <w:start w:val="1"/>
      <w:numFmt w:val="decimal"/>
      <w:lvlText w:val="%4"/>
      <w:lvlJc w:val="left"/>
      <w:pPr>
        <w:ind w:left="2538" w:firstLine="0"/>
      </w:pPr>
      <w:rPr>
        <w:rFonts w:eastAsia="Calibri" w:cs="Calibri"/>
        <w:b w:val="0"/>
        <w:i w:val="0"/>
        <w:strike w:val="0"/>
        <w:dstrike w:val="0"/>
        <w:color w:val="000000"/>
        <w:position w:val="0"/>
        <w:sz w:val="14"/>
        <w:szCs w:val="14"/>
        <w:u w:val="none" w:color="000000"/>
        <w:vertAlign w:val="baseline"/>
      </w:rPr>
    </w:lvl>
    <w:lvl w:ilvl="4">
      <w:start w:val="1"/>
      <w:numFmt w:val="lowerLetter"/>
      <w:lvlText w:val="%5"/>
      <w:lvlJc w:val="left"/>
      <w:pPr>
        <w:ind w:left="3258" w:firstLine="0"/>
      </w:pPr>
      <w:rPr>
        <w:rFonts w:eastAsia="Calibri" w:cs="Calibri"/>
        <w:b w:val="0"/>
        <w:i w:val="0"/>
        <w:strike w:val="0"/>
        <w:dstrike w:val="0"/>
        <w:color w:val="000000"/>
        <w:position w:val="0"/>
        <w:sz w:val="14"/>
        <w:szCs w:val="14"/>
        <w:u w:val="none" w:color="000000"/>
        <w:vertAlign w:val="baseline"/>
      </w:rPr>
    </w:lvl>
    <w:lvl w:ilvl="5">
      <w:start w:val="1"/>
      <w:numFmt w:val="lowerRoman"/>
      <w:lvlText w:val="%6"/>
      <w:lvlJc w:val="left"/>
      <w:pPr>
        <w:ind w:left="3978" w:firstLine="0"/>
      </w:pPr>
      <w:rPr>
        <w:rFonts w:eastAsia="Calibri" w:cs="Calibri"/>
        <w:b w:val="0"/>
        <w:i w:val="0"/>
        <w:strike w:val="0"/>
        <w:dstrike w:val="0"/>
        <w:color w:val="000000"/>
        <w:position w:val="0"/>
        <w:sz w:val="14"/>
        <w:szCs w:val="14"/>
        <w:u w:val="none" w:color="000000"/>
        <w:vertAlign w:val="baseline"/>
      </w:rPr>
    </w:lvl>
    <w:lvl w:ilvl="6">
      <w:start w:val="1"/>
      <w:numFmt w:val="decimal"/>
      <w:lvlText w:val="%7"/>
      <w:lvlJc w:val="left"/>
      <w:pPr>
        <w:ind w:left="4698" w:firstLine="0"/>
      </w:pPr>
      <w:rPr>
        <w:rFonts w:eastAsia="Calibri" w:cs="Calibri"/>
        <w:b w:val="0"/>
        <w:i w:val="0"/>
        <w:strike w:val="0"/>
        <w:dstrike w:val="0"/>
        <w:color w:val="000000"/>
        <w:position w:val="0"/>
        <w:sz w:val="14"/>
        <w:szCs w:val="14"/>
        <w:u w:val="none" w:color="000000"/>
        <w:vertAlign w:val="baseline"/>
      </w:rPr>
    </w:lvl>
    <w:lvl w:ilvl="7">
      <w:start w:val="1"/>
      <w:numFmt w:val="lowerLetter"/>
      <w:lvlText w:val="%8"/>
      <w:lvlJc w:val="left"/>
      <w:pPr>
        <w:ind w:left="5418" w:firstLine="0"/>
      </w:pPr>
      <w:rPr>
        <w:rFonts w:eastAsia="Calibri" w:cs="Calibri"/>
        <w:b w:val="0"/>
        <w:i w:val="0"/>
        <w:strike w:val="0"/>
        <w:dstrike w:val="0"/>
        <w:color w:val="000000"/>
        <w:position w:val="0"/>
        <w:sz w:val="14"/>
        <w:szCs w:val="14"/>
        <w:u w:val="none" w:color="000000"/>
        <w:vertAlign w:val="baseline"/>
      </w:rPr>
    </w:lvl>
    <w:lvl w:ilvl="8">
      <w:start w:val="1"/>
      <w:numFmt w:val="lowerRoman"/>
      <w:lvlText w:val="%9"/>
      <w:lvlJc w:val="left"/>
      <w:pPr>
        <w:ind w:left="6138" w:firstLine="0"/>
      </w:pPr>
      <w:rPr>
        <w:rFonts w:eastAsia="Calibri" w:cs="Calibri"/>
        <w:b w:val="0"/>
        <w:i w:val="0"/>
        <w:strike w:val="0"/>
        <w:dstrike w:val="0"/>
        <w:color w:val="000000"/>
        <w:position w:val="0"/>
        <w:sz w:val="14"/>
        <w:szCs w:val="14"/>
        <w:u w:val="none" w:color="000000"/>
        <w:vertAlign w:val="baseline"/>
      </w:rPr>
    </w:lvl>
  </w:abstractNum>
  <w:abstractNum w:abstractNumId="1" w15:restartNumberingAfterBreak="0">
    <w:nsid w:val="53FD5D10"/>
    <w:multiLevelType w:val="multilevel"/>
    <w:tmpl w:val="E84C3D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038"/>
    <w:rsid w:val="000D62E4"/>
    <w:rsid w:val="00830038"/>
    <w:rsid w:val="008356F7"/>
    <w:rsid w:val="008416CF"/>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57C0D"/>
  <w15:docId w15:val="{655BCB96-9429-47CF-95BE-A7F905E56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302" w:lineRule="auto"/>
      <w:ind w:left="1245" w:right="973" w:hanging="10"/>
      <w:jc w:val="both"/>
    </w:pPr>
    <w:rPr>
      <w:rFonts w:ascii="Cambria" w:eastAsia="Cambria" w:hAnsi="Cambria" w:cs="Cambria"/>
      <w:color w:val="000000"/>
    </w:rPr>
  </w:style>
  <w:style w:type="paragraph" w:styleId="Heading1">
    <w:name w:val="heading 1"/>
    <w:next w:val="Normal"/>
    <w:uiPriority w:val="9"/>
    <w:qFormat/>
    <w:pPr>
      <w:keepNext/>
      <w:keepLines/>
      <w:spacing w:line="216" w:lineRule="auto"/>
      <w:outlineLvl w:val="0"/>
    </w:pPr>
    <w:rPr>
      <w:rFonts w:ascii="Calibri" w:eastAsia="Calibri" w:hAnsi="Calibri" w:cs="Calibri"/>
      <w:color w:val="000000"/>
      <w:sz w:val="50"/>
    </w:rPr>
  </w:style>
  <w:style w:type="paragraph" w:styleId="Heading2">
    <w:name w:val="heading 2"/>
    <w:next w:val="Normal"/>
    <w:uiPriority w:val="9"/>
    <w:unhideWhenUsed/>
    <w:qFormat/>
    <w:pPr>
      <w:keepNext/>
      <w:keepLines/>
      <w:spacing w:line="259" w:lineRule="auto"/>
      <w:ind w:left="1245" w:hanging="10"/>
      <w:outlineLvl w:val="1"/>
    </w:pPr>
    <w:rPr>
      <w:rFonts w:ascii="Calibri" w:eastAsia="Calibri" w:hAnsi="Calibri" w:cs="Calibri"/>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erschrift2Zchn">
    <w:name w:val="Überschrift 2 Zchn"/>
    <w:qFormat/>
    <w:rPr>
      <w:rFonts w:ascii="Calibri" w:eastAsia="Calibri" w:hAnsi="Calibri" w:cs="Calibri"/>
      <w:color w:val="000000"/>
      <w:sz w:val="24"/>
    </w:rPr>
  </w:style>
  <w:style w:type="character" w:customStyle="1" w:styleId="berschrift1Zchn">
    <w:name w:val="Überschrift 1 Zchn"/>
    <w:qFormat/>
    <w:rPr>
      <w:rFonts w:ascii="Calibri" w:eastAsia="Calibri" w:hAnsi="Calibri" w:cs="Calibri"/>
      <w:color w:val="000000"/>
      <w:sz w:val="50"/>
    </w:rPr>
  </w:style>
  <w:style w:type="character" w:customStyle="1" w:styleId="Formatvorlage1Zchn">
    <w:name w:val="Formatvorlage1 Zchn"/>
    <w:basedOn w:val="berschrift2Zchn"/>
    <w:link w:val="Formatvorlage1"/>
    <w:qFormat/>
    <w:rsid w:val="005F35BB"/>
    <w:rPr>
      <w:rFonts w:ascii="Calibri" w:eastAsia="Calibri" w:hAnsi="Calibri" w:cs="Calibri"/>
      <w:b/>
      <w:bCs/>
      <w:color w:val="000000"/>
      <w:sz w:val="24"/>
      <w:lang w:val="en-US"/>
    </w:rPr>
  </w:style>
  <w:style w:type="character" w:customStyle="1" w:styleId="Formatvorlage2Zchn">
    <w:name w:val="Formatvorlage2 Zchn"/>
    <w:basedOn w:val="berschrift2Zchn"/>
    <w:link w:val="Formatvorlage2"/>
    <w:qFormat/>
    <w:rsid w:val="005F35BB"/>
    <w:rPr>
      <w:rFonts w:ascii="Calibri" w:eastAsia="Calibri" w:hAnsi="Calibri" w:cs="Calibri"/>
      <w:b/>
      <w:bCs/>
      <w:color w:val="000000"/>
      <w:sz w:val="28"/>
      <w:szCs w:val="24"/>
      <w:lang w:val="en-US"/>
    </w:rPr>
  </w:style>
  <w:style w:type="character" w:customStyle="1" w:styleId="FooterChar">
    <w:name w:val="Footer Char"/>
    <w:basedOn w:val="DefaultParagraphFont"/>
    <w:link w:val="Footer"/>
    <w:uiPriority w:val="99"/>
    <w:qFormat/>
    <w:rsid w:val="006D3F2E"/>
    <w:rPr>
      <w:rFonts w:ascii="Cambria" w:eastAsia="Cambria" w:hAnsi="Cambria" w:cs="Cambria"/>
      <w:color w:val="000000"/>
      <w:sz w:val="20"/>
    </w:rPr>
  </w:style>
  <w:style w:type="character" w:customStyle="1" w:styleId="Formatvorlage3Zchn">
    <w:name w:val="Formatvorlage3 Zchn"/>
    <w:basedOn w:val="DefaultParagraphFont"/>
    <w:link w:val="Formatvorlage3"/>
    <w:qFormat/>
    <w:rsid w:val="00E571EF"/>
    <w:rPr>
      <w:rFonts w:ascii="Cambria" w:eastAsia="Cambria" w:hAnsi="Cambria" w:cs="Cambria"/>
      <w:color w:val="000000"/>
      <w:sz w:val="20"/>
      <w:lang w:val="en-US"/>
    </w:rPr>
  </w:style>
  <w:style w:type="character" w:customStyle="1" w:styleId="InternetLink">
    <w:name w:val="Internet Link"/>
    <w:rPr>
      <w:color w:val="000080"/>
      <w:u w:val="single"/>
      <w:lang/>
    </w:rPr>
  </w:style>
  <w:style w:type="character" w:customStyle="1" w:styleId="LineNumbering">
    <w:name w:val="Line Numbering"/>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sz w:val="24"/>
      <w:szCs w:val="24"/>
    </w:rPr>
  </w:style>
  <w:style w:type="paragraph" w:customStyle="1" w:styleId="Index">
    <w:name w:val="Index"/>
    <w:basedOn w:val="Normal"/>
    <w:qFormat/>
    <w:pPr>
      <w:suppressLineNumbers/>
    </w:pPr>
    <w:rPr>
      <w:rFonts w:cs="Arial Unicode MS"/>
    </w:rPr>
  </w:style>
  <w:style w:type="paragraph" w:customStyle="1" w:styleId="Formatvorlage1">
    <w:name w:val="Formatvorlage1"/>
    <w:basedOn w:val="Heading2"/>
    <w:link w:val="Formatvorlage1Zchn"/>
    <w:qFormat/>
    <w:rsid w:val="005F35BB"/>
    <w:rPr>
      <w:b/>
      <w:bCs/>
      <w:sz w:val="22"/>
      <w:lang w:val="en-US"/>
    </w:rPr>
  </w:style>
  <w:style w:type="paragraph" w:customStyle="1" w:styleId="Formatvorlage2">
    <w:name w:val="Formatvorlage2"/>
    <w:basedOn w:val="Heading2"/>
    <w:link w:val="Formatvorlage2Zchn"/>
    <w:qFormat/>
    <w:rsid w:val="005F35BB"/>
    <w:rPr>
      <w:b/>
      <w:bCs/>
      <w:sz w:val="28"/>
      <w:szCs w:val="24"/>
      <w:lang w:val="en-US"/>
    </w:rPr>
  </w:style>
  <w:style w:type="paragraph" w:customStyle="1" w:styleId="HeaderandFooter">
    <w:name w:val="Header and Footer"/>
    <w:basedOn w:val="Normal"/>
    <w:qFormat/>
  </w:style>
  <w:style w:type="paragraph" w:styleId="Footer">
    <w:name w:val="footer"/>
    <w:basedOn w:val="Normal"/>
    <w:link w:val="FooterChar"/>
    <w:uiPriority w:val="99"/>
    <w:unhideWhenUsed/>
    <w:rsid w:val="006D3F2E"/>
    <w:pPr>
      <w:suppressLineNumbers/>
      <w:tabs>
        <w:tab w:val="center" w:pos="4536"/>
        <w:tab w:val="right" w:pos="9072"/>
      </w:tabs>
      <w:spacing w:after="0" w:line="240" w:lineRule="auto"/>
    </w:pPr>
  </w:style>
  <w:style w:type="paragraph" w:customStyle="1" w:styleId="Formatvorlage3">
    <w:name w:val="Formatvorlage3"/>
    <w:basedOn w:val="Normal"/>
    <w:link w:val="Formatvorlage3Zchn"/>
    <w:qFormat/>
    <w:rsid w:val="00E571EF"/>
    <w:pPr>
      <w:spacing w:after="241"/>
      <w:ind w:left="1230" w:right="958"/>
    </w:pPr>
    <w:rPr>
      <w:lang w:val="en-US"/>
    </w:rPr>
  </w:style>
  <w:style w:type="paragraph" w:styleId="Header">
    <w:name w:val="header"/>
    <w:basedOn w:val="HeaderandFooter"/>
    <w:pPr>
      <w:suppressLineNumbers/>
    </w:pPr>
  </w:style>
  <w:style w:type="paragraph" w:customStyle="1" w:styleId="FrameContents">
    <w:name w:val="Frame Contents"/>
    <w:basedOn w:val="Normal"/>
    <w:qFormat/>
  </w:style>
  <w:style w:type="table" w:customStyle="1" w:styleId="TableGrid">
    <w:name w:val="TableGrid"/>
    <w:tblPr>
      <w:tblCellMar>
        <w:top w:w="0" w:type="dxa"/>
        <w:left w:w="0" w:type="dxa"/>
        <w:bottom w:w="0" w:type="dxa"/>
        <w:right w:w="0" w:type="dxa"/>
      </w:tblCellMar>
    </w:tblPr>
  </w:style>
  <w:style w:type="character" w:styleId="LineNumber">
    <w:name w:val="line number"/>
    <w:basedOn w:val="DefaultParagraphFont"/>
    <w:uiPriority w:val="99"/>
    <w:semiHidden/>
    <w:unhideWhenUsed/>
    <w:rsid w:val="008356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45575-F1CC-4229-B20C-A85D0B826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815</Words>
  <Characters>4646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Hoffmann, Daniel Thomas</dc:creator>
  <dc:description/>
  <cp:lastModifiedBy>Trupti Sudge</cp:lastModifiedBy>
  <cp:revision>2</cp:revision>
  <dcterms:created xsi:type="dcterms:W3CDTF">2022-10-20T23:25:00Z</dcterms:created>
  <dcterms:modified xsi:type="dcterms:W3CDTF">2022-10-20T23:25:00Z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