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84E83"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Figures</w:t>
      </w:r>
    </w:p>
    <w:p w14:paraId="10E8C2E5"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Figure S1</w:t>
      </w:r>
      <w:r>
        <w:rPr>
          <w:rFonts w:ascii="Times New Roman" w:eastAsia="SimSun" w:hAnsi="Times New Roman"/>
          <w:sz w:val="20"/>
          <w:szCs w:val="20"/>
        </w:rPr>
        <w:t>. Hematoxylin and Eosin staining of cervical tumor tissues.</w:t>
      </w:r>
    </w:p>
    <w:p w14:paraId="4C8993B9" w14:textId="77777777" w:rsidR="00082B37" w:rsidRDefault="00082B37" w:rsidP="00082B37">
      <w:pPr>
        <w:pStyle w:val="NormalWeb"/>
        <w:widowControl/>
        <w:spacing w:before="0" w:after="0" w:line="480" w:lineRule="auto"/>
        <w:jc w:val="both"/>
      </w:pPr>
    </w:p>
    <w:p w14:paraId="54F4F374"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Figure S2</w:t>
      </w:r>
      <w:r>
        <w:rPr>
          <w:rFonts w:ascii="Times New Roman" w:eastAsia="SimSun" w:hAnsi="Times New Roman"/>
          <w:sz w:val="20"/>
          <w:szCs w:val="20"/>
        </w:rPr>
        <w:t xml:space="preserve">. Heatmap of SNV distribution. In the heatmap of SNV distribution, the red color cells represent mutations present in that region, and the blue color cells represent absent. </w:t>
      </w:r>
    </w:p>
    <w:p w14:paraId="542C7B69" w14:textId="77777777" w:rsidR="00082B37" w:rsidRDefault="00082B37" w:rsidP="00082B37">
      <w:pPr>
        <w:pStyle w:val="NormalWeb"/>
        <w:widowControl/>
        <w:spacing w:before="0" w:after="0" w:line="480" w:lineRule="auto"/>
        <w:jc w:val="both"/>
      </w:pPr>
    </w:p>
    <w:p w14:paraId="498755EB"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Figure S3</w:t>
      </w:r>
      <w:r>
        <w:rPr>
          <w:rFonts w:ascii="Times New Roman" w:eastAsia="SimSun" w:hAnsi="Times New Roman"/>
          <w:sz w:val="20"/>
          <w:szCs w:val="20"/>
        </w:rPr>
        <w:t>. The upper histogram shows 25 trunk mutation genes of pa01, and the y-axis represents the number of somatic trunk mutations obtained from multi-region sequencing studies of different cancers. These data were retrieved from the CancerTracer database (Supplementary Table S9). Among those 25 genes, APOB, FBXW7 and FSIP2 have the most trunk mutations in different cancers. The bottom histogram shows the number of shared trunk mutation genes between pa01 and other cancer types. Colorectal Cancer and Esophageal Squamous Cell Carcinoma shared half number of trunk mutation genes of pa01.</w:t>
      </w:r>
    </w:p>
    <w:p w14:paraId="67F7EBFD" w14:textId="77777777" w:rsidR="00082B37" w:rsidRDefault="00082B37" w:rsidP="00082B37">
      <w:pPr>
        <w:pStyle w:val="NormalWeb"/>
        <w:widowControl/>
        <w:spacing w:before="0" w:after="0" w:line="480" w:lineRule="auto"/>
        <w:jc w:val="both"/>
      </w:pPr>
    </w:p>
    <w:p w14:paraId="2D253E06"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Figure S4</w:t>
      </w:r>
      <w:r>
        <w:rPr>
          <w:rFonts w:ascii="Times New Roman" w:eastAsia="SimSun" w:hAnsi="Times New Roman"/>
          <w:sz w:val="20"/>
          <w:szCs w:val="20"/>
        </w:rPr>
        <w:t>. The upper histogram shows 46 trunk mutation genes of pa07, and the y-axis represents the number of somatic trunk mutations obtained from multi-region sequencing studies of different cancers. Those data were retrieved from the CancerTracer database (Supplementary Table S9). Among those 46 genes, PIK3CA and CSMD1 have the most trunk mutations in different cancers. The bottom histogram shows the number of shared trunk mutation genes between pa07 and other cancer types. Colorectal Cancer and Esophageal Squamous Cell Carcinoma shared a third of trunk mutation genes of pa07.</w:t>
      </w:r>
    </w:p>
    <w:p w14:paraId="08C9425A" w14:textId="77777777" w:rsidR="00082B37" w:rsidRDefault="00082B37" w:rsidP="00082B37">
      <w:pPr>
        <w:pStyle w:val="NormalWeb"/>
        <w:widowControl/>
        <w:spacing w:before="0" w:after="0" w:line="480" w:lineRule="auto"/>
        <w:jc w:val="both"/>
      </w:pPr>
    </w:p>
    <w:p w14:paraId="2C0325D4"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Figure S5</w:t>
      </w:r>
      <w:r>
        <w:rPr>
          <w:rFonts w:ascii="Times New Roman" w:eastAsia="SimSun" w:hAnsi="Times New Roman"/>
          <w:sz w:val="20"/>
          <w:szCs w:val="20"/>
        </w:rPr>
        <w:t>. The upper histogram shows 13 trunk mutation genes of pa10, and the y-axis represents the number of somatic trunk mutations obtained from multi-region sequencing studies of different cancers. Those data were retrieved from the CancerTracer database (Supplementary Table S9). Among those 13 genes, FAT1 has the most trunk mutations in different cancers. The bottom histogram shows the number of shared trunk mutation genes between pa10 and other cancer types.</w:t>
      </w:r>
    </w:p>
    <w:p w14:paraId="0FCEF329" w14:textId="77777777" w:rsidR="00082B37" w:rsidRDefault="00082B37" w:rsidP="00082B37">
      <w:pPr>
        <w:pStyle w:val="NormalWeb"/>
        <w:widowControl/>
        <w:spacing w:before="0" w:after="0" w:line="480" w:lineRule="auto"/>
        <w:jc w:val="both"/>
      </w:pPr>
    </w:p>
    <w:p w14:paraId="115327C4"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lastRenderedPageBreak/>
        <w:t>Supplementary Figure S6</w:t>
      </w:r>
      <w:r>
        <w:rPr>
          <w:rFonts w:ascii="Times New Roman" w:eastAsia="SimSun" w:hAnsi="Times New Roman"/>
          <w:sz w:val="20"/>
          <w:szCs w:val="20"/>
        </w:rPr>
        <w:t>. The upper histogram shows 2 trunk mutation genes of pa11, and the y-axis represents the number of somatic trunk mutations obtained from multi-region sequencing studies of different cancers. Those data were retrieved from the CancerTracer database (Supplementary Table S9). The bottom histogram shows the number of shared trunk mutation genes between pa11 and other cancer types. Glioblastoma and Esophageal Squamous Cell Carcinoma shared trunk mutation genes with pa07 (ANKRD36 and ANKRD36C).</w:t>
      </w:r>
    </w:p>
    <w:p w14:paraId="3E2942B3" w14:textId="77777777" w:rsidR="00082B37" w:rsidRDefault="00082B37" w:rsidP="00082B37">
      <w:pPr>
        <w:pStyle w:val="NormalWeb"/>
        <w:widowControl/>
        <w:spacing w:before="0" w:after="0" w:line="480" w:lineRule="auto"/>
        <w:jc w:val="both"/>
      </w:pPr>
    </w:p>
    <w:p w14:paraId="4FF0A538"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Figure S7</w:t>
      </w:r>
      <w:r>
        <w:rPr>
          <w:rFonts w:ascii="Times New Roman" w:eastAsia="SimSun" w:hAnsi="Times New Roman"/>
          <w:sz w:val="20"/>
          <w:szCs w:val="20"/>
        </w:rPr>
        <w:t xml:space="preserve">. The upper histogram shows 5 trunk mutation genes of pa14, and the y-axis represents the number of somatic trunk mutations obtained from multi-region sequencing studies of different cancers. Those data were retrieved from the CancerTracer database (Supplementary Table S9). The bottom histogram shows the number of shared trunk mutation genes between pa14 and other cancer types. </w:t>
      </w:r>
    </w:p>
    <w:p w14:paraId="5DFF272A" w14:textId="77777777" w:rsidR="00082B37" w:rsidRDefault="00082B37" w:rsidP="00082B37">
      <w:pPr>
        <w:pStyle w:val="NormalWeb"/>
        <w:widowControl/>
        <w:spacing w:before="0" w:after="0" w:line="480" w:lineRule="auto"/>
        <w:jc w:val="both"/>
      </w:pPr>
    </w:p>
    <w:p w14:paraId="208E5D96"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Figure S8</w:t>
      </w:r>
      <w:r>
        <w:rPr>
          <w:rFonts w:ascii="Times New Roman" w:eastAsia="SimSun" w:hAnsi="Times New Roman"/>
          <w:sz w:val="20"/>
          <w:szCs w:val="20"/>
        </w:rPr>
        <w:t xml:space="preserve">. Circos plot of CNA in multi-regions of patient pa07. Each circle represents one region of the tumor, the red color region represents amplification and the blue color region represents deletion. The outer DNA numbering is given in millions of bases. Driver genes shared by four regions are labeled. </w:t>
      </w:r>
    </w:p>
    <w:p w14:paraId="10A9097A" w14:textId="77777777" w:rsidR="00082B37" w:rsidRDefault="00082B37" w:rsidP="00082B37">
      <w:pPr>
        <w:pStyle w:val="NormalWeb"/>
        <w:widowControl/>
        <w:spacing w:before="0" w:after="0" w:line="480" w:lineRule="auto"/>
        <w:jc w:val="both"/>
      </w:pPr>
    </w:p>
    <w:p w14:paraId="3FDD59D3"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Figure S9</w:t>
      </w:r>
      <w:r>
        <w:rPr>
          <w:rFonts w:ascii="Times New Roman" w:eastAsia="SimSun" w:hAnsi="Times New Roman"/>
          <w:sz w:val="20"/>
          <w:szCs w:val="20"/>
        </w:rPr>
        <w:t xml:space="preserve">. Circos plot of CNA in multiregions of patient pa10. Each circle represents one region of the tumor, the red color region represents amplification and the blue color region represents deletion. The outer DNA numbering is given in millions of bases. Driver genes shared by four regions are labeled. </w:t>
      </w:r>
    </w:p>
    <w:p w14:paraId="29CBB897" w14:textId="77777777" w:rsidR="00082B37" w:rsidRDefault="00082B37" w:rsidP="00082B37">
      <w:pPr>
        <w:pStyle w:val="NormalWeb"/>
        <w:widowControl/>
        <w:spacing w:before="0" w:after="0" w:line="480" w:lineRule="auto"/>
        <w:jc w:val="both"/>
      </w:pPr>
    </w:p>
    <w:p w14:paraId="07753088"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Figure S10</w:t>
      </w:r>
      <w:r>
        <w:rPr>
          <w:rFonts w:ascii="Times New Roman" w:eastAsia="SimSun" w:hAnsi="Times New Roman"/>
          <w:sz w:val="20"/>
          <w:szCs w:val="20"/>
        </w:rPr>
        <w:t xml:space="preserve">. Circos plot of CNA in multiregions of patient pa11. Each circle represents one region of the tumor, the red color region represents amplification and the blue color region represents deletion. The outer DNA numbering is given in millions of bases. </w:t>
      </w:r>
    </w:p>
    <w:p w14:paraId="35D3834F" w14:textId="77777777" w:rsidR="00082B37" w:rsidRDefault="00082B37" w:rsidP="00082B37">
      <w:pPr>
        <w:pStyle w:val="NormalWeb"/>
        <w:widowControl/>
        <w:spacing w:before="0" w:after="0" w:line="480" w:lineRule="auto"/>
        <w:jc w:val="both"/>
      </w:pPr>
    </w:p>
    <w:p w14:paraId="0E61467E"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Figure S11</w:t>
      </w:r>
      <w:r>
        <w:rPr>
          <w:rFonts w:ascii="Times New Roman" w:eastAsia="SimSun" w:hAnsi="Times New Roman"/>
          <w:sz w:val="20"/>
          <w:szCs w:val="20"/>
        </w:rPr>
        <w:t xml:space="preserve">. Circos plot of CNA in multiregions of patient pa14. Each circle represents one region of the tumor, the red color region represents amplification and the blue color region represents deletion. The outer DNA numbering is given in millions of bases. </w:t>
      </w:r>
    </w:p>
    <w:p w14:paraId="44DA0C9E" w14:textId="77777777" w:rsidR="00082B37" w:rsidRDefault="00082B37" w:rsidP="00082B37">
      <w:pPr>
        <w:pStyle w:val="NormalWeb"/>
        <w:widowControl/>
        <w:spacing w:before="0" w:after="0" w:line="480" w:lineRule="auto"/>
        <w:jc w:val="both"/>
      </w:pPr>
    </w:p>
    <w:p w14:paraId="7C22CFC1"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Figure S12</w:t>
      </w:r>
      <w:r>
        <w:rPr>
          <w:rFonts w:ascii="Times New Roman" w:eastAsia="SimSun" w:hAnsi="Times New Roman"/>
          <w:sz w:val="20"/>
          <w:szCs w:val="20"/>
        </w:rPr>
        <w:t>. Patients pa01, pa07 and pa14 showed an increase of signature 6 and 15(DNA mismatch repair) in branch and private mutation signatures. Surprisingly, pa10 and pa11 showed only two different kinds of signatures. Signature 4 is likely due to tobacco mutagens and has been found in several cancer types. Signature 20 is also identified to be associated with defective DNA mismatch repair. The gray color means unknown.</w:t>
      </w:r>
    </w:p>
    <w:p w14:paraId="5E890E75" w14:textId="77777777" w:rsidR="00082B37" w:rsidRDefault="00082B37" w:rsidP="00082B37">
      <w:pPr>
        <w:pStyle w:val="NormalWeb"/>
        <w:widowControl/>
        <w:spacing w:before="0" w:after="0" w:line="480" w:lineRule="auto"/>
        <w:jc w:val="both"/>
      </w:pPr>
    </w:p>
    <w:p w14:paraId="4AFC7558" w14:textId="77777777" w:rsidR="00082B37" w:rsidRDefault="00082B37" w:rsidP="00082B37">
      <w:pPr>
        <w:pStyle w:val="NormalWeb"/>
        <w:widowControl/>
        <w:spacing w:before="0" w:after="0" w:line="480" w:lineRule="auto"/>
        <w:jc w:val="both"/>
      </w:pPr>
    </w:p>
    <w:p w14:paraId="522E9ED0"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Tables</w:t>
      </w:r>
    </w:p>
    <w:p w14:paraId="618F7657" w14:textId="77777777" w:rsidR="00082B37" w:rsidRDefault="00082B37" w:rsidP="00082B37">
      <w:pPr>
        <w:pStyle w:val="NormalWeb"/>
        <w:widowControl/>
        <w:spacing w:before="0" w:after="0" w:line="480" w:lineRule="auto"/>
        <w:jc w:val="both"/>
      </w:pPr>
    </w:p>
    <w:p w14:paraId="57BBCD35"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 S1.</w:t>
      </w:r>
      <w:r>
        <w:rPr>
          <w:rFonts w:ascii="Times New Roman" w:eastAsia="SimSun" w:hAnsi="Times New Roman"/>
          <w:sz w:val="20"/>
          <w:szCs w:val="20"/>
        </w:rPr>
        <w:t xml:space="preserve">  Patient cohort</w:t>
      </w:r>
    </w:p>
    <w:p w14:paraId="5ABC4FC8" w14:textId="77777777" w:rsidR="00082B37" w:rsidRDefault="00082B37" w:rsidP="00082B37">
      <w:pPr>
        <w:pStyle w:val="NormalWeb"/>
        <w:widowControl/>
        <w:spacing w:before="0" w:after="0" w:line="480" w:lineRule="auto"/>
        <w:jc w:val="both"/>
      </w:pPr>
    </w:p>
    <w:p w14:paraId="054D8A38"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 S2.</w:t>
      </w:r>
      <w:r>
        <w:rPr>
          <w:rFonts w:ascii="Times New Roman" w:eastAsia="SimSun" w:hAnsi="Times New Roman"/>
          <w:sz w:val="20"/>
          <w:szCs w:val="20"/>
        </w:rPr>
        <w:t xml:space="preserve"> Summary of sequencing data</w:t>
      </w:r>
    </w:p>
    <w:p w14:paraId="0ABC42AA" w14:textId="77777777" w:rsidR="00082B37" w:rsidRDefault="00082B37" w:rsidP="00082B37">
      <w:pPr>
        <w:pStyle w:val="NormalWeb"/>
        <w:widowControl/>
        <w:spacing w:before="0" w:after="0" w:line="480" w:lineRule="auto"/>
        <w:jc w:val="both"/>
      </w:pPr>
    </w:p>
    <w:p w14:paraId="73562FB3"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 S3.</w:t>
      </w:r>
      <w:r>
        <w:rPr>
          <w:rFonts w:ascii="Times New Roman" w:eastAsia="SimSun" w:hAnsi="Times New Roman"/>
          <w:sz w:val="20"/>
          <w:szCs w:val="20"/>
        </w:rPr>
        <w:t xml:space="preserve">  Tumor purity estimation</w:t>
      </w:r>
    </w:p>
    <w:p w14:paraId="4C70CBDB" w14:textId="77777777" w:rsidR="00082B37" w:rsidRDefault="00082B37" w:rsidP="00082B37">
      <w:pPr>
        <w:pStyle w:val="NormalWeb"/>
        <w:widowControl/>
        <w:spacing w:before="0" w:after="0" w:line="480" w:lineRule="auto"/>
        <w:jc w:val="both"/>
      </w:pPr>
    </w:p>
    <w:p w14:paraId="1E4964B5"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 S4.</w:t>
      </w:r>
      <w:r>
        <w:rPr>
          <w:rFonts w:ascii="Times New Roman" w:eastAsia="SimSun" w:hAnsi="Times New Roman"/>
          <w:sz w:val="20"/>
          <w:szCs w:val="20"/>
        </w:rPr>
        <w:t xml:space="preserve"> Somatic mutations distribution of patient 01</w:t>
      </w:r>
    </w:p>
    <w:p w14:paraId="00A9268F" w14:textId="77777777" w:rsidR="00082B37" w:rsidRDefault="00082B37" w:rsidP="00082B37">
      <w:pPr>
        <w:pStyle w:val="NormalWeb"/>
        <w:widowControl/>
        <w:spacing w:before="0" w:after="0" w:line="480" w:lineRule="auto"/>
        <w:jc w:val="both"/>
      </w:pPr>
    </w:p>
    <w:p w14:paraId="7438F544"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 S5.</w:t>
      </w:r>
      <w:r>
        <w:rPr>
          <w:rFonts w:ascii="Times New Roman" w:eastAsia="SimSun" w:hAnsi="Times New Roman"/>
          <w:sz w:val="20"/>
          <w:szCs w:val="20"/>
        </w:rPr>
        <w:t xml:space="preserve"> Somatic mutations distribution of patient 07</w:t>
      </w:r>
    </w:p>
    <w:p w14:paraId="4826302F" w14:textId="77777777" w:rsidR="00082B37" w:rsidRDefault="00082B37" w:rsidP="00082B37">
      <w:pPr>
        <w:pStyle w:val="NormalWeb"/>
        <w:widowControl/>
        <w:spacing w:before="0" w:after="0" w:line="480" w:lineRule="auto"/>
        <w:jc w:val="both"/>
      </w:pPr>
    </w:p>
    <w:p w14:paraId="7C135177"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 S6.</w:t>
      </w:r>
      <w:r>
        <w:rPr>
          <w:rFonts w:ascii="Times New Roman" w:eastAsia="SimSun" w:hAnsi="Times New Roman"/>
          <w:sz w:val="20"/>
          <w:szCs w:val="20"/>
        </w:rPr>
        <w:t xml:space="preserve"> Somatic mutations distribution of patient 10</w:t>
      </w:r>
    </w:p>
    <w:p w14:paraId="0C292CA2" w14:textId="77777777" w:rsidR="00082B37" w:rsidRDefault="00082B37" w:rsidP="00082B37">
      <w:pPr>
        <w:pStyle w:val="NormalWeb"/>
        <w:widowControl/>
        <w:spacing w:before="0" w:after="0" w:line="480" w:lineRule="auto"/>
        <w:jc w:val="both"/>
      </w:pPr>
    </w:p>
    <w:p w14:paraId="22A1F3A2"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 S7.</w:t>
      </w:r>
      <w:r>
        <w:rPr>
          <w:rFonts w:ascii="Times New Roman" w:eastAsia="SimSun" w:hAnsi="Times New Roman"/>
          <w:sz w:val="20"/>
          <w:szCs w:val="20"/>
        </w:rPr>
        <w:t xml:space="preserve"> Somatic mutations distribution of patient 11</w:t>
      </w:r>
    </w:p>
    <w:p w14:paraId="3A0C4AD8" w14:textId="77777777" w:rsidR="00082B37" w:rsidRDefault="00082B37" w:rsidP="00082B37">
      <w:pPr>
        <w:pStyle w:val="NormalWeb"/>
        <w:widowControl/>
        <w:spacing w:before="0" w:after="0" w:line="480" w:lineRule="auto"/>
        <w:jc w:val="both"/>
      </w:pPr>
    </w:p>
    <w:p w14:paraId="04A014C4"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 S8.</w:t>
      </w:r>
      <w:r>
        <w:rPr>
          <w:rFonts w:ascii="Times New Roman" w:eastAsia="SimSun" w:hAnsi="Times New Roman"/>
          <w:sz w:val="20"/>
          <w:szCs w:val="20"/>
        </w:rPr>
        <w:t xml:space="preserve"> Somatic mutations distribution of patient 14</w:t>
      </w:r>
    </w:p>
    <w:p w14:paraId="0C4963F2" w14:textId="77777777" w:rsidR="00082B37" w:rsidRDefault="00082B37" w:rsidP="00082B37">
      <w:pPr>
        <w:pStyle w:val="NormalWeb"/>
        <w:widowControl/>
        <w:spacing w:before="0" w:after="0" w:line="480" w:lineRule="auto"/>
        <w:jc w:val="both"/>
      </w:pPr>
    </w:p>
    <w:p w14:paraId="768BEBFD"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 S9.</w:t>
      </w:r>
      <w:r>
        <w:rPr>
          <w:rFonts w:ascii="Times New Roman" w:eastAsia="SimSun" w:hAnsi="Times New Roman"/>
          <w:sz w:val="20"/>
          <w:szCs w:val="20"/>
        </w:rPr>
        <w:t xml:space="preserve"> Most trunk mutation genes of each patient also mutated at trunk mutation level in other cancer types (data obtained from CancerTracer).</w:t>
      </w:r>
    </w:p>
    <w:p w14:paraId="70E94823" w14:textId="77777777" w:rsidR="00082B37" w:rsidRDefault="00082B37" w:rsidP="00082B37">
      <w:pPr>
        <w:pStyle w:val="NormalWeb"/>
        <w:widowControl/>
        <w:spacing w:before="0" w:after="0" w:line="480" w:lineRule="auto"/>
        <w:jc w:val="both"/>
      </w:pPr>
    </w:p>
    <w:p w14:paraId="4081510A"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 S10.</w:t>
      </w:r>
      <w:r>
        <w:rPr>
          <w:rFonts w:ascii="Times New Roman" w:eastAsia="SimSun" w:hAnsi="Times New Roman"/>
          <w:sz w:val="20"/>
          <w:szCs w:val="20"/>
        </w:rPr>
        <w:t xml:space="preserve"> A part of amino acid change of each trunk mutation in this study also existed in other cancer types (data obtained from cBioPortal).</w:t>
      </w:r>
    </w:p>
    <w:p w14:paraId="3C0EBCE2" w14:textId="77777777" w:rsidR="00082B37" w:rsidRDefault="00082B37" w:rsidP="00082B37">
      <w:pPr>
        <w:pStyle w:val="NormalWeb"/>
        <w:widowControl/>
        <w:spacing w:before="0" w:after="0" w:line="480" w:lineRule="auto"/>
        <w:jc w:val="both"/>
      </w:pPr>
    </w:p>
    <w:p w14:paraId="1C70F22F"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 S11.</w:t>
      </w:r>
      <w:r>
        <w:rPr>
          <w:rFonts w:ascii="Times New Roman" w:eastAsia="SimSun" w:hAnsi="Times New Roman"/>
          <w:sz w:val="20"/>
          <w:szCs w:val="20"/>
        </w:rPr>
        <w:t xml:space="preserve"> Summary of trunk CNA genes (occurred in 4 regions)</w:t>
      </w:r>
    </w:p>
    <w:p w14:paraId="3407C4E0" w14:textId="77777777" w:rsidR="00082B37" w:rsidRDefault="00082B37" w:rsidP="00082B37">
      <w:pPr>
        <w:pStyle w:val="NormalWeb"/>
        <w:widowControl/>
        <w:spacing w:before="0" w:after="0" w:line="480" w:lineRule="auto"/>
        <w:jc w:val="both"/>
      </w:pPr>
    </w:p>
    <w:p w14:paraId="29188A03"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 S12.</w:t>
      </w:r>
      <w:r>
        <w:rPr>
          <w:rFonts w:ascii="Times New Roman" w:eastAsia="SimSun" w:hAnsi="Times New Roman"/>
          <w:sz w:val="20"/>
          <w:szCs w:val="20"/>
        </w:rPr>
        <w:t xml:space="preserve"> Summary of HPV integration and correlation analysis</w:t>
      </w:r>
    </w:p>
    <w:p w14:paraId="2D735741" w14:textId="77777777" w:rsidR="00082B37" w:rsidRDefault="00082B37" w:rsidP="00082B37">
      <w:pPr>
        <w:pStyle w:val="NormalWeb"/>
        <w:widowControl/>
        <w:spacing w:before="0" w:after="0" w:line="480" w:lineRule="auto"/>
        <w:jc w:val="both"/>
      </w:pPr>
    </w:p>
    <w:p w14:paraId="3CE71B00" w14:textId="77777777" w:rsidR="00082B37" w:rsidRDefault="00082B37" w:rsidP="00082B37">
      <w:pPr>
        <w:pStyle w:val="NormalWeb"/>
        <w:widowControl/>
        <w:spacing w:before="0" w:after="0" w:line="480" w:lineRule="auto"/>
        <w:jc w:val="both"/>
      </w:pPr>
      <w:r>
        <w:rPr>
          <w:rFonts w:ascii="Times New Roman" w:eastAsia="SimSun" w:hAnsi="Times New Roman"/>
          <w:b/>
          <w:bCs/>
          <w:sz w:val="20"/>
          <w:szCs w:val="20"/>
        </w:rPr>
        <w:t>Supplementary Table S13.</w:t>
      </w:r>
      <w:r>
        <w:rPr>
          <w:rFonts w:ascii="Times New Roman" w:eastAsia="SimSun" w:hAnsi="Times New Roman"/>
          <w:sz w:val="20"/>
          <w:szCs w:val="20"/>
        </w:rPr>
        <w:t xml:space="preserve"> Genes integrated by HPV integrations detected from HPVDetector</w:t>
      </w:r>
    </w:p>
    <w:p w14:paraId="06C8C307" w14:textId="77777777" w:rsidR="00E1715D" w:rsidRDefault="00082B37"/>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B37"/>
    <w:rsid w:val="00082B37"/>
    <w:rsid w:val="001942F0"/>
    <w:rsid w:val="002C0857"/>
    <w:rsid w:val="003F01F8"/>
    <w:rsid w:val="00884728"/>
    <w:rsid w:val="008E2845"/>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D379D"/>
  <w15:chartTrackingRefBased/>
  <w15:docId w15:val="{C46AA0DC-1BA7-4D8D-AE0B-377027D34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qFormat/>
    <w:rsid w:val="00082B37"/>
    <w:pPr>
      <w:widowControl w:val="0"/>
      <w:suppressAutoHyphens/>
      <w:spacing w:before="280" w:after="280" w:line="240" w:lineRule="auto"/>
    </w:pPr>
    <w:rPr>
      <w:rFonts w:ascii="DengXian" w:eastAsia="DengXian" w:hAnsi="DengXian" w:cs="Times New Roman"/>
      <w:color w:val="00000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843</Words>
  <Characters>4806</Characters>
  <Application>Microsoft Office Word</Application>
  <DocSecurity>0</DocSecurity>
  <Lines>40</Lines>
  <Paragraphs>11</Paragraphs>
  <ScaleCrop>false</ScaleCrop>
  <Company>Springer Nature</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2022-10-19T10:02:00Z</dcterms:created>
  <dcterms:modified xsi:type="dcterms:W3CDTF">2022-10-19T10:03:00Z</dcterms:modified>
</cp:coreProperties>
</file>