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4D26" w14:textId="6CEB0AB4" w:rsidR="0043483D" w:rsidRPr="002F0D1B" w:rsidRDefault="005734C1" w:rsidP="009F3711">
      <w:pPr>
        <w:jc w:val="center"/>
        <w:rPr>
          <w:b/>
          <w:bCs/>
          <w:sz w:val="28"/>
          <w:szCs w:val="28"/>
        </w:rPr>
      </w:pPr>
      <w:r w:rsidRPr="002F0D1B">
        <w:rPr>
          <w:b/>
          <w:bCs/>
          <w:sz w:val="28"/>
          <w:szCs w:val="28"/>
        </w:rPr>
        <w:t>Supplementary Information</w:t>
      </w:r>
    </w:p>
    <w:p w14:paraId="23A74695" w14:textId="5D127125" w:rsidR="005734C1" w:rsidRDefault="005734C1" w:rsidP="009F3711">
      <w:pPr>
        <w:jc w:val="center"/>
        <w:rPr>
          <w:b/>
          <w:bCs/>
          <w:sz w:val="24"/>
          <w:szCs w:val="24"/>
        </w:rPr>
      </w:pPr>
    </w:p>
    <w:p w14:paraId="278B7248" w14:textId="6BDD4390" w:rsidR="00F32424" w:rsidRDefault="00F32424" w:rsidP="009F3711">
      <w:pPr>
        <w:jc w:val="center"/>
        <w:rPr>
          <w:b/>
          <w:bCs/>
          <w:sz w:val="24"/>
          <w:szCs w:val="24"/>
        </w:rPr>
      </w:pPr>
    </w:p>
    <w:p w14:paraId="2275EAC5" w14:textId="77777777" w:rsidR="00F32424" w:rsidRPr="002F0D1B" w:rsidRDefault="00F32424" w:rsidP="009F3711">
      <w:pPr>
        <w:jc w:val="center"/>
        <w:rPr>
          <w:b/>
          <w:bCs/>
          <w:sz w:val="24"/>
          <w:szCs w:val="24"/>
        </w:rPr>
      </w:pPr>
    </w:p>
    <w:p w14:paraId="62EFB332" w14:textId="1778BF27" w:rsidR="006948A2" w:rsidRDefault="006948A2" w:rsidP="006948A2">
      <w:pPr>
        <w:jc w:val="center"/>
        <w:rPr>
          <w:b/>
          <w:bCs/>
          <w:sz w:val="28"/>
          <w:szCs w:val="28"/>
        </w:rPr>
      </w:pPr>
      <w:bookmarkStart w:id="0" w:name="_Hlk98153134"/>
      <w:bookmarkEnd w:id="0"/>
      <w:r w:rsidRPr="006948A2">
        <w:rPr>
          <w:b/>
          <w:bCs/>
          <w:sz w:val="28"/>
          <w:szCs w:val="28"/>
        </w:rPr>
        <w:t>Size matters - Amplified spontaneous emission limited by accumulation of dark excitons in thin quasi-2D perovskites</w:t>
      </w:r>
    </w:p>
    <w:p w14:paraId="0E4A0A12" w14:textId="77777777" w:rsidR="000F6D2F" w:rsidRPr="006948A2" w:rsidRDefault="000F6D2F" w:rsidP="006948A2">
      <w:pPr>
        <w:jc w:val="center"/>
        <w:rPr>
          <w:b/>
          <w:bCs/>
          <w:sz w:val="28"/>
          <w:szCs w:val="28"/>
        </w:rPr>
      </w:pPr>
    </w:p>
    <w:p w14:paraId="5F059AB3" w14:textId="6EAF73B5" w:rsidR="000F6D2F" w:rsidRPr="003F1F5D" w:rsidRDefault="000F6D2F" w:rsidP="000F6D2F">
      <w:pPr>
        <w:rPr>
          <w:b/>
          <w:bCs/>
          <w:sz w:val="24"/>
          <w:szCs w:val="24"/>
          <w:lang w:val="nl-BE"/>
        </w:rPr>
      </w:pPr>
      <w:r w:rsidRPr="003F1F5D">
        <w:rPr>
          <w:b/>
          <w:bCs/>
          <w:sz w:val="24"/>
          <w:szCs w:val="24"/>
          <w:lang w:val="nl-BE"/>
        </w:rPr>
        <w:t>Isabella Wagner</w:t>
      </w:r>
      <w:r w:rsidRPr="003F1F5D">
        <w:rPr>
          <w:b/>
          <w:bCs/>
          <w:sz w:val="24"/>
          <w:szCs w:val="24"/>
          <w:vertAlign w:val="superscript"/>
          <w:lang w:val="nl-BE"/>
        </w:rPr>
        <w:t>1,2</w:t>
      </w:r>
      <w:r w:rsidRPr="003F1F5D">
        <w:rPr>
          <w:b/>
          <w:bCs/>
          <w:sz w:val="24"/>
          <w:szCs w:val="24"/>
          <w:lang w:val="nl-BE"/>
        </w:rPr>
        <w:t>, Wouter T.M. Van Gompel</w:t>
      </w:r>
      <w:r>
        <w:rPr>
          <w:b/>
          <w:bCs/>
          <w:sz w:val="24"/>
          <w:szCs w:val="24"/>
          <w:vertAlign w:val="superscript"/>
          <w:lang w:val="nl-BE"/>
        </w:rPr>
        <w:t>3</w:t>
      </w:r>
      <w:r w:rsidRPr="003F1F5D">
        <w:rPr>
          <w:b/>
          <w:bCs/>
          <w:sz w:val="24"/>
          <w:szCs w:val="24"/>
          <w:lang w:val="nl-BE"/>
        </w:rPr>
        <w:t>, Laurence Lutsen</w:t>
      </w:r>
      <w:r>
        <w:rPr>
          <w:b/>
          <w:bCs/>
          <w:sz w:val="24"/>
          <w:szCs w:val="24"/>
          <w:vertAlign w:val="superscript"/>
          <w:lang w:val="nl-BE"/>
        </w:rPr>
        <w:t>3,4</w:t>
      </w:r>
      <w:r w:rsidRPr="003F1F5D">
        <w:rPr>
          <w:b/>
          <w:bCs/>
          <w:sz w:val="24"/>
          <w:szCs w:val="24"/>
          <w:lang w:val="nl-BE"/>
        </w:rPr>
        <w:t>, Dirk Vanderzande</w:t>
      </w:r>
      <w:r>
        <w:rPr>
          <w:b/>
          <w:bCs/>
          <w:sz w:val="24"/>
          <w:szCs w:val="24"/>
          <w:vertAlign w:val="superscript"/>
          <w:lang w:val="nl-BE"/>
        </w:rPr>
        <w:t>3,4</w:t>
      </w:r>
      <w:r w:rsidRPr="003F1F5D">
        <w:rPr>
          <w:b/>
          <w:bCs/>
          <w:sz w:val="24"/>
          <w:szCs w:val="24"/>
          <w:lang w:val="nl-BE"/>
        </w:rPr>
        <w:t xml:space="preserve">, </w:t>
      </w:r>
      <w:r w:rsidRPr="009E202E">
        <w:rPr>
          <w:b/>
          <w:bCs/>
          <w:sz w:val="24"/>
          <w:szCs w:val="24"/>
          <w:lang w:val="en-US"/>
        </w:rPr>
        <w:t>Sheng Hsiung Chang</w:t>
      </w:r>
      <w:r>
        <w:rPr>
          <w:b/>
          <w:bCs/>
          <w:sz w:val="24"/>
          <w:szCs w:val="24"/>
          <w:vertAlign w:val="superscript"/>
          <w:lang w:val="en-US"/>
        </w:rPr>
        <w:t>5</w:t>
      </w:r>
      <w:r>
        <w:rPr>
          <w:b/>
          <w:bCs/>
          <w:sz w:val="24"/>
          <w:szCs w:val="24"/>
          <w:lang w:val="nl-BE"/>
        </w:rPr>
        <w:t>, P</w:t>
      </w:r>
      <w:r w:rsidRPr="003F1F5D">
        <w:rPr>
          <w:b/>
          <w:bCs/>
          <w:sz w:val="24"/>
          <w:szCs w:val="24"/>
          <w:lang w:val="nl-BE"/>
        </w:rPr>
        <w:t>ieter Geiregat</w:t>
      </w:r>
      <w:r>
        <w:rPr>
          <w:b/>
          <w:bCs/>
          <w:sz w:val="24"/>
          <w:szCs w:val="24"/>
          <w:vertAlign w:val="superscript"/>
          <w:lang w:val="nl-BE"/>
        </w:rPr>
        <w:t>6,7</w:t>
      </w:r>
      <w:r w:rsidRPr="003F1F5D">
        <w:rPr>
          <w:b/>
          <w:bCs/>
          <w:sz w:val="24"/>
          <w:szCs w:val="24"/>
          <w:lang w:val="nl-BE"/>
        </w:rPr>
        <w:t>, Justin M. Hodgkiss</w:t>
      </w:r>
      <w:r w:rsidRPr="003F1F5D">
        <w:rPr>
          <w:b/>
          <w:bCs/>
          <w:sz w:val="24"/>
          <w:szCs w:val="24"/>
          <w:vertAlign w:val="superscript"/>
          <w:lang w:val="nl-BE"/>
        </w:rPr>
        <w:t>1,2</w:t>
      </w:r>
      <w:r w:rsidRPr="003F1F5D">
        <w:rPr>
          <w:b/>
          <w:bCs/>
          <w:sz w:val="24"/>
          <w:szCs w:val="24"/>
          <w:lang w:val="nl-BE"/>
        </w:rPr>
        <w:t>* and Kai Chen</w:t>
      </w:r>
      <w:r w:rsidRPr="003F1F5D">
        <w:rPr>
          <w:b/>
          <w:bCs/>
          <w:sz w:val="24"/>
          <w:szCs w:val="24"/>
          <w:vertAlign w:val="superscript"/>
          <w:lang w:val="nl-BE"/>
        </w:rPr>
        <w:t>2,</w:t>
      </w:r>
      <w:r w:rsidR="00EE237C">
        <w:rPr>
          <w:b/>
          <w:bCs/>
          <w:sz w:val="24"/>
          <w:szCs w:val="24"/>
          <w:vertAlign w:val="superscript"/>
          <w:lang w:val="nl-BE"/>
        </w:rPr>
        <w:t>8,9</w:t>
      </w:r>
      <w:r w:rsidRPr="003F1F5D">
        <w:rPr>
          <w:b/>
          <w:bCs/>
          <w:sz w:val="24"/>
          <w:szCs w:val="24"/>
          <w:lang w:val="nl-BE"/>
        </w:rPr>
        <w:t>*</w:t>
      </w:r>
    </w:p>
    <w:p w14:paraId="08E7A3F0" w14:textId="77777777" w:rsidR="00B33F29" w:rsidRPr="004B3509" w:rsidRDefault="00B33F29" w:rsidP="00655E1D">
      <w:pPr>
        <w:rPr>
          <w:b/>
          <w:bCs/>
          <w:sz w:val="24"/>
          <w:szCs w:val="24"/>
          <w:lang w:val="en-US"/>
        </w:rPr>
      </w:pPr>
    </w:p>
    <w:p w14:paraId="41D5EB12" w14:textId="0EF5849C" w:rsidR="00B37AB2" w:rsidRPr="00B33F29" w:rsidRDefault="00B37AB2" w:rsidP="00B37AB2">
      <w:pPr>
        <w:rPr>
          <w:lang w:val="en-US"/>
        </w:rPr>
      </w:pPr>
      <w:r w:rsidRPr="00B33F29">
        <w:rPr>
          <w:vertAlign w:val="superscript"/>
          <w:lang w:val="en-US"/>
        </w:rPr>
        <w:t>1</w:t>
      </w:r>
      <w:r w:rsidRPr="00B33F29">
        <w:rPr>
          <w:lang w:val="en-US"/>
        </w:rPr>
        <w:t xml:space="preserve"> School of Chemical and Physical Sciences, Victoria University of Wellington,</w:t>
      </w:r>
      <w:r w:rsidR="00C00D83">
        <w:rPr>
          <w:lang w:val="en-US"/>
        </w:rPr>
        <w:t xml:space="preserve"> </w:t>
      </w:r>
      <w:r>
        <w:rPr>
          <w:lang w:val="en-US"/>
        </w:rPr>
        <w:t>6012,</w:t>
      </w:r>
      <w:r w:rsidRPr="00B33F29">
        <w:rPr>
          <w:lang w:val="en-US"/>
        </w:rPr>
        <w:t xml:space="preserve"> Wellington, New Zealand.</w:t>
      </w:r>
    </w:p>
    <w:p w14:paraId="46A7E5AF" w14:textId="77777777" w:rsidR="00B37AB2" w:rsidRDefault="00B37AB2" w:rsidP="00B37AB2">
      <w:pPr>
        <w:rPr>
          <w:lang w:val="en-US"/>
        </w:rPr>
      </w:pPr>
      <w:r w:rsidRPr="00B33F29">
        <w:rPr>
          <w:vertAlign w:val="superscript"/>
          <w:lang w:val="en-US"/>
        </w:rPr>
        <w:t>2</w:t>
      </w:r>
      <w:r w:rsidRPr="00B33F29">
        <w:rPr>
          <w:lang w:val="en-US"/>
        </w:rPr>
        <w:t xml:space="preserve"> MacDiarmid Institute for Advanced Materials and Nanotechnology, New Zealand.</w:t>
      </w:r>
    </w:p>
    <w:p w14:paraId="32234F34" w14:textId="77777777" w:rsidR="00B37AB2" w:rsidRPr="00B33F29" w:rsidRDefault="00B37AB2" w:rsidP="00B37AB2">
      <w:pPr>
        <w:rPr>
          <w:lang w:val="en-US"/>
        </w:rPr>
      </w:pPr>
      <w:r>
        <w:rPr>
          <w:vertAlign w:val="superscript"/>
          <w:lang w:val="en-US"/>
        </w:rPr>
        <w:t>3</w:t>
      </w:r>
      <w:r w:rsidRPr="00B33F29">
        <w:rPr>
          <w:lang w:val="en-US"/>
        </w:rPr>
        <w:t xml:space="preserve"> Hybrid Materials Design (HyMaD), Institute for Materials Research (IMO), Hasselt University, </w:t>
      </w:r>
      <w:r>
        <w:rPr>
          <w:lang w:val="en-US"/>
        </w:rPr>
        <w:t xml:space="preserve">3500, </w:t>
      </w:r>
      <w:r w:rsidRPr="00B33F29">
        <w:rPr>
          <w:lang w:val="en-US"/>
        </w:rPr>
        <w:t>Hasselt, Belgium</w:t>
      </w:r>
    </w:p>
    <w:p w14:paraId="0FA2558F" w14:textId="77777777" w:rsidR="00B37AB2" w:rsidRPr="00526728" w:rsidRDefault="00B37AB2" w:rsidP="00B37AB2">
      <w:pPr>
        <w:rPr>
          <w:lang w:val="en-US"/>
        </w:rPr>
      </w:pPr>
      <w:r>
        <w:rPr>
          <w:vertAlign w:val="superscript"/>
          <w:lang w:val="en-US"/>
        </w:rPr>
        <w:t>4</w:t>
      </w:r>
      <w:r w:rsidRPr="00526728">
        <w:rPr>
          <w:lang w:val="en-US"/>
        </w:rPr>
        <w:t xml:space="preserve"> Associated Laboratory IMOMEC, Imec, Wetenschapspark 1, 3590</w:t>
      </w:r>
      <w:r>
        <w:rPr>
          <w:lang w:val="en-US"/>
        </w:rPr>
        <w:t>,</w:t>
      </w:r>
      <w:r w:rsidRPr="00526728">
        <w:rPr>
          <w:lang w:val="en-US"/>
        </w:rPr>
        <w:t xml:space="preserve"> Diepenbeek, Belgium</w:t>
      </w:r>
    </w:p>
    <w:p w14:paraId="61B9165B" w14:textId="77777777" w:rsidR="00B37AB2" w:rsidRPr="008F5826" w:rsidRDefault="00B37AB2" w:rsidP="00B37AB2">
      <w:pPr>
        <w:rPr>
          <w:rFonts w:cs="Times New Roman"/>
          <w:lang w:val="en-US"/>
        </w:rPr>
      </w:pPr>
      <w:r>
        <w:rPr>
          <w:rFonts w:cs="Times New Roman"/>
          <w:vertAlign w:val="superscript"/>
          <w:lang w:val="en-US"/>
        </w:rPr>
        <w:t xml:space="preserve">5 </w:t>
      </w:r>
      <w:r w:rsidRPr="008F5826">
        <w:rPr>
          <w:rFonts w:cs="Times New Roman"/>
          <w:lang w:val="en-US"/>
        </w:rPr>
        <w:t>Department of Physics, Chung Yuan Christian University,</w:t>
      </w:r>
      <w:r>
        <w:rPr>
          <w:rFonts w:cs="Times New Roman" w:hint="eastAsia"/>
          <w:lang w:val="en-US" w:eastAsia="zh-TW"/>
        </w:rPr>
        <w:t xml:space="preserve"> </w:t>
      </w:r>
      <w:r w:rsidRPr="00862276">
        <w:rPr>
          <w:rFonts w:cs="Times New Roman" w:hint="eastAsia"/>
          <w:lang w:val="en-US" w:eastAsia="zh-TW"/>
        </w:rPr>
        <w:t>320314, Taoyuan,</w:t>
      </w:r>
      <w:r w:rsidRPr="008F5826">
        <w:rPr>
          <w:rFonts w:cs="Times New Roman"/>
          <w:lang w:val="en-US"/>
        </w:rPr>
        <w:t xml:space="preserve"> Taiwan</w:t>
      </w:r>
    </w:p>
    <w:p w14:paraId="149B7EDF" w14:textId="77777777" w:rsidR="00B37AB2" w:rsidRPr="00B33F29" w:rsidRDefault="00B37AB2" w:rsidP="00B37AB2">
      <w:r>
        <w:rPr>
          <w:vertAlign w:val="superscript"/>
          <w:lang w:val="en-US"/>
        </w:rPr>
        <w:t>6</w:t>
      </w:r>
      <w:r w:rsidRPr="00B33F29">
        <w:rPr>
          <w:lang w:val="en-US"/>
        </w:rPr>
        <w:t xml:space="preserve"> </w:t>
      </w:r>
      <w:r w:rsidRPr="00B33F29">
        <w:t>Physics and Chemistry of Nanostructures, Ghent University,</w:t>
      </w:r>
      <w:r>
        <w:t xml:space="preserve"> 9000, Ghent, </w:t>
      </w:r>
      <w:r w:rsidRPr="00B33F29">
        <w:t>Belgium</w:t>
      </w:r>
    </w:p>
    <w:p w14:paraId="2C5EF460" w14:textId="77777777" w:rsidR="00B37AB2" w:rsidRPr="00B33F29" w:rsidRDefault="00B37AB2" w:rsidP="00B37AB2">
      <w:pPr>
        <w:rPr>
          <w:lang w:val="en-US"/>
        </w:rPr>
      </w:pPr>
      <w:r>
        <w:rPr>
          <w:vertAlign w:val="superscript"/>
          <w:lang w:val="en-US"/>
        </w:rPr>
        <w:t>7</w:t>
      </w:r>
      <w:r w:rsidRPr="00B33F29">
        <w:rPr>
          <w:lang w:val="en-US"/>
        </w:rPr>
        <w:t xml:space="preserve"> </w:t>
      </w:r>
      <w:r w:rsidRPr="00B33F29">
        <w:t>Center for Nano and Biophotonics, Ghent University, Belgium</w:t>
      </w:r>
    </w:p>
    <w:p w14:paraId="38E47397" w14:textId="77777777" w:rsidR="00EE237C" w:rsidRPr="00EE237C" w:rsidRDefault="00EE237C" w:rsidP="00EE237C">
      <w:pPr>
        <w:rPr>
          <w:rFonts w:cs="Times New Roman"/>
          <w:lang w:val="en-US"/>
        </w:rPr>
      </w:pPr>
      <w:r w:rsidRPr="00EE237C">
        <w:rPr>
          <w:rFonts w:cs="Times New Roman"/>
          <w:vertAlign w:val="superscript"/>
          <w:lang w:val="en-US"/>
        </w:rPr>
        <w:t>8</w:t>
      </w:r>
      <w:r w:rsidRPr="00EE237C">
        <w:rPr>
          <w:rFonts w:cs="Times New Roman"/>
          <w:lang w:val="en-US"/>
        </w:rPr>
        <w:t xml:space="preserve"> The Dodd-Walls Centre for Photonic and Quantum Technologies, Dunedin, New Zealand </w:t>
      </w:r>
    </w:p>
    <w:p w14:paraId="01EB7113" w14:textId="78662E1C" w:rsidR="00B37AB2" w:rsidRPr="00EE237C" w:rsidRDefault="00EE237C" w:rsidP="00C367E7">
      <w:pPr>
        <w:rPr>
          <w:rFonts w:cs="Times New Roman"/>
          <w:lang w:val="en-US"/>
        </w:rPr>
      </w:pPr>
      <w:r w:rsidRPr="00EE237C">
        <w:rPr>
          <w:rFonts w:cs="Times New Roman"/>
          <w:vertAlign w:val="superscript"/>
          <w:lang w:val="en-US"/>
        </w:rPr>
        <w:t>9</w:t>
      </w:r>
      <w:r w:rsidRPr="00EE237C">
        <w:rPr>
          <w:rFonts w:cs="Times New Roman"/>
          <w:lang w:val="en-US"/>
        </w:rPr>
        <w:t xml:space="preserve"> Robinson Research Institute, Victoria University of Wellington, 6012, Wellington, New Zealand</w:t>
      </w:r>
    </w:p>
    <w:p w14:paraId="7EE9500C" w14:textId="77777777" w:rsidR="00B37AB2" w:rsidRDefault="00B37AB2" w:rsidP="00C367E7">
      <w:pPr>
        <w:rPr>
          <w:sz w:val="28"/>
          <w:szCs w:val="28"/>
        </w:rPr>
      </w:pPr>
    </w:p>
    <w:p w14:paraId="57858D9E" w14:textId="77777777" w:rsidR="00C367E7" w:rsidRPr="006131AE" w:rsidRDefault="00C367E7" w:rsidP="00C367E7">
      <w:r w:rsidRPr="006131AE">
        <w:t>*</w:t>
      </w:r>
      <w:r w:rsidRPr="006131AE">
        <w:rPr>
          <w:lang w:val="en-US"/>
        </w:rPr>
        <w:t>Correspondence should be sent to</w:t>
      </w:r>
      <w:r>
        <w:rPr>
          <w:lang w:val="en-US"/>
        </w:rPr>
        <w:t xml:space="preserve"> K. C. (</w:t>
      </w:r>
      <w:hyperlink r:id="rId10" w:history="1">
        <w:r w:rsidRPr="00893874">
          <w:rPr>
            <w:rStyle w:val="Hyperlink"/>
            <w:lang w:val="en-US"/>
          </w:rPr>
          <w:t>Kai.Chen@vuw.ac.nz</w:t>
        </w:r>
      </w:hyperlink>
      <w:r>
        <w:rPr>
          <w:lang w:val="en-US"/>
        </w:rPr>
        <w:t xml:space="preserve">) and </w:t>
      </w:r>
      <w:r w:rsidRPr="006131AE">
        <w:rPr>
          <w:lang w:val="en-US"/>
        </w:rPr>
        <w:t>J.M.H. (</w:t>
      </w:r>
      <w:hyperlink r:id="rId11" w:history="1">
        <w:r w:rsidRPr="006131AE">
          <w:rPr>
            <w:rStyle w:val="Hyperlink"/>
            <w:lang w:val="en-US"/>
          </w:rPr>
          <w:t>Justin.Hodgkiss@vuw.ac.nz</w:t>
        </w:r>
      </w:hyperlink>
      <w:r w:rsidRPr="006131AE">
        <w:rPr>
          <w:lang w:val="en-US"/>
        </w:rPr>
        <w:t>)</w:t>
      </w:r>
    </w:p>
    <w:p w14:paraId="3996D358" w14:textId="77777777" w:rsidR="00C367E7" w:rsidRDefault="00C367E7" w:rsidP="00C367E7">
      <w:pPr>
        <w:jc w:val="center"/>
        <w:rPr>
          <w:sz w:val="28"/>
          <w:szCs w:val="28"/>
        </w:rPr>
      </w:pPr>
    </w:p>
    <w:p w14:paraId="440B65C2" w14:textId="25F68722" w:rsidR="004B72D1" w:rsidRDefault="004B72D1" w:rsidP="009F3711">
      <w:pPr>
        <w:jc w:val="center"/>
        <w:rPr>
          <w:sz w:val="28"/>
          <w:szCs w:val="28"/>
        </w:rPr>
      </w:pPr>
    </w:p>
    <w:p w14:paraId="636C0345" w14:textId="10C2DB29" w:rsidR="004B72D1" w:rsidRDefault="004B72D1">
      <w:pPr>
        <w:rPr>
          <w:sz w:val="28"/>
          <w:szCs w:val="28"/>
        </w:rPr>
      </w:pPr>
      <w:r>
        <w:rPr>
          <w:sz w:val="28"/>
          <w:szCs w:val="28"/>
        </w:rPr>
        <w:br w:type="page"/>
      </w:r>
    </w:p>
    <w:sdt>
      <w:sdtPr>
        <w:rPr>
          <w:rFonts w:eastAsiaTheme="minorHAnsi" w:cstheme="minorBidi"/>
          <w:sz w:val="22"/>
          <w:szCs w:val="22"/>
          <w:lang w:val="en-NZ"/>
        </w:rPr>
        <w:id w:val="1654252064"/>
        <w:docPartObj>
          <w:docPartGallery w:val="Table of Contents"/>
          <w:docPartUnique/>
        </w:docPartObj>
      </w:sdtPr>
      <w:sdtEndPr>
        <w:rPr>
          <w:rFonts w:eastAsia="新細明體"/>
          <w:noProof/>
          <w:sz w:val="24"/>
          <w:szCs w:val="24"/>
        </w:rPr>
      </w:sdtEndPr>
      <w:sdtContent>
        <w:p w14:paraId="4CD2C073" w14:textId="324C39AA" w:rsidR="00692628" w:rsidRDefault="00692628" w:rsidP="00687221">
          <w:pPr>
            <w:pStyle w:val="TOCHeading"/>
            <w:spacing w:line="360" w:lineRule="auto"/>
          </w:pPr>
          <w:r>
            <w:t>Table of Contents</w:t>
          </w:r>
        </w:p>
        <w:p w14:paraId="2A5E2475" w14:textId="2B1438E0" w:rsidR="00C00D83" w:rsidRPr="00C00D83" w:rsidRDefault="00692628" w:rsidP="00C00D83">
          <w:pPr>
            <w:pStyle w:val="TOC1"/>
            <w:spacing w:line="360" w:lineRule="auto"/>
            <w:rPr>
              <w:rFonts w:eastAsiaTheme="minorEastAsia"/>
              <w:noProof/>
              <w:sz w:val="24"/>
              <w:szCs w:val="24"/>
              <w:lang w:eastAsia="en-NZ"/>
            </w:rPr>
          </w:pPr>
          <w:r w:rsidRPr="00C00D83">
            <w:rPr>
              <w:sz w:val="24"/>
              <w:szCs w:val="24"/>
            </w:rPr>
            <w:fldChar w:fldCharType="begin"/>
          </w:r>
          <w:r w:rsidRPr="00C00D83">
            <w:rPr>
              <w:sz w:val="24"/>
              <w:szCs w:val="24"/>
            </w:rPr>
            <w:instrText xml:space="preserve"> TOC \o "1-3" \h \z \u </w:instrText>
          </w:r>
          <w:r w:rsidRPr="00C00D83">
            <w:rPr>
              <w:sz w:val="24"/>
              <w:szCs w:val="24"/>
            </w:rPr>
            <w:fldChar w:fldCharType="separate"/>
          </w:r>
          <w:hyperlink w:anchor="_Toc116033066" w:history="1">
            <w:r w:rsidR="00C00D83" w:rsidRPr="00C00D83">
              <w:rPr>
                <w:rStyle w:val="Hyperlink"/>
                <w:noProof/>
                <w:sz w:val="24"/>
                <w:szCs w:val="24"/>
              </w:rPr>
              <w:t>Estimation of exciton binding energy from temperature dependent steady state photoluminescence</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_Toc116033066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3</w:t>
            </w:r>
            <w:r w:rsidR="00C00D83" w:rsidRPr="00C00D83">
              <w:rPr>
                <w:noProof/>
                <w:webHidden/>
                <w:sz w:val="24"/>
                <w:szCs w:val="24"/>
              </w:rPr>
              <w:fldChar w:fldCharType="end"/>
            </w:r>
          </w:hyperlink>
        </w:p>
        <w:p w14:paraId="78A96927" w14:textId="16583D09" w:rsidR="00C00D83" w:rsidRPr="00C00D83" w:rsidRDefault="00152C10" w:rsidP="00C00D83">
          <w:pPr>
            <w:pStyle w:val="TOC1"/>
            <w:spacing w:line="360" w:lineRule="auto"/>
            <w:rPr>
              <w:rFonts w:eastAsiaTheme="minorEastAsia"/>
              <w:noProof/>
              <w:sz w:val="24"/>
              <w:szCs w:val="24"/>
              <w:lang w:eastAsia="en-NZ"/>
            </w:rPr>
          </w:pPr>
          <w:hyperlink w:anchor="_Toc116033067" w:history="1">
            <w:r w:rsidR="00C00D83" w:rsidRPr="00C00D83">
              <w:rPr>
                <w:rStyle w:val="Hyperlink"/>
                <w:noProof/>
                <w:sz w:val="24"/>
                <w:szCs w:val="24"/>
              </w:rPr>
              <w:t>Estimation of exciton binding energy and absorption contribution of individual grains from steady-state absorption</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_Toc116033067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4</w:t>
            </w:r>
            <w:r w:rsidR="00C00D83" w:rsidRPr="00C00D83">
              <w:rPr>
                <w:noProof/>
                <w:webHidden/>
                <w:sz w:val="24"/>
                <w:szCs w:val="24"/>
              </w:rPr>
              <w:fldChar w:fldCharType="end"/>
            </w:r>
          </w:hyperlink>
        </w:p>
        <w:p w14:paraId="1633F668" w14:textId="5450A3AB" w:rsidR="00C00D83" w:rsidRPr="00C00D83" w:rsidRDefault="00152C10" w:rsidP="00C00D83">
          <w:pPr>
            <w:pStyle w:val="TOC1"/>
            <w:spacing w:line="360" w:lineRule="auto"/>
            <w:rPr>
              <w:rFonts w:eastAsiaTheme="minorEastAsia"/>
              <w:noProof/>
              <w:sz w:val="24"/>
              <w:szCs w:val="24"/>
              <w:lang w:eastAsia="en-NZ"/>
            </w:rPr>
          </w:pPr>
          <w:hyperlink w:anchor="_Toc116033068" w:history="1">
            <w:r w:rsidR="00C00D83" w:rsidRPr="00C00D83">
              <w:rPr>
                <w:rStyle w:val="Hyperlink"/>
                <w:noProof/>
                <w:sz w:val="24"/>
                <w:szCs w:val="24"/>
              </w:rPr>
              <w:t>Calculation of carrier density</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_Toc116033068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5</w:t>
            </w:r>
            <w:r w:rsidR="00C00D83" w:rsidRPr="00C00D83">
              <w:rPr>
                <w:noProof/>
                <w:webHidden/>
                <w:sz w:val="24"/>
                <w:szCs w:val="24"/>
              </w:rPr>
              <w:fldChar w:fldCharType="end"/>
            </w:r>
          </w:hyperlink>
        </w:p>
        <w:p w14:paraId="6280A35C" w14:textId="6B78C713" w:rsidR="00C00D83" w:rsidRPr="00C00D83" w:rsidRDefault="00152C10" w:rsidP="00C00D83">
          <w:pPr>
            <w:pStyle w:val="TOC1"/>
            <w:spacing w:line="360" w:lineRule="auto"/>
            <w:rPr>
              <w:rFonts w:eastAsiaTheme="minorEastAsia"/>
              <w:noProof/>
              <w:sz w:val="24"/>
              <w:szCs w:val="24"/>
              <w:lang w:eastAsia="en-NZ"/>
            </w:rPr>
          </w:pPr>
          <w:hyperlink w:anchor="_Toc116033069" w:history="1">
            <w:r w:rsidR="00C00D83" w:rsidRPr="00C00D83">
              <w:rPr>
                <w:rStyle w:val="Hyperlink"/>
                <w:noProof/>
                <w:sz w:val="24"/>
                <w:szCs w:val="24"/>
              </w:rPr>
              <w:t>ASE threshold for different excitation conditions</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_Toc116033069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6</w:t>
            </w:r>
            <w:r w:rsidR="00C00D83" w:rsidRPr="00C00D83">
              <w:rPr>
                <w:noProof/>
                <w:webHidden/>
                <w:sz w:val="24"/>
                <w:szCs w:val="24"/>
              </w:rPr>
              <w:fldChar w:fldCharType="end"/>
            </w:r>
          </w:hyperlink>
        </w:p>
        <w:p w14:paraId="7C07E75F" w14:textId="446A6EC7" w:rsidR="00C00D83" w:rsidRPr="00C00D83" w:rsidRDefault="00152C10" w:rsidP="00C00D83">
          <w:pPr>
            <w:pStyle w:val="TOC1"/>
            <w:spacing w:line="360" w:lineRule="auto"/>
            <w:rPr>
              <w:rFonts w:eastAsiaTheme="minorEastAsia"/>
              <w:noProof/>
              <w:sz w:val="24"/>
              <w:szCs w:val="24"/>
              <w:lang w:eastAsia="en-NZ"/>
            </w:rPr>
          </w:pPr>
          <w:hyperlink w:anchor="_Toc116033070" w:history="1">
            <w:r w:rsidR="00C00D83" w:rsidRPr="00C00D83">
              <w:rPr>
                <w:rStyle w:val="Hyperlink"/>
                <w:noProof/>
                <w:sz w:val="24"/>
                <w:szCs w:val="24"/>
              </w:rPr>
              <w:t>Calculation of Mott-transition</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_Toc116033070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7</w:t>
            </w:r>
            <w:r w:rsidR="00C00D83" w:rsidRPr="00C00D83">
              <w:rPr>
                <w:noProof/>
                <w:webHidden/>
                <w:sz w:val="24"/>
                <w:szCs w:val="24"/>
              </w:rPr>
              <w:fldChar w:fldCharType="end"/>
            </w:r>
          </w:hyperlink>
        </w:p>
        <w:p w14:paraId="56441761" w14:textId="5BFD2B3A" w:rsidR="00C00D83" w:rsidRPr="00C00D83" w:rsidRDefault="00152C10" w:rsidP="00C00D83">
          <w:pPr>
            <w:pStyle w:val="TOC1"/>
            <w:spacing w:line="360" w:lineRule="auto"/>
            <w:rPr>
              <w:rFonts w:eastAsiaTheme="minorEastAsia"/>
              <w:noProof/>
              <w:sz w:val="24"/>
              <w:szCs w:val="24"/>
              <w:lang w:eastAsia="en-NZ"/>
            </w:rPr>
          </w:pPr>
          <w:hyperlink w:anchor="_Toc116033071" w:history="1">
            <w:r w:rsidR="00C00D83" w:rsidRPr="00C00D83">
              <w:rPr>
                <w:rStyle w:val="Hyperlink"/>
                <w:noProof/>
                <w:sz w:val="24"/>
                <w:szCs w:val="24"/>
              </w:rPr>
              <w:t>Ultrafast kinetics of ASE development in Q2D perovskite films in comparison to bulk MAPbI</w:t>
            </w:r>
            <w:r w:rsidR="00C00D83" w:rsidRPr="00C00D83">
              <w:rPr>
                <w:rStyle w:val="Hyperlink"/>
                <w:noProof/>
                <w:sz w:val="24"/>
                <w:szCs w:val="24"/>
                <w:vertAlign w:val="subscript"/>
              </w:rPr>
              <w:t>3</w:t>
            </w:r>
            <w:r w:rsidR="00C00D83" w:rsidRPr="00C00D83">
              <w:rPr>
                <w:rStyle w:val="Hyperlink"/>
                <w:noProof/>
                <w:sz w:val="24"/>
                <w:szCs w:val="24"/>
              </w:rPr>
              <w:t xml:space="preserve"> perovskite films</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_Toc116033071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8</w:t>
            </w:r>
            <w:r w:rsidR="00C00D83" w:rsidRPr="00C00D83">
              <w:rPr>
                <w:noProof/>
                <w:webHidden/>
                <w:sz w:val="24"/>
                <w:szCs w:val="24"/>
              </w:rPr>
              <w:fldChar w:fldCharType="end"/>
            </w:r>
          </w:hyperlink>
        </w:p>
        <w:p w14:paraId="0D41C56C" w14:textId="6728114F" w:rsidR="00C00D83" w:rsidRPr="00C00D83" w:rsidRDefault="00152C10" w:rsidP="00C00D83">
          <w:pPr>
            <w:pStyle w:val="TOC1"/>
            <w:spacing w:line="360" w:lineRule="auto"/>
            <w:rPr>
              <w:rFonts w:eastAsiaTheme="minorEastAsia"/>
              <w:noProof/>
              <w:sz w:val="24"/>
              <w:szCs w:val="24"/>
              <w:lang w:eastAsia="en-NZ"/>
            </w:rPr>
          </w:pPr>
          <w:hyperlink w:anchor="_Toc116033072" w:history="1">
            <w:r w:rsidR="00C00D83" w:rsidRPr="00C00D83">
              <w:rPr>
                <w:rStyle w:val="Hyperlink"/>
                <w:noProof/>
                <w:sz w:val="24"/>
                <w:szCs w:val="24"/>
              </w:rPr>
              <w:t>Time-resolved kinetics of &lt;n&gt; = 8 grains</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_Toc116033072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11</w:t>
            </w:r>
            <w:r w:rsidR="00C00D83" w:rsidRPr="00C00D83">
              <w:rPr>
                <w:noProof/>
                <w:webHidden/>
                <w:sz w:val="24"/>
                <w:szCs w:val="24"/>
              </w:rPr>
              <w:fldChar w:fldCharType="end"/>
            </w:r>
          </w:hyperlink>
        </w:p>
        <w:p w14:paraId="2F3F8A44" w14:textId="3F529631" w:rsidR="00C00D83" w:rsidRPr="00C00D83" w:rsidRDefault="00152C10" w:rsidP="00C00D83">
          <w:pPr>
            <w:pStyle w:val="TOC1"/>
            <w:spacing w:line="360" w:lineRule="auto"/>
            <w:rPr>
              <w:rFonts w:eastAsiaTheme="minorEastAsia"/>
              <w:noProof/>
              <w:sz w:val="24"/>
              <w:szCs w:val="24"/>
              <w:lang w:eastAsia="en-NZ"/>
            </w:rPr>
          </w:pPr>
          <w:hyperlink w:anchor="_Toc116033073" w:history="1">
            <w:r w:rsidR="00C00D83" w:rsidRPr="00C00D83">
              <w:rPr>
                <w:rStyle w:val="Hyperlink"/>
                <w:noProof/>
                <w:sz w:val="24"/>
                <w:szCs w:val="24"/>
              </w:rPr>
              <w:t>Dynamic photoluminescence quenching on thin &lt;n&gt; = 2 domains</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_Toc116033073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11</w:t>
            </w:r>
            <w:r w:rsidR="00C00D83" w:rsidRPr="00C00D83">
              <w:rPr>
                <w:noProof/>
                <w:webHidden/>
                <w:sz w:val="24"/>
                <w:szCs w:val="24"/>
              </w:rPr>
              <w:fldChar w:fldCharType="end"/>
            </w:r>
          </w:hyperlink>
        </w:p>
        <w:p w14:paraId="33A817DD" w14:textId="0DB931B6" w:rsidR="00C00D83" w:rsidRPr="00C00D83" w:rsidRDefault="00152C10" w:rsidP="00C00D83">
          <w:pPr>
            <w:pStyle w:val="TOC1"/>
            <w:spacing w:line="360" w:lineRule="auto"/>
            <w:rPr>
              <w:rFonts w:eastAsiaTheme="minorEastAsia"/>
              <w:noProof/>
              <w:sz w:val="24"/>
              <w:szCs w:val="24"/>
              <w:lang w:eastAsia="en-NZ"/>
            </w:rPr>
          </w:pPr>
          <w:hyperlink w:anchor="_Toc116033074" w:history="1">
            <w:r w:rsidR="00C00D83" w:rsidRPr="00C00D83">
              <w:rPr>
                <w:rStyle w:val="Hyperlink"/>
                <w:noProof/>
                <w:sz w:val="24"/>
                <w:szCs w:val="24"/>
              </w:rPr>
              <w:t>Estimation of triplet exciton lifetime</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_Toc116033074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12</w:t>
            </w:r>
            <w:r w:rsidR="00C00D83" w:rsidRPr="00C00D83">
              <w:rPr>
                <w:noProof/>
                <w:webHidden/>
                <w:sz w:val="24"/>
                <w:szCs w:val="24"/>
              </w:rPr>
              <w:fldChar w:fldCharType="end"/>
            </w:r>
          </w:hyperlink>
        </w:p>
        <w:p w14:paraId="52A845DC" w14:textId="47AACA07" w:rsidR="00C00D83" w:rsidRPr="00C00D83" w:rsidRDefault="00152C10" w:rsidP="00C00D83">
          <w:pPr>
            <w:pStyle w:val="TOC1"/>
            <w:spacing w:line="360" w:lineRule="auto"/>
            <w:rPr>
              <w:rFonts w:eastAsiaTheme="minorEastAsia"/>
              <w:noProof/>
              <w:sz w:val="24"/>
              <w:szCs w:val="24"/>
              <w:lang w:eastAsia="en-NZ"/>
            </w:rPr>
          </w:pPr>
          <w:hyperlink w:anchor="_Toc116033075" w:history="1">
            <w:r w:rsidR="00C00D83" w:rsidRPr="00C00D83">
              <w:rPr>
                <w:rStyle w:val="Hyperlink"/>
                <w:noProof/>
                <w:sz w:val="24"/>
                <w:szCs w:val="24"/>
              </w:rPr>
              <w:t>Estimation of singlet-singlet exciton annihilation rate</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_Toc116033075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13</w:t>
            </w:r>
            <w:r w:rsidR="00C00D83" w:rsidRPr="00C00D83">
              <w:rPr>
                <w:noProof/>
                <w:webHidden/>
                <w:sz w:val="24"/>
                <w:szCs w:val="24"/>
              </w:rPr>
              <w:fldChar w:fldCharType="end"/>
            </w:r>
          </w:hyperlink>
        </w:p>
        <w:p w14:paraId="1C8CFB31" w14:textId="608A0ABD" w:rsidR="00C00D83" w:rsidRPr="00C00D83" w:rsidRDefault="00152C10" w:rsidP="00C00D83">
          <w:pPr>
            <w:pStyle w:val="TOC1"/>
            <w:spacing w:line="360" w:lineRule="auto"/>
            <w:rPr>
              <w:rFonts w:eastAsiaTheme="minorEastAsia"/>
              <w:noProof/>
              <w:sz w:val="24"/>
              <w:szCs w:val="24"/>
              <w:lang w:eastAsia="en-NZ"/>
            </w:rPr>
          </w:pPr>
          <w:hyperlink w:anchor="_Toc116033076" w:history="1">
            <w:r w:rsidR="00C00D83" w:rsidRPr="00C00D83">
              <w:rPr>
                <w:rStyle w:val="Hyperlink"/>
                <w:noProof/>
                <w:sz w:val="24"/>
                <w:szCs w:val="24"/>
              </w:rPr>
              <w:t>Estimation of singlet-triplet exciton annihilation rate</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_Toc116033076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15</w:t>
            </w:r>
            <w:r w:rsidR="00C00D83" w:rsidRPr="00C00D83">
              <w:rPr>
                <w:noProof/>
                <w:webHidden/>
                <w:sz w:val="24"/>
                <w:szCs w:val="24"/>
              </w:rPr>
              <w:fldChar w:fldCharType="end"/>
            </w:r>
          </w:hyperlink>
        </w:p>
        <w:p w14:paraId="678D3A59" w14:textId="4080EA46" w:rsidR="00C00D83" w:rsidRPr="00C00D83" w:rsidRDefault="00152C10" w:rsidP="00C00D83">
          <w:pPr>
            <w:pStyle w:val="TOC1"/>
            <w:spacing w:line="360" w:lineRule="auto"/>
            <w:rPr>
              <w:rFonts w:eastAsiaTheme="minorEastAsia"/>
              <w:noProof/>
              <w:sz w:val="24"/>
              <w:szCs w:val="24"/>
              <w:lang w:eastAsia="en-NZ"/>
            </w:rPr>
          </w:pPr>
          <w:hyperlink w:anchor="_Toc116033077" w:history="1">
            <w:r w:rsidR="00C00D83" w:rsidRPr="00C00D83">
              <w:rPr>
                <w:rStyle w:val="Hyperlink"/>
                <w:noProof/>
                <w:sz w:val="24"/>
                <w:szCs w:val="24"/>
              </w:rPr>
              <w:t>Kinetic modelling to estimate boundaries for</w:t>
            </w:r>
            <m:oMath>
              <m:sSub>
                <m:sSubPr>
                  <m:ctrlPr>
                    <w:rPr>
                      <w:rStyle w:val="Hyperlink"/>
                      <w:rFonts w:ascii="Cambria Math" w:hAnsi="Cambria Math" w:cstheme="minorHAnsi"/>
                      <w:i/>
                      <w:noProof/>
                      <w:sz w:val="24"/>
                      <w:szCs w:val="24"/>
                    </w:rPr>
                  </m:ctrlPr>
                </m:sSubPr>
                <m:e>
                  <m:r>
                    <w:rPr>
                      <w:rStyle w:val="Hyperlink"/>
                      <w:rFonts w:ascii="Cambria Math" w:hAnsi="Cambria Math" w:cstheme="minorHAnsi"/>
                      <w:noProof/>
                      <w:sz w:val="24"/>
                      <w:szCs w:val="24"/>
                    </w:rPr>
                    <m:t xml:space="preserve">  γ</m:t>
                  </m:r>
                </m:e>
                <m:sub>
                  <m:r>
                    <w:rPr>
                      <w:rStyle w:val="Hyperlink"/>
                      <w:rFonts w:ascii="Cambria Math" w:hAnsi="Cambria Math" w:cstheme="minorHAnsi"/>
                      <w:noProof/>
                      <w:sz w:val="24"/>
                      <w:szCs w:val="24"/>
                    </w:rPr>
                    <m:t>STA</m:t>
                  </m:r>
                </m:sub>
              </m:sSub>
            </m:oMath>
            <w:r w:rsidR="00C00D83" w:rsidRPr="00C00D83">
              <w:rPr>
                <w:rStyle w:val="Hyperlink"/>
                <w:noProof/>
                <w:sz w:val="24"/>
                <w:szCs w:val="24"/>
              </w:rPr>
              <w:t>:</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_Toc116033077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18</w:t>
            </w:r>
            <w:r w:rsidR="00C00D83" w:rsidRPr="00C00D83">
              <w:rPr>
                <w:noProof/>
                <w:webHidden/>
                <w:sz w:val="24"/>
                <w:szCs w:val="24"/>
              </w:rPr>
              <w:fldChar w:fldCharType="end"/>
            </w:r>
          </w:hyperlink>
        </w:p>
        <w:p w14:paraId="30046756" w14:textId="7DD34919" w:rsidR="00C00D83" w:rsidRPr="00C00D83" w:rsidRDefault="00152C10" w:rsidP="00C00D83">
          <w:pPr>
            <w:pStyle w:val="TOC1"/>
            <w:spacing w:line="360" w:lineRule="auto"/>
            <w:rPr>
              <w:rFonts w:eastAsiaTheme="minorEastAsia"/>
              <w:noProof/>
              <w:sz w:val="24"/>
              <w:szCs w:val="24"/>
              <w:lang w:eastAsia="en-NZ"/>
            </w:rPr>
          </w:pPr>
          <w:hyperlink w:anchor="_Toc116033078" w:history="1">
            <w:r w:rsidR="00C00D83" w:rsidRPr="00C00D83">
              <w:rPr>
                <w:rStyle w:val="Hyperlink"/>
                <w:noProof/>
                <w:sz w:val="24"/>
                <w:szCs w:val="24"/>
              </w:rPr>
              <w:t>Comparison of hot carrier relaxation dynamics in an oxygen containing and free environment</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_Toc116033078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20</w:t>
            </w:r>
            <w:r w:rsidR="00C00D83" w:rsidRPr="00C00D83">
              <w:rPr>
                <w:noProof/>
                <w:webHidden/>
                <w:sz w:val="24"/>
                <w:szCs w:val="24"/>
              </w:rPr>
              <w:fldChar w:fldCharType="end"/>
            </w:r>
          </w:hyperlink>
        </w:p>
        <w:p w14:paraId="33FD2383" w14:textId="639EF994" w:rsidR="00C00D83" w:rsidRPr="00C00D83" w:rsidRDefault="00152C10" w:rsidP="00C00D83">
          <w:pPr>
            <w:pStyle w:val="TOC1"/>
            <w:spacing w:line="360" w:lineRule="auto"/>
            <w:rPr>
              <w:rFonts w:eastAsiaTheme="minorEastAsia"/>
              <w:noProof/>
              <w:sz w:val="24"/>
              <w:szCs w:val="24"/>
              <w:lang w:eastAsia="en-NZ"/>
            </w:rPr>
          </w:pPr>
          <w:hyperlink w:anchor="_Toc116033079" w:history="1">
            <w:r w:rsidR="00C00D83" w:rsidRPr="00C00D83">
              <w:rPr>
                <w:rStyle w:val="Hyperlink"/>
                <w:noProof/>
                <w:sz w:val="24"/>
                <w:szCs w:val="24"/>
              </w:rPr>
              <w:t>Deposition and characterisation of Q2D and MAPbI</w:t>
            </w:r>
            <w:r w:rsidR="00C00D83" w:rsidRPr="00C00D83">
              <w:rPr>
                <w:rStyle w:val="Hyperlink"/>
                <w:noProof/>
                <w:sz w:val="24"/>
                <w:szCs w:val="24"/>
                <w:vertAlign w:val="subscript"/>
              </w:rPr>
              <w:t>3</w:t>
            </w:r>
            <w:r w:rsidR="00C00D83" w:rsidRPr="00C00D83">
              <w:rPr>
                <w:rStyle w:val="Hyperlink"/>
                <w:noProof/>
                <w:sz w:val="24"/>
                <w:szCs w:val="24"/>
              </w:rPr>
              <w:t xml:space="preserve"> perovskite films</w:t>
            </w:r>
            <w:r w:rsidR="00C00D83" w:rsidRPr="00C00D83">
              <w:rPr>
                <w:noProof/>
                <w:webHidden/>
                <w:sz w:val="24"/>
                <w:szCs w:val="24"/>
              </w:rPr>
              <w:tab/>
            </w:r>
            <w:r w:rsidR="00C00D83" w:rsidRPr="00C00D83">
              <w:rPr>
                <w:noProof/>
                <w:webHidden/>
                <w:sz w:val="24"/>
                <w:szCs w:val="24"/>
              </w:rPr>
              <w:fldChar w:fldCharType="begin"/>
            </w:r>
            <w:r w:rsidR="00C00D83" w:rsidRPr="00C00D83">
              <w:rPr>
                <w:noProof/>
                <w:webHidden/>
                <w:sz w:val="24"/>
                <w:szCs w:val="24"/>
              </w:rPr>
              <w:instrText xml:space="preserve"> PAGEREF _Toc116033079 \h </w:instrText>
            </w:r>
            <w:r w:rsidR="00C00D83" w:rsidRPr="00C00D83">
              <w:rPr>
                <w:noProof/>
                <w:webHidden/>
                <w:sz w:val="24"/>
                <w:szCs w:val="24"/>
              </w:rPr>
            </w:r>
            <w:r w:rsidR="00C00D83" w:rsidRPr="00C00D83">
              <w:rPr>
                <w:noProof/>
                <w:webHidden/>
                <w:sz w:val="24"/>
                <w:szCs w:val="24"/>
              </w:rPr>
              <w:fldChar w:fldCharType="separate"/>
            </w:r>
            <w:r w:rsidR="00C00D83" w:rsidRPr="00C00D83">
              <w:rPr>
                <w:noProof/>
                <w:webHidden/>
                <w:sz w:val="24"/>
                <w:szCs w:val="24"/>
              </w:rPr>
              <w:t>21</w:t>
            </w:r>
            <w:r w:rsidR="00C00D83" w:rsidRPr="00C00D83">
              <w:rPr>
                <w:noProof/>
                <w:webHidden/>
                <w:sz w:val="24"/>
                <w:szCs w:val="24"/>
              </w:rPr>
              <w:fldChar w:fldCharType="end"/>
            </w:r>
          </w:hyperlink>
        </w:p>
        <w:p w14:paraId="4C2DCE0C" w14:textId="11482731" w:rsidR="00692628" w:rsidRPr="00C00D83" w:rsidRDefault="00692628" w:rsidP="00C00D83">
          <w:pPr>
            <w:spacing w:line="360" w:lineRule="auto"/>
            <w:rPr>
              <w:sz w:val="24"/>
              <w:szCs w:val="24"/>
            </w:rPr>
          </w:pPr>
          <w:r w:rsidRPr="00C00D83">
            <w:rPr>
              <w:noProof/>
              <w:sz w:val="24"/>
              <w:szCs w:val="24"/>
            </w:rPr>
            <w:fldChar w:fldCharType="end"/>
          </w:r>
        </w:p>
      </w:sdtContent>
    </w:sdt>
    <w:p w14:paraId="1E5E7502" w14:textId="04E58639" w:rsidR="001514F4" w:rsidRDefault="001514F4">
      <w:pPr>
        <w:rPr>
          <w:sz w:val="28"/>
          <w:szCs w:val="28"/>
        </w:rPr>
      </w:pPr>
      <w:r>
        <w:rPr>
          <w:sz w:val="28"/>
          <w:szCs w:val="28"/>
        </w:rPr>
        <w:br w:type="page"/>
      </w:r>
    </w:p>
    <w:p w14:paraId="2C4352C5" w14:textId="5F463A70" w:rsidR="00377F75" w:rsidRPr="00252A8A" w:rsidRDefault="00377F75" w:rsidP="00252A8A">
      <w:pPr>
        <w:pStyle w:val="Heading1"/>
      </w:pPr>
      <w:bookmarkStart w:id="1" w:name="_Toc116033066"/>
      <w:r w:rsidRPr="00252A8A">
        <w:lastRenderedPageBreak/>
        <w:t>E</w:t>
      </w:r>
      <w:r w:rsidR="0066369B">
        <w:t>stimation of e</w:t>
      </w:r>
      <w:r w:rsidRPr="00252A8A">
        <w:t>xciton binding energy from temperature dependent steady state photoluminescence</w:t>
      </w:r>
      <w:bookmarkEnd w:id="1"/>
    </w:p>
    <w:p w14:paraId="2DCB0E0F" w14:textId="4595E4FE" w:rsidR="00377F75" w:rsidRDefault="00EA67C7" w:rsidP="00377F75">
      <w:pPr>
        <w:keepNext/>
        <w:jc w:val="center"/>
      </w:pPr>
      <w:r>
        <w:rPr>
          <w:noProof/>
        </w:rPr>
        <w:drawing>
          <wp:inline distT="0" distB="0" distL="0" distR="0" wp14:anchorId="46A54FF4" wp14:editId="78DFD329">
            <wp:extent cx="5775246" cy="2924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2164" cy="2927678"/>
                    </a:xfrm>
                    <a:prstGeom prst="rect">
                      <a:avLst/>
                    </a:prstGeom>
                    <a:noFill/>
                    <a:ln>
                      <a:noFill/>
                    </a:ln>
                  </pic:spPr>
                </pic:pic>
              </a:graphicData>
            </a:graphic>
          </wp:inline>
        </w:drawing>
      </w:r>
    </w:p>
    <w:p w14:paraId="18A73D28" w14:textId="1A7A4475" w:rsidR="00430874" w:rsidRDefault="0089286A" w:rsidP="00430874">
      <w:pPr>
        <w:pStyle w:val="Caption"/>
        <w:jc w:val="both"/>
      </w:pPr>
      <w:r>
        <w:t>Figure S</w:t>
      </w:r>
      <w:r w:rsidR="00152C10">
        <w:fldChar w:fldCharType="begin"/>
      </w:r>
      <w:r w:rsidR="00152C10">
        <w:instrText xml:space="preserve"> SEQ Figure_S \* ARABIC </w:instrText>
      </w:r>
      <w:r w:rsidR="00152C10">
        <w:fldChar w:fldCharType="separate"/>
      </w:r>
      <w:r w:rsidR="00430874">
        <w:rPr>
          <w:noProof/>
        </w:rPr>
        <w:t>1</w:t>
      </w:r>
      <w:r w:rsidR="00152C10">
        <w:rPr>
          <w:noProof/>
        </w:rPr>
        <w:fldChar w:fldCharType="end"/>
      </w:r>
      <w:r>
        <w:t>:</w:t>
      </w:r>
      <w:r w:rsidR="00377F75">
        <w:t xml:space="preserve"> </w:t>
      </w:r>
      <w:r w:rsidR="00507B91">
        <w:t xml:space="preserve">(a) </w:t>
      </w:r>
      <w:r w:rsidR="00377F75">
        <w:t xml:space="preserve">Steady state temperature dependent photoluminescence spectrum of </w:t>
      </w:r>
      <w:r w:rsidR="00507B91">
        <w:t xml:space="preserve">the </w:t>
      </w:r>
      <w:r w:rsidR="00377F75">
        <w:t>Q2D perovskite</w:t>
      </w:r>
      <w:r w:rsidR="00507B91">
        <w:t xml:space="preserve"> film</w:t>
      </w:r>
      <w:r w:rsidR="00377F75">
        <w:t xml:space="preserve"> excited with 405 nm (</w:t>
      </w:r>
      <w:r w:rsidR="00A7138E">
        <w:t>3</w:t>
      </w:r>
      <w:r w:rsidR="00377F75">
        <w:t>.06 eV)</w:t>
      </w:r>
      <w:r w:rsidR="00507B91">
        <w:t>.</w:t>
      </w:r>
      <w:r w:rsidR="00377F75">
        <w:t xml:space="preserve"> The </w:t>
      </w:r>
      <w:r w:rsidR="001116D6">
        <w:t>inset shows</w:t>
      </w:r>
      <w:r w:rsidR="00507B91">
        <w:t xml:space="preserve"> a zoom into the high energy region which reveals the thin film contains different grain sizes between &lt;n&gt; </w:t>
      </w:r>
      <w:r w:rsidR="00430874">
        <w:t>= </w:t>
      </w:r>
      <w:r w:rsidR="00507B91">
        <w:t>8 and &lt;n&gt;</w:t>
      </w:r>
      <w:r w:rsidR="00430874">
        <w:t> =</w:t>
      </w:r>
      <w:r w:rsidR="00507B91">
        <w:t xml:space="preserve"> 2. (b) </w:t>
      </w:r>
      <w:r w:rsidR="00E71F64">
        <w:t xml:space="preserve">An exciton binding energy </w:t>
      </w:r>
      <w:r w:rsidR="008340A7">
        <w:t>(</w:t>
      </w:r>
      <w:r w:rsidR="00E71F64">
        <w:t>E</w:t>
      </w:r>
      <w:r w:rsidR="00E71F64">
        <w:rPr>
          <w:vertAlign w:val="subscript"/>
        </w:rPr>
        <w:t>b</w:t>
      </w:r>
      <w:r w:rsidR="008340A7">
        <w:t>)</w:t>
      </w:r>
      <w:r w:rsidR="007247FA">
        <w:rPr>
          <w:vertAlign w:val="subscript"/>
        </w:rPr>
        <w:t xml:space="preserve"> </w:t>
      </w:r>
      <w:r w:rsidR="007247FA">
        <w:t>o</w:t>
      </w:r>
      <w:r w:rsidR="00E71F64">
        <w:t>f 44 meV could be determined f</w:t>
      </w:r>
      <w:r w:rsidR="007247FA">
        <w:t>rom the c</w:t>
      </w:r>
      <w:r w:rsidR="00507B91">
        <w:t>orresponding</w:t>
      </w:r>
      <w:r w:rsidR="00430874">
        <w:t xml:space="preserve"> inverse</w:t>
      </w:r>
      <w:r w:rsidR="00507B91">
        <w:t xml:space="preserve"> intensity evolution of </w:t>
      </w:r>
      <w:r w:rsidR="00430874">
        <w:t xml:space="preserve">&lt;n&gt; = 8 peak intensity as a function of </w:t>
      </w:r>
      <w:r w:rsidR="00377F75">
        <w:t xml:space="preserve">inverse </w:t>
      </w:r>
      <w:r w:rsidR="00430874">
        <w:t>t</w:t>
      </w:r>
      <w:r w:rsidR="00377F75">
        <w:t>emperature</w:t>
      </w:r>
      <w:r w:rsidR="00BB6374">
        <w:t xml:space="preserve"> </w:t>
      </w:r>
      <w:r w:rsidR="007247FA">
        <w:t>using an</w:t>
      </w:r>
      <w:r w:rsidR="00BB6374">
        <w:t xml:space="preserve"> Arrhenius fit</w:t>
      </w:r>
      <w:r w:rsidR="007E515A">
        <w:fldChar w:fldCharType="begin" w:fldLock="1"/>
      </w:r>
      <w:r w:rsidR="00CE775C">
        <w:instrText xml:space="preserve">ADDIN CSL_CITATION {"citationItems":[{"id":"ITEM-1","itemData":{"DOI":"10.1021/acs.jpcc.7b06301","ISSN":"19327455","abstract":"We investigated the temperature-dependent photoluminescence (PL) properties of colloidal CsPbX3 (X = Br, I, and mixed Br/I) quantum dot (QD) samples in the 30-290 K temperature range. Temperature-dependent PL experiments reveal thermal quenching of PL, blue shifting of optical band gaps, and line width broadening for all CsPbX3 QD samples with increasing temperature. Interestingly, side-peak emissions that are spectrally separated from the excitonic PL peaks were observed for both CsPbBr3 and CsPb(Br/I)3 QD samples at temperatures below </w:instrText>
      </w:r>
      <w:r w:rsidR="00CE775C">
        <w:rPr>
          <w:rFonts w:ascii="Cambria Math" w:hAnsi="Cambria Math" w:cs="Cambria Math"/>
        </w:rPr>
        <w:instrText>∼</w:instrText>
      </w:r>
      <w:r w:rsidR="00CE775C">
        <w:instrText>250 K. The side-peak emission for the CsPbBr3 QD sample is located at a lower energy compared to the band-edge peak, whereas that of the Br-rich CsPb(Br/I)3 alloy QD sample is located at a higher energy than that of the band-edge peak. We found that the CsPbBr3 QDs have two emissive states, a band-edge state, and one involving shallow defects, which can be spectrally separated by narrowing the emission line widths at low temperature. In the case of the Br-rich CsPb(Br/I)3 QD sample, the partial halide-segregation-induced heterogeneity of the alloy phase within the ensemble at low temperature leads to blue-shifted radiative recombination channels.","author":[{"dropping-particle":"","family":"Lee","given":"See Mak","non-dropping-particle":"","parse-names":false,"suffix":""},{"dropping-particle":"","family":"Moon","given":"Cheol Joo","non-dropping-particle":"","parse-names":false,"suffix":""},{"dropping-particle":"","family":"Lim","given":"Hyunseob","non-dropping-particle":"","parse-names":false,"suffix":""},{"dropping-particle":"","family":"Lee","given":"Younki","non-dropping-particle":"","parse-names":false,"suffix":""},{"dropping-particle":"","family":"Choi","given":"Myong Yong","non-dropping-particle":"","parse-names":false,"suffix":""},{"dropping-particle":"","family":"Bang","given":"Jiwon","non-dropping-particle":"","parse-names":false,"suffix":""}],"container-title":"Journal of Physical Chemistry C","id":"ITEM-1","issue":"46","issued":{"date-parts":[["2017","11","22"]]},"page":"26054-26062","publisher":"American Chemical Society","title":"Temperature-Dependent Photoluminescence of Cesium Lead Halide Perovskite Quantum Dots: Splitting of the Photoluminescence Peaks of CsPbBr3 and CsPb(Br/I)3 Quantum Dots at Low Temperature","type":"article-journal","volume":"121"},"uris":["http://www.mendeley.com/documents/?uuid=44dc7211-d472-3d46-84d0-47c21a32d489"]}],"mendeley":{"formattedCitation":"&lt;sup&gt;1&lt;/sup&gt;","plainTextFormattedCitation":"1","previouslyFormattedCitation":"&lt;sup&gt;1&lt;/sup&gt;"},"properties":{"noteIndex":0},"schema":"https://github.com/citation-style-language/schema/raw/master/csl-citation.json"}</w:instrText>
      </w:r>
      <w:r w:rsidR="007E515A">
        <w:fldChar w:fldCharType="separate"/>
      </w:r>
      <w:r w:rsidR="007E515A" w:rsidRPr="007E515A">
        <w:rPr>
          <w:noProof/>
          <w:vertAlign w:val="superscript"/>
        </w:rPr>
        <w:t>1</w:t>
      </w:r>
      <w:r w:rsidR="007E515A">
        <w:fldChar w:fldCharType="end"/>
      </w:r>
      <w:r w:rsidR="001C63B8">
        <w:t xml:space="preserve">, </w:t>
      </w:r>
      <w:r w:rsidR="001C63B8" w:rsidRPr="00807234">
        <w:rPr>
          <w:i/>
          <w:iCs w:val="0"/>
        </w:rPr>
        <w:t>I</w:t>
      </w:r>
      <w:r w:rsidR="001C63B8">
        <w:t>(</w:t>
      </w:r>
      <w:r w:rsidR="001C63B8" w:rsidRPr="00807234">
        <w:rPr>
          <w:i/>
          <w:iCs w:val="0"/>
        </w:rPr>
        <w:t>T</w:t>
      </w:r>
      <w:r w:rsidR="001C63B8">
        <w:t>)=</w:t>
      </w:r>
      <w:r w:rsidR="001C63B8" w:rsidRPr="00807234">
        <w:rPr>
          <w:i/>
          <w:iCs w:val="0"/>
        </w:rPr>
        <w:t>I</w:t>
      </w:r>
      <w:r w:rsidR="001C63B8" w:rsidRPr="00807234">
        <w:rPr>
          <w:i/>
          <w:iCs w:val="0"/>
          <w:vertAlign w:val="subscript"/>
        </w:rPr>
        <w:t>0</w:t>
      </w:r>
      <w:r w:rsidR="001C63B8">
        <w:t>/(1+</w:t>
      </w:r>
      <w:r w:rsidR="001C63B8" w:rsidRPr="00807234">
        <w:rPr>
          <w:i/>
          <w:iCs w:val="0"/>
        </w:rPr>
        <w:t>A</w:t>
      </w:r>
      <w:r w:rsidR="001C63B8" w:rsidRPr="00807234">
        <w:rPr>
          <w:i/>
          <w:iCs w:val="0"/>
          <w:vertAlign w:val="subscript"/>
        </w:rPr>
        <w:t>0</w:t>
      </w:r>
      <w:r w:rsidR="001C63B8">
        <w:t>exp(-</w:t>
      </w:r>
      <w:r w:rsidR="001C63B8" w:rsidRPr="00807234">
        <w:rPr>
          <w:i/>
          <w:iCs w:val="0"/>
        </w:rPr>
        <w:t>E</w:t>
      </w:r>
      <w:r w:rsidR="008E6DB4">
        <w:rPr>
          <w:i/>
          <w:iCs w:val="0"/>
          <w:vertAlign w:val="subscript"/>
        </w:rPr>
        <w:t>B</w:t>
      </w:r>
      <w:r w:rsidR="001C63B8">
        <w:t>/(</w:t>
      </w:r>
      <w:r w:rsidR="001C63B8" w:rsidRPr="00807234">
        <w:rPr>
          <w:i/>
          <w:iCs w:val="0"/>
        </w:rPr>
        <w:t>k</w:t>
      </w:r>
      <w:r w:rsidR="001C63B8" w:rsidRPr="00807234">
        <w:rPr>
          <w:i/>
          <w:iCs w:val="0"/>
          <w:vertAlign w:val="subscript"/>
        </w:rPr>
        <w:t>b</w:t>
      </w:r>
      <w:r w:rsidR="001C63B8" w:rsidRPr="00807234">
        <w:rPr>
          <w:i/>
          <w:iCs w:val="0"/>
        </w:rPr>
        <w:t>T</w:t>
      </w:r>
      <w:r w:rsidR="001C63B8">
        <w:t xml:space="preserve">))), </w:t>
      </w:r>
      <w:r w:rsidR="00130697">
        <w:t xml:space="preserve">where T is the </w:t>
      </w:r>
      <w:r w:rsidR="00FE4DC7">
        <w:t>temperature,</w:t>
      </w:r>
      <w:r w:rsidR="001F5B11">
        <w:t xml:space="preserve"> A</w:t>
      </w:r>
      <w:r w:rsidR="001F5B11">
        <w:rPr>
          <w:vertAlign w:val="subscript"/>
        </w:rPr>
        <w:t>0</w:t>
      </w:r>
      <w:r w:rsidR="001F5B11">
        <w:t xml:space="preserve"> a constant,</w:t>
      </w:r>
      <w:r w:rsidR="00FE4DC7">
        <w:t xml:space="preserve"> k</w:t>
      </w:r>
      <w:r w:rsidR="00FE4DC7">
        <w:rPr>
          <w:vertAlign w:val="subscript"/>
        </w:rPr>
        <w:t>b</w:t>
      </w:r>
      <w:r w:rsidR="00FE4DC7">
        <w:t xml:space="preserve"> the Boltzmann constant and </w:t>
      </w:r>
      <w:r w:rsidR="001F5B11">
        <w:t>I</w:t>
      </w:r>
      <w:r w:rsidR="001F5B11">
        <w:rPr>
          <w:vertAlign w:val="subscript"/>
        </w:rPr>
        <w:t>0</w:t>
      </w:r>
      <w:r w:rsidR="00177678">
        <w:t xml:space="preserve"> t</w:t>
      </w:r>
      <w:r w:rsidR="001F5B11">
        <w:t>he integrated</w:t>
      </w:r>
      <w:r w:rsidR="00177678">
        <w:t xml:space="preserve"> PL</w:t>
      </w:r>
      <w:r w:rsidR="001F5B11">
        <w:t xml:space="preserve"> intensity</w:t>
      </w:r>
      <w:r w:rsidR="00177678">
        <w:t>.</w:t>
      </w:r>
    </w:p>
    <w:p w14:paraId="12D6A1E1" w14:textId="69E389C2" w:rsidR="00EF0DBE" w:rsidRDefault="00EF0DBE">
      <w:r>
        <w:br w:type="page"/>
      </w:r>
    </w:p>
    <w:p w14:paraId="7B57AF4C" w14:textId="27730E98" w:rsidR="00624EB8" w:rsidRPr="004244BB" w:rsidRDefault="0066369B" w:rsidP="00624EB8">
      <w:pPr>
        <w:pStyle w:val="Heading1"/>
      </w:pPr>
      <w:bookmarkStart w:id="2" w:name="_Toc116033067"/>
      <w:r w:rsidRPr="004244BB">
        <w:lastRenderedPageBreak/>
        <w:t xml:space="preserve">Estimation of exciton binding energy and </w:t>
      </w:r>
      <w:r w:rsidR="00D11B50" w:rsidRPr="004244BB">
        <w:t xml:space="preserve">absorption contribution </w:t>
      </w:r>
      <w:r w:rsidR="00AE394B" w:rsidRPr="004244BB">
        <w:t xml:space="preserve">of individual grains </w:t>
      </w:r>
      <w:r w:rsidR="00D11B50" w:rsidRPr="004244BB">
        <w:t>from steady-state absorption</w:t>
      </w:r>
      <w:bookmarkEnd w:id="2"/>
    </w:p>
    <w:p w14:paraId="46F5A34A" w14:textId="18B190B0" w:rsidR="00693202" w:rsidRPr="004244BB" w:rsidRDefault="00EA1227" w:rsidP="008501EC">
      <w:pPr>
        <w:spacing w:line="480" w:lineRule="auto"/>
      </w:pPr>
      <w:r w:rsidRPr="004244BB">
        <w:t>T</w:t>
      </w:r>
      <w:r w:rsidR="00693202" w:rsidRPr="004244BB">
        <w:t xml:space="preserve">he steady-state absorption spectrum of the mixed </w:t>
      </w:r>
      <w:r w:rsidR="002B5D61" w:rsidRPr="004244BB">
        <w:t xml:space="preserve">Q2D perovskite film has been modelled </w:t>
      </w:r>
      <w:r w:rsidR="00D161B3" w:rsidRPr="004244BB">
        <w:t xml:space="preserve">using the </w:t>
      </w:r>
      <w:r w:rsidR="001764C8" w:rsidRPr="004244BB">
        <w:t>well-established</w:t>
      </w:r>
      <w:r w:rsidR="00D161B3" w:rsidRPr="004244BB">
        <w:t xml:space="preserve"> </w:t>
      </w:r>
      <w:r w:rsidR="00896618" w:rsidRPr="004244BB">
        <w:t>quantum well absorption model</w:t>
      </w:r>
      <w:r w:rsidR="00CE6338" w:rsidRPr="004244BB">
        <w:t xml:space="preserve"> considering the</w:t>
      </w:r>
      <w:r w:rsidR="00606B53" w:rsidRPr="004244BB">
        <w:t xml:space="preserve"> individual contribution mainly from </w:t>
      </w:r>
      <w:r w:rsidR="00CE6338" w:rsidRPr="004244BB">
        <w:t xml:space="preserve"> </w:t>
      </w:r>
      <w:r w:rsidR="00D9489B" w:rsidRPr="004244BB">
        <w:t>originate</w:t>
      </w:r>
      <w:r w:rsidR="00606B53" w:rsidRPr="004244BB">
        <w:t>s</w:t>
      </w:r>
      <w:r w:rsidR="00D9489B" w:rsidRPr="004244BB">
        <w:t xml:space="preserve"> from &lt;n&gt; = 8 and &lt;n&gt; = 2 grains</w:t>
      </w:r>
      <w:r w:rsidR="00896618" w:rsidRPr="004244BB">
        <w:t xml:space="preserve">. It describes the </w:t>
      </w:r>
      <w:r w:rsidR="005F0D15" w:rsidRPr="004244BB">
        <w:t>absorbance</w:t>
      </w:r>
      <w:r w:rsidR="008A704A" w:rsidRPr="004244BB">
        <w:t xml:space="preserve"> </w:t>
      </w:r>
      <m:oMath>
        <m:r>
          <w:rPr>
            <w:rFonts w:ascii="Cambria Math" w:hAnsi="Cambria Math"/>
          </w:rPr>
          <m:t>A</m:t>
        </m:r>
      </m:oMath>
      <w:r w:rsidR="005F0D15" w:rsidRPr="004244BB">
        <w:t xml:space="preserve"> as a superposition of excitonic lines</w:t>
      </w:r>
      <w:r w:rsidR="008A704A" w:rsidRPr="004244BB">
        <w:t xml:space="preserve"> </w:t>
      </w:r>
      <m:oMath>
        <m:r>
          <w:rPr>
            <w:rFonts w:ascii="Cambria Math" w:hAnsi="Cambria Math"/>
          </w:rPr>
          <m:t>X</m:t>
        </m:r>
      </m:oMath>
      <w:r w:rsidR="005F0D15" w:rsidRPr="004244BB">
        <w:t xml:space="preserve"> and </w:t>
      </w:r>
      <w:r w:rsidR="00BF05EF" w:rsidRPr="004244BB">
        <w:t>free carrier transitions</w:t>
      </w:r>
      <w:r w:rsidR="008A704A" w:rsidRPr="004244BB">
        <w:t xml:space="preserve"> </w:t>
      </w:r>
      <m:oMath>
        <m:r>
          <w:rPr>
            <w:rFonts w:ascii="Cambria Math" w:hAnsi="Cambria Math"/>
          </w:rPr>
          <m:t>C</m:t>
        </m:r>
      </m:oMath>
      <w:r w:rsidR="00C24762" w:rsidRPr="004244B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764C32" w:rsidRPr="004244BB" w14:paraId="50F92887" w14:textId="77777777" w:rsidTr="00CB1710">
        <w:tc>
          <w:tcPr>
            <w:tcW w:w="1129" w:type="dxa"/>
          </w:tcPr>
          <w:p w14:paraId="6D6CCC71" w14:textId="77777777" w:rsidR="00764C32" w:rsidRPr="004244BB" w:rsidRDefault="00764C32" w:rsidP="00CB1710">
            <w:pPr>
              <w:jc w:val="both"/>
              <w:rPr>
                <w:rFonts w:eastAsiaTheme="minorEastAsia"/>
              </w:rPr>
            </w:pPr>
          </w:p>
        </w:tc>
        <w:tc>
          <w:tcPr>
            <w:tcW w:w="6521" w:type="dxa"/>
          </w:tcPr>
          <w:p w14:paraId="01EC0543" w14:textId="76D1B0C7" w:rsidR="00764C32" w:rsidRPr="004244BB" w:rsidRDefault="00002871" w:rsidP="00CB1710">
            <w:pPr>
              <w:jc w:val="both"/>
              <w:rPr>
                <w:rFonts w:eastAsiaTheme="minorEastAsia"/>
              </w:rPr>
            </w:pPr>
            <m:oMathPara>
              <m:oMath>
                <m:r>
                  <w:rPr>
                    <w:rFonts w:ascii="Cambria Math" w:hAnsi="Cambria Math"/>
                  </w:rPr>
                  <m:t>A(E)=</m:t>
                </m:r>
                <m:nary>
                  <m:naryPr>
                    <m:chr m:val="∑"/>
                    <m:limLoc m:val="undOvr"/>
                    <m:supHide m:val="1"/>
                    <m:ctrlPr>
                      <w:rPr>
                        <w:rFonts w:ascii="Cambria Math" w:hAnsi="Cambria Math"/>
                        <w:i/>
                      </w:rPr>
                    </m:ctrlPr>
                  </m:naryPr>
                  <m:sub>
                    <m:r>
                      <w:rPr>
                        <w:rFonts w:ascii="Cambria Math" w:hAnsi="Cambria Math"/>
                      </w:rPr>
                      <m:t>n</m:t>
                    </m:r>
                  </m:sub>
                  <m:sup/>
                  <m:e>
                    <m:sSub>
                      <m:sSubPr>
                        <m:ctrlPr>
                          <w:rPr>
                            <w:rFonts w:ascii="Cambria Math" w:hAnsi="Cambria Math"/>
                            <w:i/>
                          </w:rPr>
                        </m:ctrlPr>
                      </m:sSubPr>
                      <m:e>
                        <m:r>
                          <w:rPr>
                            <w:rFonts w:ascii="Cambria Math" w:hAnsi="Cambria Math"/>
                          </w:rPr>
                          <m:t>X</m:t>
                        </m:r>
                      </m:e>
                      <m:sub>
                        <m:r>
                          <w:rPr>
                            <w:rFonts w:ascii="Cambria Math" w:hAnsi="Cambria Math"/>
                          </w:rPr>
                          <m:t>n</m:t>
                        </m:r>
                      </m:sub>
                    </m:sSub>
                    <m:d>
                      <m:dPr>
                        <m:ctrlPr>
                          <w:rPr>
                            <w:rFonts w:ascii="Cambria Math" w:hAnsi="Cambria Math"/>
                            <w:i/>
                          </w:rPr>
                        </m:ctrlPr>
                      </m:dPr>
                      <m:e>
                        <m:r>
                          <w:rPr>
                            <w:rFonts w:ascii="Cambria Math" w:hAnsi="Cambria Math"/>
                          </w:rPr>
                          <m:t>E</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(E)</m:t>
                    </m:r>
                  </m:e>
                </m:nary>
              </m:oMath>
            </m:oMathPara>
          </w:p>
        </w:tc>
        <w:tc>
          <w:tcPr>
            <w:tcW w:w="1366" w:type="dxa"/>
            <w:vAlign w:val="center"/>
          </w:tcPr>
          <w:p w14:paraId="569298B4" w14:textId="75968CA6" w:rsidR="00764C32" w:rsidRPr="004244BB" w:rsidRDefault="00764C32" w:rsidP="00CB1710">
            <w:pPr>
              <w:jc w:val="right"/>
              <w:rPr>
                <w:rFonts w:eastAsiaTheme="minorEastAsia"/>
              </w:rPr>
            </w:pPr>
            <w:r w:rsidRPr="004244BB">
              <w:t>(S</w:t>
            </w:r>
            <w:r w:rsidR="00152C10">
              <w:fldChar w:fldCharType="begin"/>
            </w:r>
            <w:r w:rsidR="00152C10">
              <w:instrText xml:space="preserve"> SEQ Equation \* ARABIC </w:instrText>
            </w:r>
            <w:r w:rsidR="00152C10">
              <w:fldChar w:fldCharType="separate"/>
            </w:r>
            <w:r w:rsidR="008E3D2F" w:rsidRPr="004244BB">
              <w:rPr>
                <w:noProof/>
              </w:rPr>
              <w:t>1</w:t>
            </w:r>
            <w:r w:rsidR="00152C10">
              <w:rPr>
                <w:noProof/>
              </w:rPr>
              <w:fldChar w:fldCharType="end"/>
            </w:r>
            <w:r w:rsidRPr="004244BB">
              <w:t>)</w:t>
            </w:r>
          </w:p>
        </w:tc>
      </w:tr>
      <w:tr w:rsidR="001603C8" w:rsidRPr="004244BB" w14:paraId="1D433348" w14:textId="77777777" w:rsidTr="00CB1710">
        <w:tc>
          <w:tcPr>
            <w:tcW w:w="1129" w:type="dxa"/>
          </w:tcPr>
          <w:p w14:paraId="1603FBDB" w14:textId="77777777" w:rsidR="001603C8" w:rsidRPr="004244BB" w:rsidRDefault="001603C8" w:rsidP="00CB1710">
            <w:pPr>
              <w:jc w:val="both"/>
              <w:rPr>
                <w:rFonts w:eastAsiaTheme="minorEastAsia"/>
              </w:rPr>
            </w:pPr>
          </w:p>
        </w:tc>
        <w:tc>
          <w:tcPr>
            <w:tcW w:w="6521" w:type="dxa"/>
          </w:tcPr>
          <w:p w14:paraId="31E1C6FE" w14:textId="77777777" w:rsidR="001603C8" w:rsidRPr="004244BB" w:rsidRDefault="001603C8" w:rsidP="00CB1710">
            <w:pPr>
              <w:jc w:val="both"/>
              <w:rPr>
                <w:rFonts w:ascii="Calibri" w:eastAsia="DengXian" w:hAnsi="Calibri" w:cs="Times New Roman"/>
              </w:rPr>
            </w:pPr>
          </w:p>
        </w:tc>
        <w:tc>
          <w:tcPr>
            <w:tcW w:w="1366" w:type="dxa"/>
            <w:vAlign w:val="center"/>
          </w:tcPr>
          <w:p w14:paraId="3D9BCE39" w14:textId="77777777" w:rsidR="001603C8" w:rsidRPr="004244BB" w:rsidRDefault="001603C8" w:rsidP="00CB1710">
            <w:pPr>
              <w:jc w:val="right"/>
            </w:pPr>
          </w:p>
        </w:tc>
      </w:tr>
    </w:tbl>
    <w:p w14:paraId="3A75ACC6" w14:textId="32872234" w:rsidR="001764C8" w:rsidRPr="004244BB" w:rsidRDefault="00020B99" w:rsidP="00D11B50">
      <w:r w:rsidRPr="004244BB">
        <w:t>with</w:t>
      </w:r>
      <w:r w:rsidR="0004423B" w:rsidRPr="004244BB">
        <w:t xml:space="preserve"> the </w:t>
      </w:r>
      <w:r w:rsidRPr="004244BB">
        <w:t>excito</w:t>
      </w:r>
      <w:r w:rsidR="001603C8" w:rsidRPr="004244BB">
        <w:t>n and free carrier contribution</w:t>
      </w:r>
      <w:r w:rsidR="00DD4BA7" w:rsidRPr="004244BB">
        <w:t>s</w:t>
      </w:r>
      <w:r w:rsidR="001603C8" w:rsidRPr="004244BB">
        <w:t>:</w:t>
      </w:r>
      <w:r w:rsidR="0004423B" w:rsidRPr="004244B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657"/>
      </w:tblGrid>
      <w:tr w:rsidR="00B357CA" w:rsidRPr="004244BB" w14:paraId="2D9BD984" w14:textId="77777777" w:rsidTr="008501EC">
        <w:trPr>
          <w:trHeight w:val="806"/>
        </w:trPr>
        <w:tc>
          <w:tcPr>
            <w:tcW w:w="421" w:type="dxa"/>
          </w:tcPr>
          <w:p w14:paraId="2987685E" w14:textId="7E478D37" w:rsidR="001603C8" w:rsidRPr="004244BB" w:rsidRDefault="001603C8" w:rsidP="00CB1710">
            <w:pPr>
              <w:jc w:val="both"/>
              <w:rPr>
                <w:rFonts w:eastAsiaTheme="minorEastAsia"/>
              </w:rPr>
            </w:pPr>
          </w:p>
        </w:tc>
        <w:tc>
          <w:tcPr>
            <w:tcW w:w="7938" w:type="dxa"/>
            <w:vAlign w:val="center"/>
          </w:tcPr>
          <w:p w14:paraId="4ABBAE65" w14:textId="09257045" w:rsidR="001603C8" w:rsidRPr="004244BB" w:rsidRDefault="00152C10" w:rsidP="00CB1710">
            <w:pPr>
              <w:jc w:val="both"/>
              <w:rPr>
                <w:rFonts w:eastAsiaTheme="minorEastAsia"/>
              </w:rPr>
            </w:pPr>
            <m:oMathPara>
              <m:oMath>
                <m:sSub>
                  <m:sSubPr>
                    <m:ctrlPr>
                      <w:rPr>
                        <w:rFonts w:ascii="Cambria Math" w:hAnsi="Cambria Math"/>
                        <w:i/>
                      </w:rPr>
                    </m:ctrlPr>
                  </m:sSubPr>
                  <m:e>
                    <m:r>
                      <w:rPr>
                        <w:rFonts w:ascii="Cambria Math" w:hAnsi="Cambria Math"/>
                      </w:rPr>
                      <m:t>X</m:t>
                    </m:r>
                  </m:e>
                  <m:sub>
                    <m:r>
                      <w:rPr>
                        <w:rFonts w:ascii="Cambria Math" w:hAnsi="Cambria Math"/>
                      </w:rPr>
                      <m:t>n</m:t>
                    </m:r>
                  </m:sub>
                </m:sSub>
                <m:d>
                  <m:dPr>
                    <m:ctrlPr>
                      <w:rPr>
                        <w:rFonts w:ascii="Cambria Math" w:hAnsi="Cambria Math"/>
                        <w:i/>
                      </w:rPr>
                    </m:ctrlPr>
                  </m:dPr>
                  <m:e>
                    <m:r>
                      <w:rPr>
                        <w:rFonts w:ascii="Cambria Math" w:hAnsi="Cambria Math"/>
                      </w:rPr>
                      <m:t>E</m:t>
                    </m:r>
                  </m:e>
                </m:d>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X</m:t>
                            </m:r>
                          </m:sub>
                        </m:sSub>
                      </m:e>
                      <m:sub>
                        <m:r>
                          <w:rPr>
                            <w:rFonts w:ascii="Cambria Math" w:hAnsi="Cambria Math"/>
                          </w:rPr>
                          <m:t>n</m:t>
                        </m:r>
                      </m:sub>
                    </m:sSub>
                  </m:num>
                  <m:den>
                    <m:r>
                      <w:rPr>
                        <w:rFonts w:ascii="Cambria Math" w:hAnsi="Cambria Math"/>
                      </w:rPr>
                      <m:t>2</m:t>
                    </m:r>
                    <m:sSub>
                      <m:sSubPr>
                        <m:ctrlPr>
                          <w:rPr>
                            <w:rFonts w:ascii="Cambria Math" w:hAnsi="Cambria Math"/>
                            <w:i/>
                          </w:rPr>
                        </m:ctrlPr>
                      </m:sSubPr>
                      <m:e>
                        <m:r>
                          <w:rPr>
                            <w:rFonts w:ascii="Cambria Math" w:hAnsi="Cambria Math"/>
                          </w:rPr>
                          <m:t>μ</m:t>
                        </m:r>
                      </m:e>
                      <m:sub>
                        <m:r>
                          <w:rPr>
                            <w:rFonts w:ascii="Cambria Math" w:hAnsi="Cambria Math"/>
                          </w:rPr>
                          <m:t>n</m:t>
                        </m:r>
                      </m:sub>
                    </m:sSub>
                  </m:den>
                </m:f>
                <m:r>
                  <w:rPr>
                    <w:rFonts w:ascii="Cambria Math" w:hAnsi="Cambria Math"/>
                  </w:rPr>
                  <m:t>∙</m:t>
                </m:r>
                <m:d>
                  <m:dPr>
                    <m:begChr m:val="["/>
                    <m:endChr m:val="]"/>
                    <m:ctrlPr>
                      <w:rPr>
                        <w:rFonts w:ascii="Cambria Math" w:hAnsi="Cambria Math"/>
                        <w:i/>
                      </w:rPr>
                    </m:ctrlPr>
                  </m:dPr>
                  <m:e>
                    <m:r>
                      <w:rPr>
                        <w:rFonts w:ascii="Cambria Math" w:hAnsi="Cambria Math"/>
                      </w:rPr>
                      <m:t>erf</m:t>
                    </m:r>
                    <m:d>
                      <m:dPr>
                        <m:ctrlPr>
                          <w:rPr>
                            <w:rFonts w:ascii="Cambria Math" w:hAnsi="Cambria Math"/>
                            <w:i/>
                          </w:rPr>
                        </m:ctrlPr>
                      </m:dPr>
                      <m:e>
                        <m:f>
                          <m:fPr>
                            <m:ctrlPr>
                              <w:rPr>
                                <w:rFonts w:ascii="Cambria Math" w:hAnsi="Cambria Math"/>
                                <w:i/>
                              </w:rPr>
                            </m:ctrlPr>
                          </m:fPr>
                          <m:num>
                            <m:r>
                              <w:rPr>
                                <w:rFonts w:ascii="Cambria Math" w:hAnsi="Cambria Math"/>
                              </w:rPr>
                              <m:t>E-</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X</m:t>
                                    </m:r>
                                  </m:e>
                                  <m:sub>
                                    <m:r>
                                      <w:rPr>
                                        <w:rFonts w:ascii="Cambria Math" w:hAnsi="Cambria Math"/>
                                      </w:rPr>
                                      <m:t>n</m:t>
                                    </m:r>
                                  </m:sub>
                                </m:sSub>
                              </m:sub>
                            </m:sSub>
                            <m:r>
                              <w:rPr>
                                <w:rFonts w:ascii="Cambria Math" w:hAnsi="Cambria Math"/>
                              </w:rPr>
                              <m:t>+</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B</m:t>
                                    </m:r>
                                  </m:e>
                                  <m:sub>
                                    <m:r>
                                      <w:rPr>
                                        <w:rFonts w:ascii="Cambria Math" w:hAnsi="Cambria Math"/>
                                      </w:rPr>
                                      <m:t>n</m:t>
                                    </m:r>
                                  </m:sub>
                                </m:sSub>
                              </m:sub>
                            </m:sSub>
                          </m:num>
                          <m:den>
                            <m:sSub>
                              <m:sSubPr>
                                <m:ctrlPr>
                                  <w:rPr>
                                    <w:rFonts w:ascii="Cambria Math" w:hAnsi="Cambria Math"/>
                                    <w:i/>
                                  </w:rPr>
                                </m:ctrlPr>
                              </m:sSubPr>
                              <m:e>
                                <m:r>
                                  <w:rPr>
                                    <w:rFonts w:ascii="Cambria Math" w:hAnsi="Cambria Math"/>
                                  </w:rPr>
                                  <m:t>w</m:t>
                                </m:r>
                              </m:e>
                              <m:sub>
                                <m:r>
                                  <w:rPr>
                                    <w:rFonts w:ascii="Cambria Math" w:hAnsi="Cambria Math"/>
                                  </w:rPr>
                                  <m:t>n</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n</m:t>
                                </m:r>
                              </m:sub>
                            </m:sSub>
                          </m:num>
                          <m:den>
                            <m:r>
                              <w:rPr>
                                <w:rFonts w:ascii="Cambria Math" w:hAnsi="Cambria Math"/>
                              </w:rPr>
                              <m:t>2</m:t>
                            </m:r>
                            <m:sSub>
                              <m:sSubPr>
                                <m:ctrlPr>
                                  <w:rPr>
                                    <w:rFonts w:ascii="Cambria Math" w:hAnsi="Cambria Math"/>
                                    <w:i/>
                                  </w:rPr>
                                </m:ctrlPr>
                              </m:sSubPr>
                              <m:e>
                                <m:r>
                                  <w:rPr>
                                    <w:rFonts w:ascii="Cambria Math" w:hAnsi="Cambria Math"/>
                                  </w:rPr>
                                  <m:t>μ</m:t>
                                </m:r>
                              </m:e>
                              <m:sub>
                                <m:r>
                                  <w:rPr>
                                    <w:rFonts w:ascii="Cambria Math" w:hAnsi="Cambria Math"/>
                                  </w:rPr>
                                  <m:t>n</m:t>
                                </m:r>
                              </m:sub>
                            </m:sSub>
                          </m:den>
                        </m:f>
                      </m:e>
                    </m:d>
                    <m:r>
                      <w:rPr>
                        <w:rFonts w:ascii="Cambria Math" w:hAnsi="Cambria Math"/>
                      </w:rPr>
                      <m:t>+1</m:t>
                    </m:r>
                  </m:e>
                </m:d>
                <m:r>
                  <w:rPr>
                    <w:rFonts w:ascii="Cambria Math" w:hAnsi="Cambria Math"/>
                  </w:rPr>
                  <m:t>∙exp</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n</m:t>
                            </m:r>
                          </m:sub>
                          <m:sup>
                            <m:r>
                              <w:rPr>
                                <w:rFonts w:ascii="Cambria Math" w:hAnsi="Cambria Math"/>
                              </w:rPr>
                              <m:t>2</m:t>
                            </m:r>
                          </m:sup>
                        </m:sSubSup>
                      </m:num>
                      <m:den>
                        <m:r>
                          <w:rPr>
                            <w:rFonts w:ascii="Cambria Math" w:hAnsi="Cambria Math"/>
                          </w:rPr>
                          <m:t>4</m:t>
                        </m:r>
                        <m:sSubSup>
                          <m:sSubSupPr>
                            <m:ctrlPr>
                              <w:rPr>
                                <w:rFonts w:ascii="Cambria Math" w:hAnsi="Cambria Math"/>
                                <w:i/>
                              </w:rPr>
                            </m:ctrlPr>
                          </m:sSubSupPr>
                          <m:e>
                            <m:r>
                              <w:rPr>
                                <w:rFonts w:ascii="Cambria Math" w:hAnsi="Cambria Math"/>
                              </w:rPr>
                              <m:t>μ</m:t>
                            </m:r>
                          </m:e>
                          <m:sub>
                            <m:r>
                              <w:rPr>
                                <w:rFonts w:ascii="Cambria Math" w:hAnsi="Cambria Math"/>
                              </w:rPr>
                              <m:t>n</m:t>
                            </m:r>
                          </m:sub>
                          <m:sup>
                            <m:r>
                              <w:rPr>
                                <w:rFonts w:ascii="Cambria Math" w:hAnsi="Cambria Math"/>
                              </w:rPr>
                              <m:t>2</m:t>
                            </m:r>
                          </m:sup>
                        </m:sSubSup>
                      </m:den>
                    </m:f>
                    <m:r>
                      <w:rPr>
                        <w:rFonts w:ascii="Cambria Math" w:hAnsi="Cambria Math"/>
                      </w:rPr>
                      <m:t>-</m:t>
                    </m:r>
                    <m:f>
                      <m:fPr>
                        <m:ctrlPr>
                          <w:rPr>
                            <w:rFonts w:ascii="Cambria Math" w:hAnsi="Cambria Math"/>
                            <w:i/>
                          </w:rPr>
                        </m:ctrlPr>
                      </m:fPr>
                      <m:num>
                        <m:r>
                          <w:rPr>
                            <w:rFonts w:ascii="Cambria Math" w:hAnsi="Cambria Math"/>
                          </w:rPr>
                          <m:t>E-</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X</m:t>
                                </m:r>
                              </m:e>
                              <m:sub>
                                <m:r>
                                  <w:rPr>
                                    <w:rFonts w:ascii="Cambria Math" w:hAnsi="Cambria Math"/>
                                  </w:rPr>
                                  <m:t>n</m:t>
                                </m:r>
                              </m:sub>
                            </m:sSub>
                          </m:sub>
                        </m:sSub>
                        <m:r>
                          <w:rPr>
                            <w:rFonts w:ascii="Cambria Math" w:hAnsi="Cambria Math"/>
                          </w:rPr>
                          <m:t>+</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B</m:t>
                                </m:r>
                              </m:e>
                              <m:sub>
                                <m:r>
                                  <w:rPr>
                                    <w:rFonts w:ascii="Cambria Math" w:hAnsi="Cambria Math"/>
                                  </w:rPr>
                                  <m:t>n</m:t>
                                </m:r>
                              </m:sub>
                            </m:sSub>
                          </m:sub>
                        </m:sSub>
                      </m:num>
                      <m:den>
                        <m:sSub>
                          <m:sSubPr>
                            <m:ctrlPr>
                              <w:rPr>
                                <w:rFonts w:ascii="Cambria Math" w:hAnsi="Cambria Math"/>
                                <w:i/>
                              </w:rPr>
                            </m:ctrlPr>
                          </m:sSubPr>
                          <m:e>
                            <m:r>
                              <w:rPr>
                                <w:rFonts w:ascii="Cambria Math" w:hAnsi="Cambria Math"/>
                              </w:rPr>
                              <m:t>μ</m:t>
                            </m:r>
                          </m:e>
                          <m:sub>
                            <m:r>
                              <w:rPr>
                                <w:rFonts w:ascii="Cambria Math" w:hAnsi="Cambria Math"/>
                              </w:rPr>
                              <m:t>n</m:t>
                            </m:r>
                          </m:sub>
                        </m:sSub>
                      </m:den>
                    </m:f>
                  </m:e>
                </m:d>
              </m:oMath>
            </m:oMathPara>
          </w:p>
        </w:tc>
        <w:tc>
          <w:tcPr>
            <w:tcW w:w="657" w:type="dxa"/>
            <w:vAlign w:val="center"/>
          </w:tcPr>
          <w:p w14:paraId="1D1E4723" w14:textId="1610BE78" w:rsidR="001603C8" w:rsidRPr="004244BB" w:rsidRDefault="008E3D2F" w:rsidP="00CB1710">
            <w:pPr>
              <w:jc w:val="right"/>
              <w:rPr>
                <w:rFonts w:eastAsiaTheme="minorEastAsia"/>
              </w:rPr>
            </w:pPr>
            <w:r w:rsidRPr="004244BB">
              <w:t>(S</w:t>
            </w:r>
            <w:r w:rsidR="00152C10">
              <w:fldChar w:fldCharType="begin"/>
            </w:r>
            <w:r w:rsidR="00152C10">
              <w:instrText xml:space="preserve"> SEQ Equation \* ARABIC </w:instrText>
            </w:r>
            <w:r w:rsidR="00152C10">
              <w:fldChar w:fldCharType="separate"/>
            </w:r>
            <w:r w:rsidRPr="004244BB">
              <w:rPr>
                <w:noProof/>
              </w:rPr>
              <w:t>2</w:t>
            </w:r>
            <w:r w:rsidR="00152C10">
              <w:rPr>
                <w:noProof/>
              </w:rPr>
              <w:fldChar w:fldCharType="end"/>
            </w:r>
            <w:r w:rsidRPr="004244BB">
              <w:t>)</w:t>
            </w:r>
          </w:p>
        </w:tc>
      </w:tr>
      <w:tr w:rsidR="00B357CA" w:rsidRPr="004244BB" w14:paraId="25B67C2F" w14:textId="77777777" w:rsidTr="008501EC">
        <w:trPr>
          <w:trHeight w:val="900"/>
        </w:trPr>
        <w:tc>
          <w:tcPr>
            <w:tcW w:w="421" w:type="dxa"/>
          </w:tcPr>
          <w:p w14:paraId="4EF46196" w14:textId="77777777" w:rsidR="008E3D2F" w:rsidRPr="004244BB" w:rsidRDefault="008E3D2F" w:rsidP="008E3D2F">
            <w:pPr>
              <w:jc w:val="both"/>
              <w:rPr>
                <w:rFonts w:eastAsiaTheme="minorEastAsia"/>
              </w:rPr>
            </w:pPr>
          </w:p>
        </w:tc>
        <w:tc>
          <w:tcPr>
            <w:tcW w:w="7938" w:type="dxa"/>
            <w:vAlign w:val="center"/>
          </w:tcPr>
          <w:p w14:paraId="1050A005" w14:textId="5E39A9B2" w:rsidR="008E3D2F" w:rsidRPr="004244BB" w:rsidRDefault="00002871" w:rsidP="008E3D2F">
            <w:pPr>
              <w:jc w:val="both"/>
              <w:rPr>
                <w:rFonts w:ascii="Calibri" w:eastAsia="DengXian" w:hAnsi="Calibri" w:cs="Times New Roman"/>
              </w:rPr>
            </w:pPr>
            <m:oMathPara>
              <m:oMath>
                <m:r>
                  <w:rPr>
                    <w:rFonts w:ascii="Cambria Math" w:hAnsi="Cambria Math"/>
                  </w:rPr>
                  <m:t>C</m:t>
                </m:r>
                <m:d>
                  <m:dPr>
                    <m:ctrlPr>
                      <w:rPr>
                        <w:rFonts w:ascii="Cambria Math" w:hAnsi="Cambria Math"/>
                        <w:i/>
                      </w:rPr>
                    </m:ctrlPr>
                  </m:dPr>
                  <m:e>
                    <m:r>
                      <w:rPr>
                        <w:rFonts w:ascii="Cambria Math" w:hAnsi="Cambria Math"/>
                      </w:rPr>
                      <m:t>E</m:t>
                    </m:r>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C</m:t>
                        </m:r>
                      </m:sub>
                    </m:sSub>
                  </m:e>
                  <m:sub>
                    <m:r>
                      <w:rPr>
                        <w:rFonts w:ascii="Cambria Math" w:hAnsi="Cambria Math"/>
                      </w:rPr>
                      <m:t>n</m:t>
                    </m:r>
                  </m:sub>
                </m:sSub>
                <m:r>
                  <w:rPr>
                    <w:rFonts w:ascii="Cambria Math" w:hAnsi="Cambria Math"/>
                  </w:rPr>
                  <m:t>∙θ(E-</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X</m:t>
                        </m:r>
                      </m:e>
                      <m:sub>
                        <m:r>
                          <w:rPr>
                            <w:rFonts w:ascii="Cambria Math" w:hAnsi="Cambria Math"/>
                          </w:rPr>
                          <m:t>n</m:t>
                        </m:r>
                      </m:sub>
                    </m:sSub>
                  </m:sub>
                </m:sSub>
                <m:r>
                  <w:rPr>
                    <w:rFonts w:ascii="Cambria Math" w:hAnsi="Cambria Math"/>
                  </w:rPr>
                  <m:t>)∙</m:t>
                </m:r>
                <m:rad>
                  <m:radPr>
                    <m:degHide m:val="1"/>
                    <m:ctrlPr>
                      <w:rPr>
                        <w:rFonts w:ascii="Cambria Math" w:hAnsi="Cambria Math"/>
                        <w:i/>
                      </w:rPr>
                    </m:ctrlPr>
                  </m:radPr>
                  <m:deg/>
                  <m:e>
                    <m:r>
                      <w:rPr>
                        <w:rFonts w:ascii="Cambria Math" w:hAnsi="Cambria Math"/>
                      </w:rPr>
                      <m:t>E-</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X</m:t>
                            </m:r>
                          </m:e>
                          <m:sub>
                            <m:r>
                              <w:rPr>
                                <w:rFonts w:ascii="Cambria Math" w:hAnsi="Cambria Math"/>
                              </w:rPr>
                              <m:t>n</m:t>
                            </m:r>
                          </m:sub>
                        </m:sSub>
                      </m:sub>
                    </m:sSub>
                  </m:e>
                </m:rad>
                <m:r>
                  <w:rPr>
                    <w:rFonts w:ascii="Cambria Math" w:hAnsi="Cambria Math"/>
                  </w:rPr>
                  <m:t>∙</m:t>
                </m:r>
                <m:f>
                  <m:fPr>
                    <m:ctrlPr>
                      <w:rPr>
                        <w:rFonts w:ascii="Cambria Math" w:hAnsi="Cambria Math"/>
                        <w:i/>
                      </w:rPr>
                    </m:ctrlPr>
                  </m:fPr>
                  <m:num>
                    <m:r>
                      <w:rPr>
                        <w:rFonts w:ascii="Cambria Math" w:hAnsi="Cambria Math"/>
                      </w:rPr>
                      <m:t>π∙exp</m:t>
                    </m:r>
                    <m:d>
                      <m:dPr>
                        <m:ctrlPr>
                          <w:rPr>
                            <w:rFonts w:ascii="Cambria Math" w:hAnsi="Cambria Math"/>
                            <w:i/>
                          </w:rPr>
                        </m:ctrlPr>
                      </m:dPr>
                      <m:e>
                        <m:r>
                          <w:rPr>
                            <w:rFonts w:ascii="Cambria Math" w:hAnsi="Cambria Math"/>
                          </w:rPr>
                          <m:t>π∙</m:t>
                        </m:r>
                        <m:rad>
                          <m:radPr>
                            <m:degHide m:val="1"/>
                            <m:ctrlPr>
                              <w:rPr>
                                <w:rFonts w:ascii="Cambria Math" w:hAnsi="Cambria Math"/>
                                <w:i/>
                              </w:rPr>
                            </m:ctrlPr>
                          </m:radPr>
                          <m:deg/>
                          <m:e>
                            <m:r>
                              <w:rPr>
                                <w:rFonts w:ascii="Cambria Math" w:hAnsi="Cambria Math"/>
                              </w:rPr>
                              <m:t>E-</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X</m:t>
                                    </m:r>
                                  </m:e>
                                  <m:sub>
                                    <m:r>
                                      <w:rPr>
                                        <w:rFonts w:ascii="Cambria Math" w:hAnsi="Cambria Math"/>
                                      </w:rPr>
                                      <m:t>n</m:t>
                                    </m:r>
                                  </m:sub>
                                </m:sSub>
                              </m:sub>
                            </m:sSub>
                          </m:e>
                        </m:rad>
                      </m:e>
                    </m:d>
                  </m:num>
                  <m:den>
                    <m:r>
                      <w:rPr>
                        <w:rFonts w:ascii="Cambria Math" w:hAnsi="Cambria Math"/>
                      </w:rPr>
                      <m:t>sinh</m:t>
                    </m:r>
                    <m:d>
                      <m:dPr>
                        <m:ctrlPr>
                          <w:rPr>
                            <w:rFonts w:ascii="Cambria Math" w:hAnsi="Cambria Math"/>
                            <w:i/>
                          </w:rPr>
                        </m:ctrlPr>
                      </m:dPr>
                      <m:e>
                        <m:r>
                          <w:rPr>
                            <w:rFonts w:ascii="Cambria Math" w:hAnsi="Cambria Math"/>
                          </w:rPr>
                          <m:t>π∙</m:t>
                        </m:r>
                        <m:rad>
                          <m:radPr>
                            <m:degHide m:val="1"/>
                            <m:ctrlPr>
                              <w:rPr>
                                <w:rFonts w:ascii="Cambria Math" w:hAnsi="Cambria Math"/>
                                <w:i/>
                              </w:rPr>
                            </m:ctrlPr>
                          </m:radPr>
                          <m:deg/>
                          <m:e>
                            <m:r>
                              <w:rPr>
                                <w:rFonts w:ascii="Cambria Math" w:hAnsi="Cambria Math"/>
                              </w:rPr>
                              <m:t>E-</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X</m:t>
                                    </m:r>
                                  </m:e>
                                  <m:sub>
                                    <m:r>
                                      <w:rPr>
                                        <w:rFonts w:ascii="Cambria Math" w:hAnsi="Cambria Math"/>
                                      </w:rPr>
                                      <m:t>n</m:t>
                                    </m:r>
                                  </m:sub>
                                </m:sSub>
                              </m:sub>
                            </m:sSub>
                          </m:e>
                        </m:rad>
                      </m:e>
                    </m:d>
                  </m:den>
                </m:f>
              </m:oMath>
            </m:oMathPara>
          </w:p>
        </w:tc>
        <w:tc>
          <w:tcPr>
            <w:tcW w:w="657" w:type="dxa"/>
            <w:vAlign w:val="center"/>
          </w:tcPr>
          <w:p w14:paraId="0017A235" w14:textId="3530F96E" w:rsidR="008E3D2F" w:rsidRPr="004244BB" w:rsidRDefault="008E3D2F" w:rsidP="008E3D2F">
            <w:pPr>
              <w:jc w:val="right"/>
            </w:pPr>
            <w:r w:rsidRPr="004244BB">
              <w:t>(S</w:t>
            </w:r>
            <w:r w:rsidR="00152C10">
              <w:fldChar w:fldCharType="begin"/>
            </w:r>
            <w:r w:rsidR="00152C10">
              <w:instrText xml:space="preserve"> SEQ Equation \* ARABIC </w:instrText>
            </w:r>
            <w:r w:rsidR="00152C10">
              <w:fldChar w:fldCharType="separate"/>
            </w:r>
            <w:r w:rsidRPr="004244BB">
              <w:rPr>
                <w:noProof/>
              </w:rPr>
              <w:t>3</w:t>
            </w:r>
            <w:r w:rsidR="00152C10">
              <w:rPr>
                <w:noProof/>
              </w:rPr>
              <w:fldChar w:fldCharType="end"/>
            </w:r>
            <w:r w:rsidRPr="004244BB">
              <w:t>)</w:t>
            </w:r>
          </w:p>
        </w:tc>
      </w:tr>
      <w:tr w:rsidR="008501EC" w:rsidRPr="004244BB" w14:paraId="3FFC90B1" w14:textId="77777777" w:rsidTr="008501EC">
        <w:trPr>
          <w:trHeight w:val="75"/>
        </w:trPr>
        <w:tc>
          <w:tcPr>
            <w:tcW w:w="421" w:type="dxa"/>
          </w:tcPr>
          <w:p w14:paraId="24AEC24F" w14:textId="77777777" w:rsidR="008501EC" w:rsidRPr="004244BB" w:rsidRDefault="008501EC" w:rsidP="008E3D2F">
            <w:pPr>
              <w:jc w:val="both"/>
              <w:rPr>
                <w:rFonts w:eastAsiaTheme="minorEastAsia"/>
              </w:rPr>
            </w:pPr>
          </w:p>
        </w:tc>
        <w:tc>
          <w:tcPr>
            <w:tcW w:w="7938" w:type="dxa"/>
            <w:vAlign w:val="center"/>
          </w:tcPr>
          <w:p w14:paraId="5F6105E6" w14:textId="77777777" w:rsidR="008501EC" w:rsidRPr="004244BB" w:rsidRDefault="008501EC" w:rsidP="008E3D2F">
            <w:pPr>
              <w:jc w:val="both"/>
              <w:rPr>
                <w:rFonts w:ascii="Calibri" w:eastAsia="DengXian" w:hAnsi="Calibri" w:cs="Times New Roman"/>
              </w:rPr>
            </w:pPr>
          </w:p>
        </w:tc>
        <w:tc>
          <w:tcPr>
            <w:tcW w:w="657" w:type="dxa"/>
            <w:vAlign w:val="center"/>
          </w:tcPr>
          <w:p w14:paraId="282C210C" w14:textId="77777777" w:rsidR="008501EC" w:rsidRPr="004244BB" w:rsidRDefault="008501EC" w:rsidP="008E3D2F">
            <w:pPr>
              <w:jc w:val="right"/>
            </w:pPr>
          </w:p>
        </w:tc>
      </w:tr>
    </w:tbl>
    <w:p w14:paraId="2B980DEF" w14:textId="36B49BEB" w:rsidR="00693202" w:rsidRDefault="00405491" w:rsidP="008501EC">
      <w:pPr>
        <w:pStyle w:val="NoSpacing"/>
        <w:spacing w:line="480" w:lineRule="auto"/>
      </w:pPr>
      <w:r w:rsidRPr="004244BB">
        <w:t>w</w:t>
      </w:r>
      <w:r w:rsidR="00B357CA" w:rsidRPr="004244BB">
        <w:t xml:space="preserve">here </w:t>
      </w:r>
      <m:oMath>
        <m:sSub>
          <m:sSubPr>
            <m:ctrlPr>
              <w:rPr>
                <w:rFonts w:ascii="Cambria Math" w:hAnsi="Cambria Math"/>
                <w:i/>
              </w:rPr>
            </m:ctrlPr>
          </m:sSubPr>
          <m:e>
            <m:r>
              <w:rPr>
                <w:rFonts w:ascii="Cambria Math" w:hAnsi="Cambria Math"/>
              </w:rPr>
              <m:t>E</m:t>
            </m:r>
          </m:e>
          <m:sub>
            <m:r>
              <w:rPr>
                <w:rFonts w:ascii="Cambria Math" w:hAnsi="Cambria Math"/>
              </w:rPr>
              <m:t>X</m:t>
            </m:r>
          </m:sub>
        </m:sSub>
      </m:oMath>
      <w:r w:rsidR="00141F7B" w:rsidRPr="004244BB">
        <w:t xml:space="preserve"> is the exciton energy and </w:t>
      </w:r>
      <m:oMath>
        <m:sSub>
          <m:sSubPr>
            <m:ctrlPr>
              <w:rPr>
                <w:rFonts w:ascii="Cambria Math" w:hAnsi="Cambria Math"/>
                <w:i/>
              </w:rPr>
            </m:ctrlPr>
          </m:sSubPr>
          <m:e>
            <m:r>
              <w:rPr>
                <w:rFonts w:ascii="Cambria Math" w:hAnsi="Cambria Math"/>
              </w:rPr>
              <m:t>E</m:t>
            </m:r>
          </m:e>
          <m:sub>
            <m:r>
              <w:rPr>
                <w:rFonts w:ascii="Cambria Math" w:hAnsi="Cambria Math"/>
              </w:rPr>
              <m:t>B</m:t>
            </m:r>
          </m:sub>
        </m:sSub>
      </m:oMath>
      <w:r w:rsidRPr="004244BB">
        <w:t xml:space="preserve"> is the exciton binding energy, </w:t>
      </w:r>
      <m:oMath>
        <m:r>
          <w:rPr>
            <w:rFonts w:ascii="Cambria Math" w:hAnsi="Cambria Math"/>
          </w:rPr>
          <m:t>w</m:t>
        </m:r>
      </m:oMath>
      <w:r w:rsidR="002D2170" w:rsidRPr="004244BB">
        <w:t xml:space="preserve"> is the </w:t>
      </w:r>
      <w:r w:rsidR="00E16D2C" w:rsidRPr="004244BB">
        <w:t>exciton line width,</w:t>
      </w:r>
      <w:r w:rsidR="00423B90" w:rsidRPr="004244BB">
        <w:t xml:space="preserve"> </w:t>
      </w:r>
      <m:oMath>
        <m:r>
          <w:rPr>
            <w:rFonts w:ascii="Cambria Math" w:hAnsi="Cambria Math"/>
          </w:rPr>
          <m:t>μ</m:t>
        </m:r>
      </m:oMath>
      <w:r w:rsidR="00423B90" w:rsidRPr="004244BB">
        <w:t xml:space="preserve"> is the asymmetric broadening t</w:t>
      </w:r>
      <w:r w:rsidR="005F52BC" w:rsidRPr="004244BB">
        <w:t>e</w:t>
      </w:r>
      <w:r w:rsidR="00423B90" w:rsidRPr="004244BB">
        <w:t xml:space="preserve">rm </w:t>
      </w:r>
      <w:r w:rsidR="00795EA7" w:rsidRPr="004244BB">
        <w:t xml:space="preserve">due to transitions into higher energies or </w:t>
      </w:r>
      <w:r w:rsidR="0011206B" w:rsidRPr="004244BB">
        <w:t xml:space="preserve">due to exciton localisation, and </w:t>
      </w:r>
      <m:oMath>
        <m:r>
          <w:rPr>
            <w:rFonts w:ascii="Cambria Math" w:hAnsi="Cambria Math"/>
          </w:rPr>
          <m:t xml:space="preserve">A </m:t>
        </m:r>
      </m:oMath>
      <w:r w:rsidR="006B145A" w:rsidRPr="004244BB">
        <w:t>the weight of the amplitudes</w:t>
      </w:r>
      <w:r w:rsidR="00243DDA" w:rsidRPr="004244BB">
        <w:t xml:space="preserve"> for each contribution</w:t>
      </w:r>
      <w:r w:rsidR="006B145A" w:rsidRPr="004244BB">
        <w:t>.</w:t>
      </w:r>
      <w:r w:rsidR="006B145A">
        <w:t xml:space="preserve"> </w:t>
      </w:r>
    </w:p>
    <w:p w14:paraId="05EA621C" w14:textId="6A879451" w:rsidR="00E32C95" w:rsidRDefault="002A10E4" w:rsidP="00E32C95">
      <w:pPr>
        <w:keepNext/>
        <w:jc w:val="center"/>
      </w:pPr>
      <w:r>
        <w:rPr>
          <w:noProof/>
        </w:rPr>
        <w:drawing>
          <wp:inline distT="0" distB="0" distL="0" distR="0" wp14:anchorId="2D5D6D8D" wp14:editId="08A14108">
            <wp:extent cx="3434268" cy="2819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5228" cy="2844817"/>
                    </a:xfrm>
                    <a:prstGeom prst="rect">
                      <a:avLst/>
                    </a:prstGeom>
                    <a:noFill/>
                    <a:ln>
                      <a:noFill/>
                    </a:ln>
                  </pic:spPr>
                </pic:pic>
              </a:graphicData>
            </a:graphic>
          </wp:inline>
        </w:drawing>
      </w:r>
    </w:p>
    <w:p w14:paraId="776EA0C8" w14:textId="6400E32B" w:rsidR="00624EB8" w:rsidRDefault="00E32C95" w:rsidP="004A5FCB">
      <w:r>
        <w:t>Figure S</w:t>
      </w:r>
      <w:r w:rsidR="00152C10">
        <w:fldChar w:fldCharType="begin"/>
      </w:r>
      <w:r w:rsidR="00152C10">
        <w:instrText xml:space="preserve"> SEQ Figure_S \* ARABIC </w:instrText>
      </w:r>
      <w:r w:rsidR="00152C10">
        <w:fldChar w:fldCharType="separate"/>
      </w:r>
      <w:r>
        <w:rPr>
          <w:noProof/>
        </w:rPr>
        <w:t>2</w:t>
      </w:r>
      <w:r w:rsidR="00152C10">
        <w:rPr>
          <w:noProof/>
        </w:rPr>
        <w:fldChar w:fldCharType="end"/>
      </w:r>
      <w:r>
        <w:t xml:space="preserve">: </w:t>
      </w:r>
      <w:r w:rsidR="00822B2D">
        <w:t xml:space="preserve">Decomposition of the absorption spectrum using the Elliot formula </w:t>
      </w:r>
      <w:r w:rsidR="00915E4E">
        <w:t>with main contributions from</w:t>
      </w:r>
      <w:r w:rsidR="00DC343F">
        <w:t xml:space="preserve"> Q2D grains of</w:t>
      </w:r>
      <w:r w:rsidR="00915E4E">
        <w:t xml:space="preserve"> &lt;n&gt;=8 and &lt;n&gt;=2</w:t>
      </w:r>
      <w:r w:rsidR="00F15499">
        <w:t>, showing the exciton (gree</w:t>
      </w:r>
      <w:r w:rsidR="00E91D2B">
        <w:t>n, solid</w:t>
      </w:r>
      <w:r w:rsidR="00F15499">
        <w:t>) and continuum</w:t>
      </w:r>
      <w:r w:rsidR="00E91D2B">
        <w:t xml:space="preserve"> (red, solid) </w:t>
      </w:r>
      <w:r w:rsidR="00F15499">
        <w:t xml:space="preserve"> contributions </w:t>
      </w:r>
      <w:r w:rsidR="00E91D2B">
        <w:t xml:space="preserve">as well as the </w:t>
      </w:r>
      <w:r w:rsidR="00FA3492">
        <w:t>sum (blue, dashed).</w:t>
      </w:r>
    </w:p>
    <w:p w14:paraId="1117CD07" w14:textId="77777777" w:rsidR="003A4363" w:rsidRDefault="003A4363" w:rsidP="004A5FCB"/>
    <w:tbl>
      <w:tblPr>
        <w:tblStyle w:val="TableGrid"/>
        <w:tblW w:w="0" w:type="auto"/>
        <w:jc w:val="center"/>
        <w:tblLook w:val="04A0" w:firstRow="1" w:lastRow="0" w:firstColumn="1" w:lastColumn="0" w:noHBand="0" w:noVBand="1"/>
      </w:tblPr>
      <w:tblGrid>
        <w:gridCol w:w="2405"/>
        <w:gridCol w:w="2268"/>
      </w:tblGrid>
      <w:tr w:rsidR="00EE430C" w14:paraId="1CBF5B8D" w14:textId="77777777" w:rsidTr="002D1C28">
        <w:trPr>
          <w:trHeight w:val="397"/>
          <w:jc w:val="center"/>
        </w:trPr>
        <w:tc>
          <w:tcPr>
            <w:tcW w:w="2405" w:type="dxa"/>
            <w:vAlign w:val="center"/>
          </w:tcPr>
          <w:p w14:paraId="09A9416E" w14:textId="50D90F56" w:rsidR="00EE430C" w:rsidRDefault="00152C10" w:rsidP="004E248A">
            <w:pPr>
              <w:jc w:val="center"/>
            </w:pP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X</m:t>
                      </m:r>
                    </m:e>
                    <m:sub>
                      <m:r>
                        <w:rPr>
                          <w:rFonts w:ascii="Cambria Math" w:hAnsi="Cambria Math"/>
                        </w:rPr>
                        <m:t>&lt;n&gt;8</m:t>
                      </m:r>
                    </m:sub>
                  </m:sSub>
                </m:sub>
              </m:sSub>
            </m:oMath>
            <w:r w:rsidR="00473842">
              <w:t xml:space="preserve">  </w:t>
            </w:r>
            <w:r w:rsidR="00DB0A46">
              <w:t>[</w:t>
            </w:r>
            <w:r w:rsidR="00473842">
              <w:t>eV</w:t>
            </w:r>
            <w:r w:rsidR="00DB0A46">
              <w:t>]</w:t>
            </w:r>
          </w:p>
        </w:tc>
        <w:tc>
          <w:tcPr>
            <w:tcW w:w="2268" w:type="dxa"/>
            <w:vAlign w:val="center"/>
          </w:tcPr>
          <w:p w14:paraId="3D3FD428" w14:textId="056FA6A0" w:rsidR="00EE430C" w:rsidRDefault="00D73F41" w:rsidP="004E248A">
            <w:pPr>
              <w:jc w:val="right"/>
            </w:pPr>
            <w:r>
              <w:t>2.31</w:t>
            </w:r>
            <w:r w:rsidR="0018250A">
              <w:t>30 </w:t>
            </w:r>
            <w:r w:rsidR="0018250A">
              <w:rPr>
                <w:rFonts w:cstheme="minorHAnsi"/>
              </w:rPr>
              <w:t>± </w:t>
            </w:r>
            <w:r w:rsidR="00BD7EF0">
              <w:rPr>
                <w:rFonts w:cstheme="minorHAnsi"/>
              </w:rPr>
              <w:t>0.0054</w:t>
            </w:r>
          </w:p>
        </w:tc>
      </w:tr>
      <w:tr w:rsidR="00EE430C" w14:paraId="78B80ED5" w14:textId="77777777" w:rsidTr="002D1C28">
        <w:trPr>
          <w:trHeight w:val="397"/>
          <w:jc w:val="center"/>
        </w:trPr>
        <w:tc>
          <w:tcPr>
            <w:tcW w:w="2405" w:type="dxa"/>
            <w:vAlign w:val="center"/>
          </w:tcPr>
          <w:p w14:paraId="7427FEAB" w14:textId="55BB2172" w:rsidR="00EE430C" w:rsidRDefault="00152C10" w:rsidP="004E248A">
            <w:pPr>
              <w:jc w:val="center"/>
            </w:pP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B</m:t>
                      </m:r>
                    </m:e>
                    <m:sub>
                      <m:r>
                        <w:rPr>
                          <w:rFonts w:ascii="Cambria Math" w:hAnsi="Cambria Math"/>
                        </w:rPr>
                        <m:t>&lt;n&gt;8</m:t>
                      </m:r>
                    </m:sub>
                  </m:sSub>
                </m:sub>
              </m:sSub>
            </m:oMath>
            <w:r w:rsidR="00DB0A46">
              <w:t xml:space="preserve">  [eV]</w:t>
            </w:r>
          </w:p>
        </w:tc>
        <w:tc>
          <w:tcPr>
            <w:tcW w:w="2268" w:type="dxa"/>
            <w:vAlign w:val="center"/>
          </w:tcPr>
          <w:p w14:paraId="3D61ED24" w14:textId="6697EA12" w:rsidR="00EE430C" w:rsidRDefault="000B2A57" w:rsidP="004E248A">
            <w:pPr>
              <w:jc w:val="right"/>
            </w:pPr>
            <w:r>
              <w:t>0.0157 </w:t>
            </w:r>
            <w:r>
              <w:rPr>
                <w:rFonts w:cstheme="minorHAnsi"/>
              </w:rPr>
              <w:t>± </w:t>
            </w:r>
            <w:r w:rsidR="00BD7EF0">
              <w:rPr>
                <w:rFonts w:cstheme="minorHAnsi"/>
              </w:rPr>
              <w:t>0.0</w:t>
            </w:r>
            <w:r w:rsidR="00802287">
              <w:rPr>
                <w:rFonts w:cstheme="minorHAnsi"/>
              </w:rPr>
              <w:t>01</w:t>
            </w:r>
            <w:r w:rsidR="00BD7EF0">
              <w:rPr>
                <w:rFonts w:cstheme="minorHAnsi"/>
              </w:rPr>
              <w:t>5</w:t>
            </w:r>
          </w:p>
        </w:tc>
      </w:tr>
      <w:tr w:rsidR="00EE430C" w14:paraId="14E95148" w14:textId="77777777" w:rsidTr="002D1C28">
        <w:trPr>
          <w:trHeight w:val="397"/>
          <w:jc w:val="center"/>
        </w:trPr>
        <w:tc>
          <w:tcPr>
            <w:tcW w:w="2405" w:type="dxa"/>
            <w:vAlign w:val="center"/>
          </w:tcPr>
          <w:p w14:paraId="48B0D484" w14:textId="0E4D83DE" w:rsidR="00EE430C" w:rsidRDefault="00152C10" w:rsidP="004E248A">
            <w:pPr>
              <w:jc w:val="center"/>
            </w:pPr>
            <m:oMath>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X</m:t>
                      </m:r>
                    </m:sub>
                  </m:sSub>
                </m:e>
                <m:sub>
                  <m:r>
                    <w:rPr>
                      <w:rFonts w:ascii="Cambria Math" w:hAnsi="Cambria Math"/>
                    </w:rPr>
                    <m:t>&lt;n&gt;8</m:t>
                  </m:r>
                </m:sub>
              </m:sSub>
            </m:oMath>
            <w:r w:rsidR="00DB0A46">
              <w:t xml:space="preserve">  [eV]</w:t>
            </w:r>
          </w:p>
        </w:tc>
        <w:tc>
          <w:tcPr>
            <w:tcW w:w="2268" w:type="dxa"/>
            <w:vAlign w:val="center"/>
          </w:tcPr>
          <w:p w14:paraId="42D5A677" w14:textId="621578ED" w:rsidR="00EE430C" w:rsidRDefault="000B2A57" w:rsidP="004E248A">
            <w:pPr>
              <w:jc w:val="right"/>
            </w:pPr>
            <w:r>
              <w:t xml:space="preserve">0.0371 </w:t>
            </w:r>
            <w:r>
              <w:rPr>
                <w:rFonts w:cstheme="minorHAnsi"/>
              </w:rPr>
              <w:t>± </w:t>
            </w:r>
            <w:r w:rsidR="00171A9A">
              <w:rPr>
                <w:rFonts w:cstheme="minorHAnsi"/>
              </w:rPr>
              <w:t>0.0087</w:t>
            </w:r>
          </w:p>
        </w:tc>
      </w:tr>
      <w:tr w:rsidR="00EE430C" w14:paraId="18940114" w14:textId="77777777" w:rsidTr="002D1C28">
        <w:trPr>
          <w:trHeight w:val="397"/>
          <w:jc w:val="center"/>
        </w:trPr>
        <w:tc>
          <w:tcPr>
            <w:tcW w:w="2405" w:type="dxa"/>
            <w:vAlign w:val="center"/>
          </w:tcPr>
          <w:p w14:paraId="0396EA77" w14:textId="4EC88DED" w:rsidR="00EE430C" w:rsidRDefault="00152C10" w:rsidP="004E248A">
            <w:pPr>
              <w:jc w:val="center"/>
            </w:pPr>
            <m:oMath>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C</m:t>
                      </m:r>
                    </m:sub>
                  </m:sSub>
                </m:e>
                <m:sub>
                  <m:r>
                    <w:rPr>
                      <w:rFonts w:ascii="Cambria Math" w:hAnsi="Cambria Math"/>
                    </w:rPr>
                    <m:t>&lt;n&gt;8</m:t>
                  </m:r>
                </m:sub>
              </m:sSub>
            </m:oMath>
            <w:r w:rsidR="00DB0A46">
              <w:t xml:space="preserve">  [eV]</w:t>
            </w:r>
          </w:p>
        </w:tc>
        <w:tc>
          <w:tcPr>
            <w:tcW w:w="2268" w:type="dxa"/>
            <w:vAlign w:val="center"/>
          </w:tcPr>
          <w:p w14:paraId="4FAD805E" w14:textId="5AA76001" w:rsidR="00EE430C" w:rsidRDefault="000B2A57" w:rsidP="004E248A">
            <w:pPr>
              <w:jc w:val="right"/>
            </w:pPr>
            <w:r>
              <w:t>0.02</w:t>
            </w:r>
            <w:r w:rsidR="0019790C">
              <w:t xml:space="preserve">65 </w:t>
            </w:r>
            <w:r w:rsidR="0019790C">
              <w:rPr>
                <w:rFonts w:cstheme="minorHAnsi"/>
              </w:rPr>
              <w:t>± </w:t>
            </w:r>
            <w:r w:rsidR="00171A9A">
              <w:rPr>
                <w:rFonts w:cstheme="minorHAnsi"/>
              </w:rPr>
              <w:t>0.0</w:t>
            </w:r>
            <w:r w:rsidR="00802287">
              <w:rPr>
                <w:rFonts w:cstheme="minorHAnsi"/>
              </w:rPr>
              <w:t>0</w:t>
            </w:r>
            <w:r w:rsidR="00171A9A">
              <w:rPr>
                <w:rFonts w:cstheme="minorHAnsi"/>
              </w:rPr>
              <w:t>48</w:t>
            </w:r>
          </w:p>
        </w:tc>
      </w:tr>
      <w:tr w:rsidR="00EE430C" w14:paraId="07A69986" w14:textId="77777777" w:rsidTr="002D1C28">
        <w:trPr>
          <w:trHeight w:val="397"/>
          <w:jc w:val="center"/>
        </w:trPr>
        <w:tc>
          <w:tcPr>
            <w:tcW w:w="2405" w:type="dxa"/>
            <w:vAlign w:val="center"/>
          </w:tcPr>
          <w:p w14:paraId="67521A1B" w14:textId="7EF9925D" w:rsidR="00EE430C" w:rsidRDefault="00152C10" w:rsidP="004E248A">
            <w:pPr>
              <w:jc w:val="center"/>
            </w:pPr>
            <m:oMath>
              <m:sSub>
                <m:sSubPr>
                  <m:ctrlPr>
                    <w:rPr>
                      <w:rFonts w:ascii="Cambria Math" w:hAnsi="Cambria Math"/>
                      <w:i/>
                    </w:rPr>
                  </m:ctrlPr>
                </m:sSubPr>
                <m:e>
                  <m:r>
                    <w:rPr>
                      <w:rFonts w:ascii="Cambria Math" w:hAnsi="Cambria Math"/>
                    </w:rPr>
                    <m:t>w</m:t>
                  </m:r>
                </m:e>
                <m:sub>
                  <m:r>
                    <w:rPr>
                      <w:rFonts w:ascii="Cambria Math" w:hAnsi="Cambria Math"/>
                    </w:rPr>
                    <m:t>&lt;n&gt;8</m:t>
                  </m:r>
                </m:sub>
              </m:sSub>
            </m:oMath>
            <w:r w:rsidR="00DB0A46">
              <w:t xml:space="preserve">  [eV]</w:t>
            </w:r>
          </w:p>
        </w:tc>
        <w:tc>
          <w:tcPr>
            <w:tcW w:w="2268" w:type="dxa"/>
            <w:vAlign w:val="center"/>
          </w:tcPr>
          <w:p w14:paraId="53C06E0D" w14:textId="275525A9" w:rsidR="00EE430C" w:rsidRDefault="0019790C" w:rsidP="004E248A">
            <w:pPr>
              <w:jc w:val="right"/>
            </w:pPr>
            <w:r>
              <w:t xml:space="preserve">0.0266 </w:t>
            </w:r>
            <w:r>
              <w:rPr>
                <w:rFonts w:cstheme="minorHAnsi"/>
              </w:rPr>
              <w:t>± </w:t>
            </w:r>
            <w:r w:rsidR="00171A9A">
              <w:rPr>
                <w:rFonts w:cstheme="minorHAnsi"/>
              </w:rPr>
              <w:t>0.0162</w:t>
            </w:r>
          </w:p>
        </w:tc>
      </w:tr>
      <w:tr w:rsidR="00EE430C" w14:paraId="11003CFA" w14:textId="77777777" w:rsidTr="002D1C28">
        <w:trPr>
          <w:trHeight w:val="397"/>
          <w:jc w:val="center"/>
        </w:trPr>
        <w:tc>
          <w:tcPr>
            <w:tcW w:w="2405" w:type="dxa"/>
            <w:vAlign w:val="center"/>
          </w:tcPr>
          <w:p w14:paraId="334CE5B7" w14:textId="4770EEC0" w:rsidR="00EE430C" w:rsidRDefault="00152C10" w:rsidP="004E248A">
            <w:pPr>
              <w:jc w:val="center"/>
            </w:pPr>
            <m:oMath>
              <m:sSub>
                <m:sSubPr>
                  <m:ctrlPr>
                    <w:rPr>
                      <w:rFonts w:ascii="Cambria Math" w:hAnsi="Cambria Math"/>
                      <w:i/>
                    </w:rPr>
                  </m:ctrlPr>
                </m:sSubPr>
                <m:e>
                  <m:r>
                    <w:rPr>
                      <w:rFonts w:ascii="Cambria Math" w:hAnsi="Cambria Math"/>
                    </w:rPr>
                    <m:t>μ</m:t>
                  </m:r>
                </m:e>
                <m:sub>
                  <m:r>
                    <w:rPr>
                      <w:rFonts w:ascii="Cambria Math" w:hAnsi="Cambria Math"/>
                    </w:rPr>
                    <m:t>&lt;n&gt;8</m:t>
                  </m:r>
                </m:sub>
              </m:sSub>
            </m:oMath>
            <w:r w:rsidR="00DB0A46">
              <w:t xml:space="preserve">  [eV]</w:t>
            </w:r>
          </w:p>
        </w:tc>
        <w:tc>
          <w:tcPr>
            <w:tcW w:w="2268" w:type="dxa"/>
            <w:vAlign w:val="center"/>
          </w:tcPr>
          <w:p w14:paraId="28156FFA" w14:textId="6375F39D" w:rsidR="00EE430C" w:rsidRDefault="0019790C" w:rsidP="004E248A">
            <w:pPr>
              <w:jc w:val="right"/>
            </w:pPr>
            <w:r>
              <w:t xml:space="preserve">0.2925 </w:t>
            </w:r>
            <w:r>
              <w:rPr>
                <w:rFonts w:cstheme="minorHAnsi"/>
              </w:rPr>
              <w:t>± </w:t>
            </w:r>
            <w:r w:rsidR="00171A9A">
              <w:rPr>
                <w:rFonts w:cstheme="minorHAnsi"/>
              </w:rPr>
              <w:t>0.</w:t>
            </w:r>
            <w:r w:rsidR="00802287">
              <w:rPr>
                <w:rFonts w:cstheme="minorHAnsi"/>
              </w:rPr>
              <w:t>0047</w:t>
            </w:r>
          </w:p>
        </w:tc>
      </w:tr>
      <w:tr w:rsidR="00EE430C" w14:paraId="139A6B05" w14:textId="77777777" w:rsidTr="002D1C28">
        <w:trPr>
          <w:trHeight w:val="397"/>
          <w:jc w:val="center"/>
        </w:trPr>
        <w:tc>
          <w:tcPr>
            <w:tcW w:w="2405" w:type="dxa"/>
            <w:vAlign w:val="center"/>
          </w:tcPr>
          <w:p w14:paraId="3E86C01E" w14:textId="5284040E" w:rsidR="00EE430C" w:rsidRDefault="00152C10" w:rsidP="004E248A">
            <w:pPr>
              <w:jc w:val="center"/>
            </w:pP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X</m:t>
                      </m:r>
                    </m:e>
                    <m:sub>
                      <m:r>
                        <w:rPr>
                          <w:rFonts w:ascii="Cambria Math" w:hAnsi="Cambria Math"/>
                        </w:rPr>
                        <m:t>&lt;n&gt;2</m:t>
                      </m:r>
                    </m:sub>
                  </m:sSub>
                </m:sub>
              </m:sSub>
            </m:oMath>
            <w:r w:rsidR="00DB0A46">
              <w:t xml:space="preserve">  [eV]</w:t>
            </w:r>
          </w:p>
        </w:tc>
        <w:tc>
          <w:tcPr>
            <w:tcW w:w="2268" w:type="dxa"/>
            <w:vAlign w:val="center"/>
          </w:tcPr>
          <w:p w14:paraId="528512BE" w14:textId="1B761066" w:rsidR="00EE430C" w:rsidRDefault="0019790C" w:rsidP="004E248A">
            <w:pPr>
              <w:jc w:val="right"/>
            </w:pPr>
            <w:r>
              <w:t>3.0008</w:t>
            </w:r>
            <w:r w:rsidR="00821492">
              <w:t xml:space="preserve"> </w:t>
            </w:r>
            <w:r w:rsidR="00821492">
              <w:rPr>
                <w:rFonts w:cstheme="minorHAnsi"/>
              </w:rPr>
              <w:t>± </w:t>
            </w:r>
            <w:r w:rsidR="007C6F4F">
              <w:rPr>
                <w:rFonts w:cstheme="minorHAnsi"/>
              </w:rPr>
              <w:t>0.</w:t>
            </w:r>
            <w:r w:rsidR="00802287">
              <w:rPr>
                <w:rFonts w:cstheme="minorHAnsi"/>
              </w:rPr>
              <w:t>3052</w:t>
            </w:r>
          </w:p>
        </w:tc>
      </w:tr>
      <w:tr w:rsidR="00EE430C" w14:paraId="703DCE2F" w14:textId="77777777" w:rsidTr="002D1C28">
        <w:trPr>
          <w:trHeight w:val="397"/>
          <w:jc w:val="center"/>
        </w:trPr>
        <w:tc>
          <w:tcPr>
            <w:tcW w:w="2405" w:type="dxa"/>
            <w:vAlign w:val="center"/>
          </w:tcPr>
          <w:p w14:paraId="006C9F83" w14:textId="16EE54B3" w:rsidR="00EE430C" w:rsidRDefault="00152C10" w:rsidP="004E248A">
            <w:pPr>
              <w:jc w:val="center"/>
            </w:pP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B</m:t>
                      </m:r>
                    </m:e>
                    <m:sub>
                      <m:r>
                        <w:rPr>
                          <w:rFonts w:ascii="Cambria Math" w:hAnsi="Cambria Math"/>
                        </w:rPr>
                        <m:t>&lt;n&gt;2</m:t>
                      </m:r>
                    </m:sub>
                  </m:sSub>
                </m:sub>
              </m:sSub>
            </m:oMath>
            <w:r w:rsidR="00DB0A46">
              <w:t xml:space="preserve">  [eV]</w:t>
            </w:r>
          </w:p>
        </w:tc>
        <w:tc>
          <w:tcPr>
            <w:tcW w:w="2268" w:type="dxa"/>
            <w:vAlign w:val="center"/>
          </w:tcPr>
          <w:p w14:paraId="623015AB" w14:textId="24F497CE" w:rsidR="00EE430C" w:rsidRDefault="00821492" w:rsidP="004E248A">
            <w:pPr>
              <w:jc w:val="right"/>
            </w:pPr>
            <w:r>
              <w:t xml:space="preserve">0.1980 </w:t>
            </w:r>
            <w:r>
              <w:rPr>
                <w:rFonts w:cstheme="minorHAnsi"/>
              </w:rPr>
              <w:t>± </w:t>
            </w:r>
            <w:r w:rsidR="007C6F4F">
              <w:rPr>
                <w:rFonts w:cstheme="minorHAnsi"/>
              </w:rPr>
              <w:t>0.0062</w:t>
            </w:r>
          </w:p>
        </w:tc>
      </w:tr>
      <w:tr w:rsidR="00EE430C" w14:paraId="35AA39E8" w14:textId="77777777" w:rsidTr="002D1C28">
        <w:trPr>
          <w:trHeight w:val="397"/>
          <w:jc w:val="center"/>
        </w:trPr>
        <w:tc>
          <w:tcPr>
            <w:tcW w:w="2405" w:type="dxa"/>
            <w:vAlign w:val="center"/>
          </w:tcPr>
          <w:p w14:paraId="64B74E4F" w14:textId="65C63104" w:rsidR="00EE430C" w:rsidRDefault="00152C10" w:rsidP="004E248A">
            <w:pPr>
              <w:jc w:val="center"/>
            </w:pPr>
            <m:oMath>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X</m:t>
                      </m:r>
                    </m:sub>
                  </m:sSub>
                </m:e>
                <m:sub>
                  <m:r>
                    <w:rPr>
                      <w:rFonts w:ascii="Cambria Math" w:hAnsi="Cambria Math"/>
                    </w:rPr>
                    <m:t>&lt;n&gt;2</m:t>
                  </m:r>
                </m:sub>
              </m:sSub>
            </m:oMath>
            <w:r w:rsidR="00DB0A46">
              <w:t xml:space="preserve">  [eV]</w:t>
            </w:r>
          </w:p>
        </w:tc>
        <w:tc>
          <w:tcPr>
            <w:tcW w:w="2268" w:type="dxa"/>
            <w:vAlign w:val="center"/>
          </w:tcPr>
          <w:p w14:paraId="67441526" w14:textId="3745265B" w:rsidR="00EE430C" w:rsidRDefault="005145D2" w:rsidP="004E248A">
            <w:pPr>
              <w:jc w:val="right"/>
            </w:pPr>
            <w:r>
              <w:t xml:space="preserve">0.0959 </w:t>
            </w:r>
            <w:r>
              <w:rPr>
                <w:rFonts w:cstheme="minorHAnsi"/>
              </w:rPr>
              <w:t>± </w:t>
            </w:r>
            <w:r w:rsidR="007C6F4F">
              <w:rPr>
                <w:rFonts w:cstheme="minorHAnsi"/>
              </w:rPr>
              <w:t>0.0116</w:t>
            </w:r>
          </w:p>
        </w:tc>
      </w:tr>
      <w:tr w:rsidR="00EE430C" w14:paraId="381236C4" w14:textId="77777777" w:rsidTr="002D1C28">
        <w:trPr>
          <w:trHeight w:val="397"/>
          <w:jc w:val="center"/>
        </w:trPr>
        <w:tc>
          <w:tcPr>
            <w:tcW w:w="2405" w:type="dxa"/>
            <w:vAlign w:val="center"/>
          </w:tcPr>
          <w:p w14:paraId="254829D8" w14:textId="7F535019" w:rsidR="00EE430C" w:rsidRDefault="00152C10" w:rsidP="004E248A">
            <w:pPr>
              <w:jc w:val="center"/>
            </w:pPr>
            <m:oMath>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C</m:t>
                      </m:r>
                    </m:sub>
                  </m:sSub>
                </m:e>
                <m:sub>
                  <m:r>
                    <w:rPr>
                      <w:rFonts w:ascii="Cambria Math" w:hAnsi="Cambria Math"/>
                    </w:rPr>
                    <m:t>&lt;n&gt;2</m:t>
                  </m:r>
                </m:sub>
              </m:sSub>
            </m:oMath>
            <w:r w:rsidR="00DB0A46">
              <w:t xml:space="preserve">  [eV]</w:t>
            </w:r>
          </w:p>
        </w:tc>
        <w:tc>
          <w:tcPr>
            <w:tcW w:w="2268" w:type="dxa"/>
            <w:vAlign w:val="center"/>
          </w:tcPr>
          <w:p w14:paraId="5C7A04BB" w14:textId="68D2EF5C" w:rsidR="00EE430C" w:rsidRDefault="005145D2" w:rsidP="004E248A">
            <w:pPr>
              <w:jc w:val="right"/>
            </w:pPr>
            <w:r>
              <w:t xml:space="preserve">0.0571 </w:t>
            </w:r>
            <w:r>
              <w:rPr>
                <w:rFonts w:cstheme="minorHAnsi"/>
              </w:rPr>
              <w:t>± </w:t>
            </w:r>
            <w:r w:rsidR="007C6F4F">
              <w:rPr>
                <w:rFonts w:cstheme="minorHAnsi"/>
              </w:rPr>
              <w:t>0.0083</w:t>
            </w:r>
          </w:p>
        </w:tc>
      </w:tr>
      <w:tr w:rsidR="00EE430C" w14:paraId="40C530B9" w14:textId="77777777" w:rsidTr="002D1C28">
        <w:trPr>
          <w:trHeight w:val="397"/>
          <w:jc w:val="center"/>
        </w:trPr>
        <w:tc>
          <w:tcPr>
            <w:tcW w:w="2405" w:type="dxa"/>
            <w:vAlign w:val="center"/>
          </w:tcPr>
          <w:p w14:paraId="6704E272" w14:textId="3A34D3A2" w:rsidR="00EE430C" w:rsidRDefault="00152C10" w:rsidP="004E248A">
            <w:pPr>
              <w:jc w:val="center"/>
            </w:pPr>
            <m:oMath>
              <m:sSub>
                <m:sSubPr>
                  <m:ctrlPr>
                    <w:rPr>
                      <w:rFonts w:ascii="Cambria Math" w:hAnsi="Cambria Math"/>
                      <w:i/>
                    </w:rPr>
                  </m:ctrlPr>
                </m:sSubPr>
                <m:e>
                  <m:r>
                    <w:rPr>
                      <w:rFonts w:ascii="Cambria Math" w:hAnsi="Cambria Math"/>
                    </w:rPr>
                    <m:t>w</m:t>
                  </m:r>
                </m:e>
                <m:sub>
                  <m:r>
                    <w:rPr>
                      <w:rFonts w:ascii="Cambria Math" w:hAnsi="Cambria Math"/>
                    </w:rPr>
                    <m:t>&lt;n&gt;2</m:t>
                  </m:r>
                </m:sub>
              </m:sSub>
            </m:oMath>
            <w:r w:rsidR="00DB0A46">
              <w:t xml:space="preserve">  [eV]</w:t>
            </w:r>
          </w:p>
        </w:tc>
        <w:tc>
          <w:tcPr>
            <w:tcW w:w="2268" w:type="dxa"/>
            <w:vAlign w:val="center"/>
          </w:tcPr>
          <w:p w14:paraId="417026DA" w14:textId="7DEDD0E9" w:rsidR="00EE430C" w:rsidRDefault="005145D2" w:rsidP="004E248A">
            <w:pPr>
              <w:jc w:val="right"/>
            </w:pPr>
            <w:r>
              <w:t xml:space="preserve">0.0346 </w:t>
            </w:r>
            <w:r>
              <w:rPr>
                <w:rFonts w:cstheme="minorHAnsi"/>
              </w:rPr>
              <w:t>± </w:t>
            </w:r>
            <w:r w:rsidR="007C6F4F">
              <w:rPr>
                <w:rFonts w:cstheme="minorHAnsi"/>
              </w:rPr>
              <w:t>0.0048</w:t>
            </w:r>
          </w:p>
        </w:tc>
      </w:tr>
      <w:tr w:rsidR="00EE430C" w14:paraId="4B00F133" w14:textId="77777777" w:rsidTr="002D1C28">
        <w:trPr>
          <w:trHeight w:val="397"/>
          <w:jc w:val="center"/>
        </w:trPr>
        <w:tc>
          <w:tcPr>
            <w:tcW w:w="2405" w:type="dxa"/>
            <w:vAlign w:val="center"/>
          </w:tcPr>
          <w:p w14:paraId="1B123C9B" w14:textId="17A7ADC5" w:rsidR="00EE430C" w:rsidRDefault="00152C10" w:rsidP="004E248A">
            <w:pPr>
              <w:jc w:val="center"/>
            </w:pPr>
            <m:oMath>
              <m:sSub>
                <m:sSubPr>
                  <m:ctrlPr>
                    <w:rPr>
                      <w:rFonts w:ascii="Cambria Math" w:hAnsi="Cambria Math"/>
                      <w:i/>
                    </w:rPr>
                  </m:ctrlPr>
                </m:sSubPr>
                <m:e>
                  <m:r>
                    <w:rPr>
                      <w:rFonts w:ascii="Cambria Math" w:hAnsi="Cambria Math"/>
                    </w:rPr>
                    <m:t>μ</m:t>
                  </m:r>
                </m:e>
                <m:sub>
                  <m:r>
                    <w:rPr>
                      <w:rFonts w:ascii="Cambria Math" w:hAnsi="Cambria Math"/>
                    </w:rPr>
                    <m:t>&lt;n&gt;2</m:t>
                  </m:r>
                </m:sub>
              </m:sSub>
            </m:oMath>
            <w:r w:rsidR="00DB0A46">
              <w:t xml:space="preserve">  [eV]</w:t>
            </w:r>
          </w:p>
        </w:tc>
        <w:tc>
          <w:tcPr>
            <w:tcW w:w="2268" w:type="dxa"/>
            <w:vAlign w:val="center"/>
          </w:tcPr>
          <w:p w14:paraId="25ABCF5E" w14:textId="104251BE" w:rsidR="00EE430C" w:rsidRDefault="005145D2" w:rsidP="004E248A">
            <w:pPr>
              <w:jc w:val="right"/>
            </w:pPr>
            <w:r>
              <w:t xml:space="preserve">0.1166 </w:t>
            </w:r>
            <w:r>
              <w:rPr>
                <w:rFonts w:cstheme="minorHAnsi"/>
              </w:rPr>
              <w:t>± </w:t>
            </w:r>
            <w:r w:rsidR="007C6F4F">
              <w:rPr>
                <w:rFonts w:cstheme="minorHAnsi"/>
              </w:rPr>
              <w:t>0.0191</w:t>
            </w:r>
          </w:p>
        </w:tc>
      </w:tr>
    </w:tbl>
    <w:p w14:paraId="65973CDB" w14:textId="3A2CDB28" w:rsidR="004A5FCB" w:rsidRDefault="00690C12" w:rsidP="00690C12">
      <w:pPr>
        <w:pStyle w:val="Caption"/>
      </w:pPr>
      <w:r>
        <w:t>Table S</w:t>
      </w:r>
      <w:r w:rsidR="00152C10">
        <w:fldChar w:fldCharType="begin"/>
      </w:r>
      <w:r w:rsidR="00152C10">
        <w:instrText xml:space="preserve"> SEQ Table \* ARABIC </w:instrText>
      </w:r>
      <w:r w:rsidR="00152C10">
        <w:fldChar w:fldCharType="separate"/>
      </w:r>
      <w:r>
        <w:rPr>
          <w:noProof/>
        </w:rPr>
        <w:t>1</w:t>
      </w:r>
      <w:r w:rsidR="00152C10">
        <w:rPr>
          <w:noProof/>
        </w:rPr>
        <w:fldChar w:fldCharType="end"/>
      </w:r>
      <w:r>
        <w:t xml:space="preserve">: Fitting parameters </w:t>
      </w:r>
      <w:r w:rsidR="006B50A2">
        <w:t>f</w:t>
      </w:r>
      <w:r w:rsidR="00B21287">
        <w:t xml:space="preserve">rom the </w:t>
      </w:r>
      <w:r w:rsidR="00444C59">
        <w:t xml:space="preserve">steady state absorption spectrum </w:t>
      </w:r>
      <w:r w:rsidR="00D44C8D">
        <w:t xml:space="preserve">of the mixed Q2D perovskite film </w:t>
      </w:r>
      <w:r w:rsidR="00444C59">
        <w:t xml:space="preserve">in Figure S2 </w:t>
      </w:r>
      <w:r w:rsidR="00D44C8D">
        <w:t>using a sum of exciton and free carrier absorbance for &lt;n&gt; = 8 and &lt;n&gt; = 2 grains.</w:t>
      </w:r>
    </w:p>
    <w:p w14:paraId="086C8D25" w14:textId="77777777" w:rsidR="00624EB8" w:rsidRPr="00CF5E10" w:rsidRDefault="00624EB8" w:rsidP="00CF5E10"/>
    <w:p w14:paraId="1DC80D63" w14:textId="77777777" w:rsidR="005B70AF" w:rsidRPr="00427F6A" w:rsidRDefault="005B70AF" w:rsidP="005B70AF">
      <w:pPr>
        <w:pStyle w:val="Heading1"/>
        <w:rPr>
          <w:i/>
          <w:iCs/>
          <w:sz w:val="24"/>
          <w:szCs w:val="24"/>
        </w:rPr>
      </w:pPr>
      <w:bookmarkStart w:id="3" w:name="_Toc116033068"/>
      <w:r w:rsidRPr="008E74EB">
        <w:t>Calculation of carrier density</w:t>
      </w:r>
      <w:bookmarkEnd w:id="3"/>
    </w:p>
    <w:p w14:paraId="1EB653FA" w14:textId="5B30FB95" w:rsidR="005B70AF" w:rsidRDefault="00940980" w:rsidP="00EF5320">
      <w:pPr>
        <w:spacing w:line="480" w:lineRule="auto"/>
      </w:pPr>
      <w:bookmarkStart w:id="4" w:name="_Hlk78565284"/>
      <w:r>
        <w:t>T</w:t>
      </w:r>
      <w:r w:rsidR="005B70AF">
        <w:t xml:space="preserve">he carrier density </w:t>
      </w:r>
      <w:r>
        <w:rPr>
          <w:rFonts w:eastAsiaTheme="minorEastAsia"/>
        </w:rPr>
        <w:t>(</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oMath>
      <w:r>
        <w:rPr>
          <w:rFonts w:eastAsiaTheme="minorEastAsia"/>
        </w:rPr>
        <w:t>)</w:t>
      </w:r>
      <w:r w:rsidR="005B70AF">
        <w:t xml:space="preserve"> created within the film after pulsed excitation </w:t>
      </w:r>
      <w:r>
        <w:t xml:space="preserve">was estimated </w:t>
      </w:r>
      <w:r w:rsidR="005B70AF">
        <w:t>using the following relation: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5B70AF" w14:paraId="3580E04C" w14:textId="77777777" w:rsidTr="0016750E">
        <w:tc>
          <w:tcPr>
            <w:tcW w:w="1129" w:type="dxa"/>
          </w:tcPr>
          <w:p w14:paraId="53C05C76" w14:textId="77777777" w:rsidR="005B70AF" w:rsidRDefault="005B70AF" w:rsidP="0016750E">
            <w:pPr>
              <w:jc w:val="both"/>
              <w:rPr>
                <w:rFonts w:eastAsiaTheme="minorEastAsia"/>
              </w:rPr>
            </w:pPr>
          </w:p>
        </w:tc>
        <w:tc>
          <w:tcPr>
            <w:tcW w:w="6521" w:type="dxa"/>
          </w:tcPr>
          <w:p w14:paraId="15A7EF04" w14:textId="64BDC8D0" w:rsidR="005B70AF" w:rsidRDefault="00152C10" w:rsidP="0016750E">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r>
                  <w:rPr>
                    <w:rFonts w:ascii="Cambria Math" w:hAnsi="Cambria Math"/>
                  </w:rPr>
                  <m:t>=</m:t>
                </m:r>
                <m:f>
                  <m:fPr>
                    <m:ctrlPr>
                      <w:rPr>
                        <w:rFonts w:ascii="Cambria Math" w:hAnsi="Cambria Math"/>
                        <w:i/>
                      </w:rPr>
                    </m:ctrlPr>
                  </m:fPr>
                  <m:num>
                    <m:r>
                      <w:rPr>
                        <w:rFonts w:ascii="Cambria Math" w:hAnsi="Cambria Math"/>
                      </w:rPr>
                      <m:t>α∙P</m:t>
                    </m:r>
                  </m:num>
                  <m:den>
                    <m:sSub>
                      <m:sSubPr>
                        <m:ctrlPr>
                          <w:rPr>
                            <w:rFonts w:ascii="Cambria Math" w:hAnsi="Cambria Math"/>
                            <w:i/>
                          </w:rPr>
                        </m:ctrlPr>
                      </m:sSubPr>
                      <m:e>
                        <m:r>
                          <w:rPr>
                            <w:rFonts w:ascii="Cambria Math" w:hAnsi="Cambria Math"/>
                          </w:rPr>
                          <m:t>E</m:t>
                        </m:r>
                      </m:e>
                      <m:sub>
                        <m:r>
                          <w:rPr>
                            <w:rFonts w:ascii="Cambria Math" w:hAnsi="Cambria Math"/>
                          </w:rPr>
                          <m:t>ph</m:t>
                        </m:r>
                      </m:sub>
                    </m:sSub>
                    <m:r>
                      <w:rPr>
                        <w:rFonts w:ascii="Cambria Math" w:hAnsi="Cambria Math"/>
                      </w:rPr>
                      <m:t>∙RR</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π∙</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r</m:t>
                                </m:r>
                              </m:num>
                              <m:den>
                                <m:r>
                                  <w:rPr>
                                    <w:rFonts w:ascii="Cambria Math" w:hAnsi="Cambria Math"/>
                                  </w:rPr>
                                  <m:t>2</m:t>
                                </m:r>
                              </m:den>
                            </m:f>
                          </m:e>
                        </m:d>
                      </m:e>
                      <m:sup>
                        <m:r>
                          <w:rPr>
                            <w:rFonts w:ascii="Cambria Math" w:hAnsi="Cambria Math"/>
                          </w:rPr>
                          <m:t>2</m:t>
                        </m:r>
                      </m:sup>
                    </m:sSup>
                    <m:r>
                      <w:rPr>
                        <w:rFonts w:ascii="Cambria Math" w:hAnsi="Cambria Math"/>
                      </w:rPr>
                      <m:t>∙d</m:t>
                    </m:r>
                  </m:den>
                </m:f>
              </m:oMath>
            </m:oMathPara>
          </w:p>
        </w:tc>
        <w:tc>
          <w:tcPr>
            <w:tcW w:w="1366" w:type="dxa"/>
            <w:vAlign w:val="center"/>
          </w:tcPr>
          <w:p w14:paraId="66891F41" w14:textId="2C53A3A3" w:rsidR="005B70AF" w:rsidRDefault="005B70AF" w:rsidP="0016750E">
            <w:pPr>
              <w:pStyle w:val="Caption"/>
              <w:keepNext/>
              <w:jc w:val="right"/>
              <w:rPr>
                <w:rFonts w:eastAsiaTheme="minorEastAsia"/>
              </w:rPr>
            </w:pPr>
            <w:r>
              <w:t>(</w:t>
            </w:r>
            <w:r w:rsidR="00B7332D">
              <w:t>S</w:t>
            </w:r>
            <w:r w:rsidR="00152C10">
              <w:fldChar w:fldCharType="begin"/>
            </w:r>
            <w:r w:rsidR="00152C10">
              <w:instrText xml:space="preserve"> SEQ Equation \* ARABIC </w:instrText>
            </w:r>
            <w:r w:rsidR="00152C10">
              <w:fldChar w:fldCharType="separate"/>
            </w:r>
            <w:r w:rsidR="003A5FD8">
              <w:rPr>
                <w:noProof/>
              </w:rPr>
              <w:t>4</w:t>
            </w:r>
            <w:r w:rsidR="00152C10">
              <w:rPr>
                <w:noProof/>
              </w:rPr>
              <w:fldChar w:fldCharType="end"/>
            </w:r>
            <w:r>
              <w:t>)</w:t>
            </w:r>
          </w:p>
        </w:tc>
      </w:tr>
    </w:tbl>
    <w:p w14:paraId="2C299BBA" w14:textId="77777777" w:rsidR="005B70AF" w:rsidRDefault="005B70AF" w:rsidP="005B70AF"/>
    <w:p w14:paraId="34042339" w14:textId="54A8EC43" w:rsidR="005B70AF" w:rsidRPr="00487C24" w:rsidRDefault="005B70AF" w:rsidP="00EF5320">
      <w:pPr>
        <w:spacing w:line="480" w:lineRule="auto"/>
        <w:jc w:val="both"/>
      </w:pPr>
      <w:r>
        <w:t xml:space="preserve">where </w:t>
      </w:r>
      <m:oMath>
        <m:r>
          <w:rPr>
            <w:rFonts w:ascii="Cambria Math" w:hAnsi="Cambria Math"/>
          </w:rPr>
          <m:t>α</m:t>
        </m:r>
      </m:oMath>
      <w:r>
        <w:t xml:space="preserve"> is the absorption </w:t>
      </w:r>
      <w:r w:rsidR="006C79D6">
        <w:t xml:space="preserve">coefficient </w:t>
      </w:r>
      <w:r>
        <w:t xml:space="preserve">of the Q2D perovskite film at the excitation energy, </w:t>
      </w:r>
      <w:r w:rsidRPr="00807234">
        <w:rPr>
          <w:i/>
          <w:iCs/>
        </w:rPr>
        <w:t>r</w:t>
      </w:r>
      <w:r>
        <w:t xml:space="preserve"> </w:t>
      </w:r>
      <w:r w:rsidR="00DB5E3C">
        <w:t xml:space="preserve">is </w:t>
      </w:r>
      <w:r>
        <w:t xml:space="preserve">the FWHM of the excitation spot size, </w:t>
      </w:r>
      <w:r w:rsidRPr="00807234">
        <w:rPr>
          <w:i/>
          <w:iCs/>
        </w:rPr>
        <w:t>P</w:t>
      </w:r>
      <w:r>
        <w:t xml:space="preserve"> </w:t>
      </w:r>
      <w:r w:rsidR="00DB5E3C">
        <w:t xml:space="preserve">is </w:t>
      </w:r>
      <w:r>
        <w:t xml:space="preserve">the laser power, </w:t>
      </w:r>
      <w:r w:rsidRPr="00807234">
        <w:rPr>
          <w:i/>
          <w:iCs/>
        </w:rPr>
        <w:t>RR</w:t>
      </w:r>
      <w:r>
        <w:t xml:space="preserve"> </w:t>
      </w:r>
      <w:r w:rsidR="00DB5E3C">
        <w:t xml:space="preserve">is </w:t>
      </w:r>
      <w:r>
        <w:t xml:space="preserve">the repetition rate of the laser, </w:t>
      </w:r>
      <w:r w:rsidRPr="00807234">
        <w:rPr>
          <w:i/>
          <w:iCs/>
        </w:rPr>
        <w:t>E</w:t>
      </w:r>
      <w:r w:rsidRPr="00807234">
        <w:rPr>
          <w:i/>
          <w:iCs/>
          <w:vertAlign w:val="subscript"/>
        </w:rPr>
        <w:t>p</w:t>
      </w:r>
      <w:r>
        <w:rPr>
          <w:vertAlign w:val="subscript"/>
        </w:rPr>
        <w:t xml:space="preserve">h </w:t>
      </w:r>
      <w:r w:rsidR="00DB5E3C">
        <w:t>is t</w:t>
      </w:r>
      <w:r>
        <w:t xml:space="preserve">he photon energy of the excitation beam and </w:t>
      </w:r>
      <w:r w:rsidRPr="00807234">
        <w:rPr>
          <w:i/>
          <w:iCs/>
        </w:rPr>
        <w:t>d</w:t>
      </w:r>
      <w:r>
        <w:t xml:space="preserve"> </w:t>
      </w:r>
      <w:r w:rsidR="00DB5E3C">
        <w:t xml:space="preserve">is </w:t>
      </w:r>
      <w:r>
        <w:t>the thickness of the perovskite film</w:t>
      </w:r>
      <w:r w:rsidRPr="004244BB">
        <w:t>.</w:t>
      </w:r>
      <w:bookmarkEnd w:id="4"/>
      <w:r w:rsidR="006E2E73" w:rsidRPr="004244BB">
        <w:t xml:space="preserve"> </w:t>
      </w:r>
      <w:r w:rsidR="00EA4365" w:rsidRPr="004244BB">
        <w:t>T</w:t>
      </w:r>
      <w:r w:rsidR="00A77F3F" w:rsidRPr="004244BB">
        <w:t>o</w:t>
      </w:r>
      <w:r w:rsidR="00EA4365" w:rsidRPr="004244BB">
        <w:t xml:space="preserve"> estimate the initial carrier density on</w:t>
      </w:r>
      <w:r w:rsidR="00240081" w:rsidRPr="004244BB">
        <w:t xml:space="preserve"> </w:t>
      </w:r>
      <w:r w:rsidR="00932A94" w:rsidRPr="004244BB">
        <w:t>the &lt;n&gt; = 2 and &lt;n&gt; = 8 grains</w:t>
      </w:r>
      <w:r w:rsidR="00240081" w:rsidRPr="004244BB">
        <w:t xml:space="preserve"> after photoexcitation with 3.</w:t>
      </w:r>
      <w:r w:rsidR="00FF09D9" w:rsidRPr="004244BB">
        <w:t>6 eV</w:t>
      </w:r>
      <w:r w:rsidR="00724BA9" w:rsidRPr="004244BB">
        <w:t xml:space="preserve">, </w:t>
      </w:r>
      <w:r w:rsidR="007339CF" w:rsidRPr="004244BB">
        <w:t>t</w:t>
      </w:r>
      <w:r w:rsidR="00A77F3F" w:rsidRPr="004244BB">
        <w:t>he ratio of the</w:t>
      </w:r>
      <w:r w:rsidR="00891827" w:rsidRPr="004244BB">
        <w:t>ir</w:t>
      </w:r>
      <w:r w:rsidR="00A77F3F" w:rsidRPr="004244BB">
        <w:t xml:space="preserve"> corresponding absorption</w:t>
      </w:r>
      <w:r w:rsidR="00944815" w:rsidRPr="004244BB">
        <w:t xml:space="preserve"> contribution</w:t>
      </w:r>
      <w:r w:rsidR="00A77F3F" w:rsidRPr="004244BB">
        <w:t xml:space="preserve"> </w:t>
      </w:r>
      <w:r w:rsidR="00691DFB" w:rsidRPr="004244BB">
        <w:t xml:space="preserve">estimated from the absorption </w:t>
      </w:r>
      <w:r w:rsidR="0099558F" w:rsidRPr="004244BB">
        <w:t>decomposition</w:t>
      </w:r>
      <w:r w:rsidR="00691DFB" w:rsidRPr="004244BB">
        <w:t xml:space="preserve"> in Figure S2 </w:t>
      </w:r>
      <w:r w:rsidR="00BA400F" w:rsidRPr="004244BB">
        <w:t>has been used</w:t>
      </w:r>
      <w:r w:rsidR="00944815" w:rsidRPr="004244BB">
        <w:t xml:space="preserve"> to estimate </w:t>
      </w:r>
      <w:r w:rsidR="00691DFB" w:rsidRPr="004244BB">
        <w:t>ini</w:t>
      </w:r>
      <w:r w:rsidR="00C605D7" w:rsidRPr="004244BB">
        <w:t>tial exciton density at</w:t>
      </w:r>
      <w:r w:rsidR="00944815" w:rsidRPr="004244BB">
        <w:t xml:space="preserve"> the individual grain sizes</w:t>
      </w:r>
      <w:r w:rsidR="00932A94" w:rsidRPr="004244BB">
        <w:t xml:space="preserve"> of the mixed film</w:t>
      </w:r>
      <w:r w:rsidR="00944815" w:rsidRPr="004244BB">
        <w:t>.</w:t>
      </w:r>
    </w:p>
    <w:p w14:paraId="1CC6057C" w14:textId="73CD2CC7" w:rsidR="005B70AF" w:rsidRDefault="005B70AF">
      <w:pPr>
        <w:rPr>
          <w:rFonts w:eastAsiaTheme="minorEastAsia"/>
        </w:rPr>
      </w:pPr>
      <w:r>
        <w:rPr>
          <w:rFonts w:eastAsiaTheme="minorEastAsia"/>
        </w:rPr>
        <w:br w:type="page"/>
      </w:r>
    </w:p>
    <w:p w14:paraId="6A6D87E1" w14:textId="77777777" w:rsidR="005B70AF" w:rsidRPr="008E74EB" w:rsidRDefault="005B70AF" w:rsidP="005B70AF">
      <w:pPr>
        <w:pStyle w:val="Heading1"/>
        <w:rPr>
          <w:i/>
          <w:iCs/>
        </w:rPr>
      </w:pPr>
      <w:bookmarkStart w:id="5" w:name="_Toc116033069"/>
      <w:r w:rsidRPr="008E74EB">
        <w:lastRenderedPageBreak/>
        <w:t>ASE threshold for different excitation conditions</w:t>
      </w:r>
      <w:bookmarkEnd w:id="5"/>
    </w:p>
    <w:p w14:paraId="169E9ABA" w14:textId="3696A14D" w:rsidR="004D6A04" w:rsidRDefault="004D6A04" w:rsidP="005B70AF">
      <w:pPr>
        <w:keepNext/>
        <w:jc w:val="center"/>
      </w:pPr>
      <w:r>
        <w:rPr>
          <w:noProof/>
        </w:rPr>
        <w:drawing>
          <wp:inline distT="0" distB="0" distL="0" distR="0" wp14:anchorId="29AF413C" wp14:editId="17F1900C">
            <wp:extent cx="4373218" cy="6751486"/>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4456" cy="6768835"/>
                    </a:xfrm>
                    <a:prstGeom prst="rect">
                      <a:avLst/>
                    </a:prstGeom>
                    <a:noFill/>
                    <a:ln>
                      <a:noFill/>
                    </a:ln>
                  </pic:spPr>
                </pic:pic>
              </a:graphicData>
            </a:graphic>
          </wp:inline>
        </w:drawing>
      </w:r>
    </w:p>
    <w:p w14:paraId="6700B0A7" w14:textId="4EADD0CE" w:rsidR="001A2737" w:rsidRDefault="005B70AF" w:rsidP="006C6DA7">
      <w:pPr>
        <w:pStyle w:val="Caption"/>
        <w:jc w:val="both"/>
      </w:pPr>
      <w:r>
        <w:t>Figure S</w:t>
      </w:r>
      <w:r w:rsidR="00152C10">
        <w:fldChar w:fldCharType="begin"/>
      </w:r>
      <w:r w:rsidR="00152C10">
        <w:instrText xml:space="preserve"> SEQ Figure_S \* ARABIC </w:instrText>
      </w:r>
      <w:r w:rsidR="00152C10">
        <w:fldChar w:fldCharType="separate"/>
      </w:r>
      <w:r w:rsidR="003A5FD8">
        <w:rPr>
          <w:noProof/>
        </w:rPr>
        <w:t>3</w:t>
      </w:r>
      <w:r w:rsidR="00152C10">
        <w:rPr>
          <w:noProof/>
        </w:rPr>
        <w:fldChar w:fldCharType="end"/>
      </w:r>
      <w:r>
        <w:t>:</w:t>
      </w:r>
      <w:r w:rsidR="00106EA3">
        <w:t xml:space="preserve"> </w:t>
      </w:r>
      <w:r w:rsidR="00B9452C">
        <w:t>Excitation density dependent evolution of the s</w:t>
      </w:r>
      <w:r w:rsidR="004C073A">
        <w:t xml:space="preserve">teady state photoluminescence </w:t>
      </w:r>
      <w:r w:rsidR="00B9452C">
        <w:t xml:space="preserve">spectrum for different excitation </w:t>
      </w:r>
      <w:r w:rsidR="009C7283">
        <w:t>conditions with corresponding ASE thresholds. (a)</w:t>
      </w:r>
      <w:r w:rsidR="009C7283" w:rsidRPr="009C7283">
        <w:t xml:space="preserve"> </w:t>
      </w:r>
      <w:r w:rsidR="002D6A71">
        <w:t xml:space="preserve">Spectral evolution </w:t>
      </w:r>
      <w:r w:rsidR="009C7283" w:rsidRPr="0089286A">
        <w:t>under ambient conditions excited at</w:t>
      </w:r>
      <w:r w:rsidR="009C7283">
        <w:t xml:space="preserve"> </w:t>
      </w:r>
      <w:r w:rsidR="002D6A71">
        <w:t>3.6 eV</w:t>
      </w:r>
      <w:r w:rsidR="009C7283">
        <w:t xml:space="preserve"> (</w:t>
      </w:r>
      <w:r w:rsidR="009C7283" w:rsidRPr="0089286A">
        <w:t>3</w:t>
      </w:r>
      <w:r w:rsidR="006C6DA7">
        <w:t>4</w:t>
      </w:r>
      <w:r w:rsidR="002D6A71">
        <w:t>3 nm</w:t>
      </w:r>
      <w:r w:rsidR="009C7283">
        <w:t>)</w:t>
      </w:r>
      <w:r w:rsidR="009C7283" w:rsidRPr="0089286A">
        <w:t xml:space="preserve"> with a laser repetition rate of 58</w:t>
      </w:r>
      <w:r w:rsidR="009C7283">
        <w:t> </w:t>
      </w:r>
      <w:r w:rsidR="009C7283" w:rsidRPr="0089286A">
        <w:t>kHz</w:t>
      </w:r>
      <w:r w:rsidR="00C81BF1">
        <w:t xml:space="preserve">. </w:t>
      </w:r>
      <w:r w:rsidR="00FB7F06">
        <w:t xml:space="preserve">(b) </w:t>
      </w:r>
      <w:r w:rsidR="00C81BF1">
        <w:t>C</w:t>
      </w:r>
      <w:r w:rsidR="00FB7F06">
        <w:t xml:space="preserve">orresponding intensity evolution </w:t>
      </w:r>
      <w:r w:rsidR="00C81BF1">
        <w:t xml:space="preserve">reveals </w:t>
      </w:r>
      <w:r w:rsidR="00E601E2">
        <w:t xml:space="preserve">an </w:t>
      </w:r>
      <w:r w:rsidR="00C81BF1">
        <w:t>ASE threshold at around 3.</w:t>
      </w:r>
      <w:r w:rsidR="004B0A48">
        <w:t>8</w:t>
      </w:r>
      <w:r w:rsidR="004B0A48">
        <w:rPr>
          <w:rFonts w:cstheme="minorHAnsi"/>
        </w:rPr>
        <w:t>·</w:t>
      </w:r>
      <w:r w:rsidR="004B0A48">
        <w:t>10</w:t>
      </w:r>
      <w:r w:rsidR="004B0A48">
        <w:rPr>
          <w:vertAlign w:val="superscript"/>
        </w:rPr>
        <w:t>18</w:t>
      </w:r>
      <w:r w:rsidR="00C81BF1">
        <w:t>cm</w:t>
      </w:r>
      <w:r w:rsidR="00C81BF1">
        <w:rPr>
          <w:vertAlign w:val="superscript"/>
        </w:rPr>
        <w:t>-3</w:t>
      </w:r>
      <w:r w:rsidR="00C81BF1">
        <w:t xml:space="preserve">. </w:t>
      </w:r>
      <w:r w:rsidR="004B0A48">
        <w:t>(c)</w:t>
      </w:r>
      <w:r w:rsidR="004B0A48" w:rsidRPr="009C7283">
        <w:t xml:space="preserve"> </w:t>
      </w:r>
      <w:r w:rsidR="004B0A48">
        <w:t xml:space="preserve">Spectral evolution </w:t>
      </w:r>
      <w:r w:rsidR="004B0A48" w:rsidRPr="0089286A">
        <w:t>under</w:t>
      </w:r>
      <w:r w:rsidR="004B0A48">
        <w:t xml:space="preserve"> vacuum</w:t>
      </w:r>
      <w:r w:rsidR="004B0A48" w:rsidRPr="0089286A">
        <w:t xml:space="preserve"> excited at</w:t>
      </w:r>
      <w:r w:rsidR="004B0A48">
        <w:t xml:space="preserve"> 3.6 eV (</w:t>
      </w:r>
      <w:r w:rsidR="004B0A48" w:rsidRPr="0089286A">
        <w:t>3</w:t>
      </w:r>
      <w:r w:rsidR="006C6DA7">
        <w:t>4</w:t>
      </w:r>
      <w:r w:rsidR="004B0A48">
        <w:t>3 nm)</w:t>
      </w:r>
      <w:r w:rsidR="004B0A48" w:rsidRPr="0089286A">
        <w:t xml:space="preserve"> with a laser repetition rate of </w:t>
      </w:r>
      <w:r w:rsidR="004B0A48">
        <w:t>580 </w:t>
      </w:r>
      <w:r w:rsidR="004B0A48" w:rsidRPr="0089286A">
        <w:t>Hz</w:t>
      </w:r>
      <w:r w:rsidR="004B0A48">
        <w:t>. (</w:t>
      </w:r>
      <w:r w:rsidR="006C6DA7">
        <w:t>d</w:t>
      </w:r>
      <w:r w:rsidR="004B0A48">
        <w:t xml:space="preserve">) Corresponding intensity evolution reveals </w:t>
      </w:r>
      <w:r w:rsidR="00F40AFC">
        <w:t xml:space="preserve">an </w:t>
      </w:r>
      <w:r w:rsidR="004B0A48">
        <w:t xml:space="preserve">ASE threshold at around </w:t>
      </w:r>
      <w:r w:rsidR="006C6DA7">
        <w:t>1.</w:t>
      </w:r>
      <w:r w:rsidR="00D13596">
        <w:t>8</w:t>
      </w:r>
      <w:r w:rsidR="004B0A48">
        <w:rPr>
          <w:rFonts w:cstheme="minorHAnsi"/>
        </w:rPr>
        <w:t>·</w:t>
      </w:r>
      <w:r w:rsidR="004B0A48">
        <w:t>10</w:t>
      </w:r>
      <w:r w:rsidR="004B0A48">
        <w:rPr>
          <w:vertAlign w:val="superscript"/>
        </w:rPr>
        <w:t>18</w:t>
      </w:r>
      <w:r w:rsidR="004B0A48">
        <w:t>cm</w:t>
      </w:r>
      <w:r w:rsidR="004B0A48">
        <w:rPr>
          <w:vertAlign w:val="superscript"/>
        </w:rPr>
        <w:t>-3</w:t>
      </w:r>
      <w:r w:rsidR="004B0A48">
        <w:t>.</w:t>
      </w:r>
      <w:r w:rsidR="006C6DA7">
        <w:t xml:space="preserve"> (e)</w:t>
      </w:r>
      <w:r w:rsidR="006C6DA7" w:rsidRPr="009C7283">
        <w:t xml:space="preserve"> </w:t>
      </w:r>
      <w:r w:rsidR="006C6DA7">
        <w:t xml:space="preserve">Spectral evolution </w:t>
      </w:r>
      <w:r w:rsidR="006C6DA7" w:rsidRPr="0089286A">
        <w:t>under</w:t>
      </w:r>
      <w:r w:rsidR="006C6DA7">
        <w:t xml:space="preserve"> vacuum</w:t>
      </w:r>
      <w:r w:rsidR="006C6DA7" w:rsidRPr="0089286A">
        <w:t xml:space="preserve"> excited at</w:t>
      </w:r>
      <w:r w:rsidR="006C6DA7">
        <w:t xml:space="preserve"> 2.4 eV (515 nm)</w:t>
      </w:r>
      <w:r w:rsidR="006C6DA7" w:rsidRPr="0089286A">
        <w:t xml:space="preserve"> with a laser repetition rate of </w:t>
      </w:r>
      <w:r w:rsidR="006C6DA7">
        <w:t>58 k</w:t>
      </w:r>
      <w:r w:rsidR="006C6DA7" w:rsidRPr="0089286A">
        <w:t>Hz</w:t>
      </w:r>
      <w:r w:rsidR="006C6DA7">
        <w:t>. (f) Corresponding intensity evolution reveals</w:t>
      </w:r>
      <w:r w:rsidR="00DB5E3C">
        <w:t xml:space="preserve"> an</w:t>
      </w:r>
      <w:r w:rsidR="006C6DA7">
        <w:t xml:space="preserve"> ASE threshold at around 4.3</w:t>
      </w:r>
      <w:r w:rsidR="006C6DA7">
        <w:rPr>
          <w:rFonts w:cstheme="minorHAnsi"/>
        </w:rPr>
        <w:t>·</w:t>
      </w:r>
      <w:r w:rsidR="006C6DA7">
        <w:t>10</w:t>
      </w:r>
      <w:r w:rsidR="006C6DA7">
        <w:rPr>
          <w:vertAlign w:val="superscript"/>
        </w:rPr>
        <w:t>18</w:t>
      </w:r>
      <w:r w:rsidR="006C6DA7">
        <w:t>cm</w:t>
      </w:r>
      <w:r w:rsidR="006C6DA7">
        <w:rPr>
          <w:vertAlign w:val="superscript"/>
        </w:rPr>
        <w:t>-3</w:t>
      </w:r>
      <w:r w:rsidR="006C6DA7">
        <w:t>.</w:t>
      </w:r>
    </w:p>
    <w:p w14:paraId="0A2AB0B1" w14:textId="20468F8D" w:rsidR="00AA3042" w:rsidRPr="008E74EB" w:rsidRDefault="005B70AF" w:rsidP="00252A8A">
      <w:pPr>
        <w:pStyle w:val="Heading1"/>
      </w:pPr>
      <w:bookmarkStart w:id="6" w:name="_Toc116033070"/>
      <w:r>
        <w:lastRenderedPageBreak/>
        <w:t>C</w:t>
      </w:r>
      <w:r w:rsidR="00AA3042" w:rsidRPr="008E74EB">
        <w:t>alculation of Mott-transition</w:t>
      </w:r>
      <w:bookmarkEnd w:id="6"/>
    </w:p>
    <w:p w14:paraId="1C936F1A" w14:textId="7EA10342" w:rsidR="00AA3042" w:rsidRDefault="00AA3042" w:rsidP="00AA3042">
      <w:r>
        <w:t xml:space="preserve">The static Mott density </w:t>
      </w:r>
      <m:oMath>
        <m:sSub>
          <m:sSubPr>
            <m:ctrlPr>
              <w:rPr>
                <w:rFonts w:ascii="Cambria Math" w:hAnsi="Cambria Math"/>
                <w:i/>
              </w:rPr>
            </m:ctrlPr>
          </m:sSubPr>
          <m:e>
            <m:r>
              <w:rPr>
                <w:rFonts w:ascii="Cambria Math" w:hAnsi="Cambria Math"/>
              </w:rPr>
              <m:t>n</m:t>
            </m:r>
          </m:e>
          <m:sub>
            <m:r>
              <w:rPr>
                <w:rFonts w:ascii="Cambria Math" w:hAnsi="Cambria Math"/>
              </w:rPr>
              <m:t>M</m:t>
            </m:r>
          </m:sub>
        </m:sSub>
      </m:oMath>
      <w:r>
        <w:t xml:space="preserve"> </w:t>
      </w:r>
      <w:r w:rsidR="00C352DF">
        <w:t>can be approximate</w:t>
      </w:r>
      <w:r>
        <w:t xml:space="preserve">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252A8A" w14:paraId="516A08FB" w14:textId="77777777" w:rsidTr="0043483D">
        <w:tc>
          <w:tcPr>
            <w:tcW w:w="1129" w:type="dxa"/>
          </w:tcPr>
          <w:p w14:paraId="6BE4662F" w14:textId="77777777" w:rsidR="00252A8A" w:rsidRDefault="00252A8A" w:rsidP="0043483D">
            <w:pPr>
              <w:jc w:val="both"/>
              <w:rPr>
                <w:rFonts w:eastAsiaTheme="minorEastAsia"/>
              </w:rPr>
            </w:pPr>
          </w:p>
        </w:tc>
        <w:tc>
          <w:tcPr>
            <w:tcW w:w="6521" w:type="dxa"/>
          </w:tcPr>
          <w:p w14:paraId="3431087E" w14:textId="64CD8613" w:rsidR="00252A8A" w:rsidRDefault="00152C10" w:rsidP="0043483D">
            <w:pPr>
              <w:jc w:val="both"/>
              <w:rPr>
                <w:rFonts w:eastAsiaTheme="minorEastAsia"/>
              </w:rPr>
            </w:pPr>
            <m:oMathPara>
              <m:oMath>
                <m:sSub>
                  <m:sSubPr>
                    <m:ctrlPr>
                      <w:rPr>
                        <w:rFonts w:ascii="Cambria Math" w:hAnsi="Cambria Math"/>
                        <w:i/>
                      </w:rPr>
                    </m:ctrlPr>
                  </m:sSubPr>
                  <m:e>
                    <m:r>
                      <w:rPr>
                        <w:rFonts w:ascii="Cambria Math" w:hAnsi="Cambria Math"/>
                      </w:rPr>
                      <m:t>n</m:t>
                    </m:r>
                  </m:e>
                  <m:sub>
                    <m:r>
                      <w:rPr>
                        <w:rFonts w:ascii="Cambria Math" w:hAnsi="Cambria Math"/>
                      </w:rPr>
                      <m:t>M</m:t>
                    </m:r>
                  </m:sub>
                </m:sSub>
                <m:r>
                  <w:rPr>
                    <w:rFonts w:ascii="Cambria Math" w:hAnsi="Cambria Math"/>
                  </w:rPr>
                  <m:t>=0.028∙</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X</m:t>
                        </m:r>
                      </m:sub>
                      <m:sup>
                        <m:r>
                          <w:rPr>
                            <w:rFonts w:ascii="Cambria Math" w:hAnsi="Cambria Math"/>
                          </w:rPr>
                          <m:t>3</m:t>
                        </m:r>
                      </m:sup>
                    </m:sSubSup>
                  </m:den>
                </m:f>
              </m:oMath>
            </m:oMathPara>
          </w:p>
        </w:tc>
        <w:tc>
          <w:tcPr>
            <w:tcW w:w="1366" w:type="dxa"/>
            <w:vAlign w:val="center"/>
          </w:tcPr>
          <w:p w14:paraId="581FA782" w14:textId="3BA4FCF3" w:rsidR="00252A8A" w:rsidRPr="0043483D" w:rsidRDefault="0043483D" w:rsidP="0043483D">
            <w:pPr>
              <w:pStyle w:val="Caption"/>
              <w:keepNext/>
              <w:jc w:val="right"/>
            </w:pPr>
            <w:r>
              <w:t>(</w:t>
            </w:r>
            <w:r w:rsidR="00B7332D">
              <w:t>S</w:t>
            </w:r>
            <w:r w:rsidR="00152C10">
              <w:fldChar w:fldCharType="begin"/>
            </w:r>
            <w:r w:rsidR="00152C10">
              <w:instrText xml:space="preserve"> SEQ Equation \* ARABIC </w:instrText>
            </w:r>
            <w:r w:rsidR="00152C10">
              <w:fldChar w:fldCharType="separate"/>
            </w:r>
            <w:r w:rsidR="00435B7A">
              <w:rPr>
                <w:noProof/>
              </w:rPr>
              <w:t>5</w:t>
            </w:r>
            <w:r w:rsidR="00152C10">
              <w:rPr>
                <w:noProof/>
              </w:rPr>
              <w:fldChar w:fldCharType="end"/>
            </w:r>
            <w:r>
              <w:t>)</w:t>
            </w:r>
          </w:p>
        </w:tc>
      </w:tr>
    </w:tbl>
    <w:p w14:paraId="37718C65" w14:textId="77777777" w:rsidR="0043483D" w:rsidRDefault="0043483D" w:rsidP="00AA3042"/>
    <w:p w14:paraId="03622D0B" w14:textId="4046183D" w:rsidR="00AA3042" w:rsidRPr="00557575" w:rsidRDefault="00AA3042" w:rsidP="00EF5320">
      <w:pPr>
        <w:spacing w:line="480" w:lineRule="auto"/>
        <w:jc w:val="both"/>
      </w:pPr>
      <w:r>
        <w:t xml:space="preserve">Were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Pr>
          <w:rFonts w:eastAsiaTheme="minorEastAsia"/>
        </w:rPr>
        <w:t xml:space="preserve"> is the Boltzmann coefficient, T </w:t>
      </w:r>
      <w:r w:rsidR="00064C87">
        <w:rPr>
          <w:rFonts w:eastAsiaTheme="minorEastAsia"/>
        </w:rPr>
        <w:t xml:space="preserve">is </w:t>
      </w:r>
      <w:r>
        <w:rPr>
          <w:rFonts w:eastAsiaTheme="minorEastAsia"/>
        </w:rPr>
        <w:t xml:space="preserve">the lattice temperature, </w:t>
      </w:r>
      <m:oMath>
        <m:sSub>
          <m:sSubPr>
            <m:ctrlPr>
              <w:rPr>
                <w:rFonts w:ascii="Cambria Math" w:hAnsi="Cambria Math"/>
                <w:i/>
              </w:rPr>
            </m:ctrlPr>
          </m:sSubPr>
          <m:e>
            <m:r>
              <w:rPr>
                <w:rFonts w:ascii="Cambria Math" w:hAnsi="Cambria Math"/>
              </w:rPr>
              <m:t>E</m:t>
            </m:r>
          </m:e>
          <m:sub>
            <m:r>
              <w:rPr>
                <w:rFonts w:ascii="Cambria Math" w:hAnsi="Cambria Math"/>
              </w:rPr>
              <m:t>B</m:t>
            </m:r>
          </m:sub>
        </m:sSub>
      </m:oMath>
      <w:r>
        <w:rPr>
          <w:rFonts w:eastAsiaTheme="minorEastAsia"/>
        </w:rPr>
        <w:t xml:space="preserve"> </w:t>
      </w:r>
      <w:r w:rsidR="00064C87">
        <w:rPr>
          <w:rFonts w:eastAsiaTheme="minorEastAsia"/>
        </w:rPr>
        <w:t xml:space="preserve">is </w:t>
      </w:r>
      <w:r>
        <w:rPr>
          <w:rFonts w:eastAsiaTheme="minorEastAsia"/>
        </w:rPr>
        <w:t xml:space="preserve">the exciton binding energy and </w:t>
      </w:r>
      <w:r w:rsidRPr="0023523B">
        <w:rPr>
          <w:rFonts w:cstheme="minorHAnsi"/>
          <w:i/>
          <w:iCs/>
        </w:rPr>
        <w:t>r</w:t>
      </w:r>
      <w:r w:rsidRPr="0023523B">
        <w:rPr>
          <w:rFonts w:cstheme="minorHAnsi"/>
          <w:i/>
          <w:iCs/>
          <w:vertAlign w:val="subscript"/>
        </w:rPr>
        <w:t>X</w:t>
      </w:r>
      <w:r>
        <w:rPr>
          <w:rFonts w:cstheme="minorHAnsi"/>
        </w:rPr>
        <w:t xml:space="preserve"> </w:t>
      </w:r>
      <w:r w:rsidR="00064C87">
        <w:rPr>
          <w:rFonts w:eastAsiaTheme="minorEastAsia"/>
        </w:rPr>
        <w:t>is</w:t>
      </w:r>
      <w:r w:rsidR="00064C87">
        <w:rPr>
          <w:rFonts w:cstheme="minorHAnsi"/>
        </w:rPr>
        <w:t xml:space="preserve"> </w:t>
      </w:r>
      <w:r>
        <w:rPr>
          <w:rFonts w:cstheme="minorHAnsi"/>
        </w:rPr>
        <w:t>the exciton radius described by</w:t>
      </w:r>
      <w:r>
        <w:t xml:space="preserve"> </w:t>
      </w:r>
      <w:r w:rsidRPr="00E62CF8">
        <w:rPr>
          <w:rFonts w:cstheme="minorHAnsi"/>
        </w:rPr>
        <w:t>r</w:t>
      </w:r>
      <w:r w:rsidRPr="00E62CF8">
        <w:rPr>
          <w:rFonts w:cstheme="minorHAnsi"/>
          <w:vertAlign w:val="subscript"/>
        </w:rPr>
        <w:t>X</w:t>
      </w:r>
      <w:r w:rsidRPr="00E62CF8">
        <w:rPr>
          <w:rFonts w:cstheme="minorHAnsi"/>
        </w:rPr>
        <w:t>=sqrt(</w:t>
      </w:r>
      <w:r w:rsidRPr="0023523B">
        <w:rPr>
          <w:rFonts w:cstheme="minorHAnsi"/>
          <w:i/>
          <w:iCs/>
        </w:rPr>
        <w:t>ћ</w:t>
      </w:r>
      <w:r w:rsidRPr="00E62CF8">
        <w:rPr>
          <w:rFonts w:cstheme="minorHAnsi"/>
          <w:vertAlign w:val="superscript"/>
        </w:rPr>
        <w:t>2</w:t>
      </w:r>
      <w:r w:rsidRPr="00E62CF8">
        <w:rPr>
          <w:rFonts w:cstheme="minorHAnsi"/>
        </w:rPr>
        <w:t>/2</w:t>
      </w:r>
      <w:r w:rsidRPr="0023523B">
        <w:rPr>
          <w:rFonts w:cstheme="minorHAnsi"/>
          <w:i/>
          <w:iCs/>
        </w:rPr>
        <w:t>E</w:t>
      </w:r>
      <w:r w:rsidR="009827CE">
        <w:rPr>
          <w:rFonts w:cstheme="minorHAnsi"/>
          <w:i/>
          <w:iCs/>
          <w:vertAlign w:val="subscript"/>
        </w:rPr>
        <w:t>B</w:t>
      </w:r>
      <w:r w:rsidRPr="0023523B">
        <w:rPr>
          <w:rFonts w:cstheme="minorHAnsi"/>
          <w:i/>
          <w:iCs/>
        </w:rPr>
        <w:t>m</w:t>
      </w:r>
      <w:r w:rsidRPr="0023523B">
        <w:rPr>
          <w:rFonts w:cstheme="minorHAnsi"/>
          <w:i/>
          <w:iCs/>
          <w:vertAlign w:val="subscript"/>
        </w:rPr>
        <w:t>eff</w:t>
      </w:r>
      <w:r w:rsidRPr="00E62CF8">
        <w:rPr>
          <w:rFonts w:cstheme="minorHAnsi"/>
        </w:rPr>
        <w:t>)</w:t>
      </w:r>
      <w:r>
        <w:rPr>
          <w:rFonts w:cstheme="minorHAnsi"/>
        </w:rPr>
        <w:t xml:space="preserve">. With an effective mass coefficient for </w:t>
      </w:r>
      <w:r w:rsidRPr="00E62CF8">
        <w:rPr>
          <w:rFonts w:cstheme="minorHAnsi"/>
        </w:rPr>
        <w:t>FAPbBr</w:t>
      </w:r>
      <w:r w:rsidRPr="00E62CF8">
        <w:rPr>
          <w:rFonts w:cstheme="minorHAnsi"/>
          <w:vertAlign w:val="subscript"/>
        </w:rPr>
        <w:t>3</w:t>
      </w:r>
      <w:r>
        <w:rPr>
          <w:rFonts w:cstheme="minorHAnsi"/>
          <w:vertAlign w:val="subscript"/>
        </w:rPr>
        <w:t xml:space="preserve"> </w:t>
      </w:r>
      <w:r w:rsidRPr="00E62CF8">
        <w:rPr>
          <w:rFonts w:cstheme="minorHAnsi"/>
        </w:rPr>
        <w:t xml:space="preserve">of </w:t>
      </w:r>
      <w:r>
        <w:rPr>
          <w:rFonts w:cstheme="minorHAnsi"/>
        </w:rPr>
        <w:t>0.13</w:t>
      </w:r>
      <w:r w:rsidRPr="0023523B">
        <w:rPr>
          <w:rFonts w:cstheme="minorHAnsi"/>
          <w:i/>
          <w:iCs/>
        </w:rPr>
        <w:t>m</w:t>
      </w:r>
      <w:r w:rsidRPr="0023523B">
        <w:rPr>
          <w:rFonts w:cstheme="minorHAnsi"/>
          <w:i/>
          <w:iCs/>
          <w:vertAlign w:val="subscript"/>
        </w:rPr>
        <w:t>0</w:t>
      </w:r>
      <w:r>
        <w:rPr>
          <w:rFonts w:cstheme="minorHAnsi"/>
        </w:rPr>
        <w:fldChar w:fldCharType="begin" w:fldLock="1"/>
      </w:r>
      <w:r w:rsidR="00377F75">
        <w:rPr>
          <w:rFonts w:cstheme="minorHAnsi"/>
        </w:rPr>
        <w:instrText>ADDIN CSL_CITATION {"citationItems":[{"id":"ITEM-1","itemData":{"DOI":"10.1039/c5ee03435c","ISSN":"17545706","abstract":"The family of organic-inorganic halide perovskite materials has generated tremendous interest in the field of photovoltaics due to their high power conversion efficiencies. There has been intensive development of cells based on the archetypal methylammonium (MA) and recently introduced formamidinium (FA) materials, however, there is still considerable controversy over their fundamental electronic properties. Two of the most important parameters are the binding energy of the exciton (R</w:instrText>
      </w:r>
      <w:r w:rsidR="00377F75">
        <w:rPr>
          <w:rFonts w:ascii="Cambria Math" w:hAnsi="Cambria Math" w:cs="Cambria Math"/>
        </w:rPr>
        <w:instrText>∗</w:instrText>
      </w:r>
      <w:r w:rsidR="00377F75">
        <w:rPr>
          <w:rFonts w:cstheme="minorHAnsi"/>
        </w:rPr>
        <w:instrText xml:space="preserve">) and its reduced effective mass </w:instrText>
      </w:r>
      <w:r w:rsidR="00377F75">
        <w:rPr>
          <w:rFonts w:ascii="Calibri" w:hAnsi="Calibri" w:cs="Calibri"/>
        </w:rPr>
        <w:instrText>μ</w:instrText>
      </w:r>
      <w:r w:rsidR="00377F75">
        <w:rPr>
          <w:rFonts w:cstheme="minorHAnsi"/>
        </w:rPr>
        <w:instrText>. Here we present extensive magneto optical studies of Cl assisted grown MAPbI3 as well as MAPbBr3 and the FA based materials FAPbI3 and FAPbBr3. We fit the excitonic states as a hydrogenic atom in magnetic field and the Landau levels for free carriers to give R</w:instrText>
      </w:r>
      <w:r w:rsidR="00377F75">
        <w:rPr>
          <w:rFonts w:ascii="Cambria Math" w:hAnsi="Cambria Math" w:cs="Cambria Math"/>
        </w:rPr>
        <w:instrText>∗</w:instrText>
      </w:r>
      <w:r w:rsidR="00377F75">
        <w:rPr>
          <w:rFonts w:cstheme="minorHAnsi"/>
        </w:rPr>
        <w:instrText xml:space="preserve"> and </w:instrText>
      </w:r>
      <w:r w:rsidR="00377F75">
        <w:rPr>
          <w:rFonts w:ascii="Calibri" w:hAnsi="Calibri" w:cs="Calibri"/>
        </w:rPr>
        <w:instrText>μ</w:instrText>
      </w:r>
      <w:r w:rsidR="00377F75">
        <w:rPr>
          <w:rFonts w:cstheme="minorHAnsi"/>
        </w:rPr>
        <w:instrText>. The values of the exciton binding energy are in the range 14-25 meV in the low temperature phase and fall considerably at higher temperatures for the tri-iodides, consistent with free carrier behaviour in all devices made from these materials. Both R</w:instrText>
      </w:r>
      <w:r w:rsidR="00377F75">
        <w:rPr>
          <w:rFonts w:ascii="Cambria Math" w:hAnsi="Cambria Math" w:cs="Cambria Math"/>
        </w:rPr>
        <w:instrText>∗</w:instrText>
      </w:r>
      <w:r w:rsidR="00377F75">
        <w:rPr>
          <w:rFonts w:cstheme="minorHAnsi"/>
        </w:rPr>
        <w:instrText xml:space="preserve"> and </w:instrText>
      </w:r>
      <w:r w:rsidR="00377F75">
        <w:rPr>
          <w:rFonts w:ascii="Calibri" w:hAnsi="Calibri" w:cs="Calibri"/>
        </w:rPr>
        <w:instrText>μ</w:instrText>
      </w:r>
      <w:r w:rsidR="00377F75">
        <w:rPr>
          <w:rFonts w:cstheme="minorHAnsi"/>
        </w:rPr>
        <w:instrText xml:space="preserve"> increase approximately proportionally to the band gap, and the mass values, 0.09-0.117m0, are consistent with a simple k.p perturbation approach to the band structure which can be generalized to predict values for the effective mass and binding energy for other members of this perovskite family of materials.","author":[{"dropping-particle":"","family":"Galkowski","given":"Krzysztof","non-dropping-particle":"","parse-names":false,"suffix":""},{"dropping-particle":"","family":"Mitioglu","given":"Anatolie","non-dropping-particle":"","parse-names":false,"suffix":""},{"dropping-particle":"","family":"Miyata","given":"Atsuhiko","non-dropping-particle":"","parse-names":false,"suffix":""},{"dropping-particle":"","family":"Plochocka","given":"Paulina","non-dropping-particle":"","parse-names":false,"suffix":""},{"dropping-particle":"","family":"Portugall","given":"Oliver","non-dropping-particle":"","parse-names":false,"suffix":""},{"dropping-particle":"","family":"Eperon","given":"Giles E.","non-dropping-particle":"","parse-names":false,"suffix":""},{"dropping-particle":"","family":"Wang","given":"Jacob Tse Wei","non-dropping-particle":"","parse-names":false,"suffix":""},{"dropping-particle":"","family":"Stergiopoulos","given":"Thomas","non-dropping-particle":"","parse-names":false,"suffix":""},{"dropping-particle":"","family":"Stranks","given":"Samuel D.","non-dropping-particle":"","parse-names":false,"suffix":""},{"dropping-particle":"","family":"Snaith","given":"Henry J.","non-dropping-particle":"","parse-names":false,"suffix":""},{"dropping-particle":"","family":"Nicholas","given":"Robin J.","non-dropping-particle":"","parse-names":false,"suffix":""}],"container-title":"Energy and Environmental Science","id":"ITEM-1","issue":"3","issued":{"date-parts":[["2016","3","1"]]},"page":"962-970","publisher":"Royal Society of Chemistry","title":"Determination of the exciton binding energy and effective masses for methylammonium and formamidinium lead tri-halide perovskite semiconductors","type":"article-journal","volume":"9"},"uris":["http://www.mendeley.com/documents/?uuid=2bc11e82-b2ec-32f1-9790-cd4d9806e9d5"]}],"mendeley":{"formattedCitation":"&lt;sup&gt;2&lt;/sup&gt;","plainTextFormattedCitation":"2","previouslyFormattedCitation":"&lt;sup&gt;2&lt;/sup&gt;"},"properties":{"noteIndex":0},"schema":"https://github.com/citation-style-language/schema/raw/master/csl-citation.json"}</w:instrText>
      </w:r>
      <w:r>
        <w:rPr>
          <w:rFonts w:cstheme="minorHAnsi"/>
        </w:rPr>
        <w:fldChar w:fldCharType="separate"/>
      </w:r>
      <w:r w:rsidRPr="009D74AE">
        <w:rPr>
          <w:rFonts w:cstheme="minorHAnsi"/>
          <w:noProof/>
          <w:vertAlign w:val="superscript"/>
        </w:rPr>
        <w:t>2</w:t>
      </w:r>
      <w:r>
        <w:rPr>
          <w:rFonts w:cstheme="minorHAnsi"/>
        </w:rPr>
        <w:fldChar w:fldCharType="end"/>
      </w:r>
      <w:r>
        <w:rPr>
          <w:rFonts w:cstheme="minorHAnsi"/>
        </w:rPr>
        <w:t xml:space="preserve"> and the determined exciton binding energy of about 4</w:t>
      </w:r>
      <w:r w:rsidR="0023523B">
        <w:rPr>
          <w:rFonts w:cstheme="minorHAnsi"/>
        </w:rPr>
        <w:t>4</w:t>
      </w:r>
      <w:r>
        <w:rPr>
          <w:rFonts w:cstheme="minorHAnsi"/>
        </w:rPr>
        <w:t> meV</w:t>
      </w:r>
      <w:r w:rsidR="006A168C">
        <w:rPr>
          <w:rFonts w:cstheme="minorHAnsi"/>
        </w:rPr>
        <w:t>,</w:t>
      </w:r>
      <w:r>
        <w:rPr>
          <w:rFonts w:cstheme="minorHAnsi"/>
        </w:rPr>
        <w:t xml:space="preserve"> the </w:t>
      </w:r>
      <w:r w:rsidR="001116D6">
        <w:rPr>
          <w:rFonts w:cstheme="minorHAnsi"/>
        </w:rPr>
        <w:t>Mott</w:t>
      </w:r>
      <w:r>
        <w:rPr>
          <w:rFonts w:cstheme="minorHAnsi"/>
        </w:rPr>
        <w:t xml:space="preserve"> transition for the high dimensional ASE site can be estimated to be around 1.836∙10</w:t>
      </w:r>
      <w:r>
        <w:rPr>
          <w:rFonts w:cstheme="minorHAnsi"/>
          <w:vertAlign w:val="superscript"/>
        </w:rPr>
        <w:t>18 </w:t>
      </w:r>
      <w:r>
        <w:rPr>
          <w:rFonts w:cstheme="minorHAnsi"/>
        </w:rPr>
        <w:t>cm</w:t>
      </w:r>
      <w:r>
        <w:rPr>
          <w:rFonts w:cstheme="minorHAnsi"/>
          <w:vertAlign w:val="superscript"/>
        </w:rPr>
        <w:t>-3</w:t>
      </w:r>
      <w:r>
        <w:rPr>
          <w:rFonts w:cstheme="minorHAnsi"/>
        </w:rPr>
        <w:t xml:space="preserve"> at 300K.</w:t>
      </w:r>
    </w:p>
    <w:p w14:paraId="1834EBA2" w14:textId="090C1BE0" w:rsidR="008E61B2" w:rsidRDefault="008E61B2">
      <w:r>
        <w:br w:type="page"/>
      </w:r>
    </w:p>
    <w:p w14:paraId="7A864E9A" w14:textId="3D66DB69" w:rsidR="00540D49" w:rsidRDefault="00E74167" w:rsidP="00540D49">
      <w:pPr>
        <w:pStyle w:val="Heading1"/>
      </w:pPr>
      <w:bookmarkStart w:id="7" w:name="_Toc116033071"/>
      <w:r>
        <w:lastRenderedPageBreak/>
        <w:t>Ultrafast</w:t>
      </w:r>
      <w:r w:rsidR="00540D49">
        <w:t xml:space="preserve"> kinetics of ASE development in Q2D perovskite films in comparison to bulk </w:t>
      </w:r>
      <w:r w:rsidR="006A5E23">
        <w:t>MAPbI</w:t>
      </w:r>
      <w:r w:rsidR="006A5E23">
        <w:rPr>
          <w:vertAlign w:val="subscript"/>
        </w:rPr>
        <w:t>3</w:t>
      </w:r>
      <w:r w:rsidR="006A5E23">
        <w:t xml:space="preserve"> </w:t>
      </w:r>
      <w:r w:rsidR="00540D49">
        <w:t>perovskite films</w:t>
      </w:r>
      <w:bookmarkEnd w:id="7"/>
    </w:p>
    <w:p w14:paraId="2DFC12ED" w14:textId="4562B2B7" w:rsidR="007421D6" w:rsidRPr="007421D6" w:rsidRDefault="007421D6" w:rsidP="007421D6">
      <w:r>
        <w:rPr>
          <w:noProof/>
        </w:rPr>
        <w:drawing>
          <wp:inline distT="0" distB="0" distL="0" distR="0" wp14:anchorId="7AE0EC34" wp14:editId="4C8AC748">
            <wp:extent cx="5691879" cy="64008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9286" cy="6420375"/>
                    </a:xfrm>
                    <a:prstGeom prst="rect">
                      <a:avLst/>
                    </a:prstGeom>
                    <a:noFill/>
                    <a:ln>
                      <a:noFill/>
                    </a:ln>
                  </pic:spPr>
                </pic:pic>
              </a:graphicData>
            </a:graphic>
          </wp:inline>
        </w:drawing>
      </w:r>
    </w:p>
    <w:p w14:paraId="521B7167" w14:textId="2389EF58" w:rsidR="00927C44" w:rsidRDefault="00540D49" w:rsidP="00927C44">
      <w:pPr>
        <w:pStyle w:val="Caption"/>
        <w:jc w:val="both"/>
      </w:pPr>
      <w:bookmarkStart w:id="8" w:name="_Ref97299667"/>
      <w:r>
        <w:t>Figure S</w:t>
      </w:r>
      <w:r w:rsidR="00152C10">
        <w:fldChar w:fldCharType="begin"/>
      </w:r>
      <w:r w:rsidR="00152C10">
        <w:instrText xml:space="preserve"> SEQ Figure_S \* ARABIC </w:instrText>
      </w:r>
      <w:r w:rsidR="00152C10">
        <w:fldChar w:fldCharType="separate"/>
      </w:r>
      <w:r w:rsidR="00435B7A">
        <w:rPr>
          <w:noProof/>
        </w:rPr>
        <w:t>4</w:t>
      </w:r>
      <w:r w:rsidR="00152C10">
        <w:rPr>
          <w:noProof/>
        </w:rPr>
        <w:fldChar w:fldCharType="end"/>
      </w:r>
      <w:bookmarkEnd w:id="8"/>
      <w:r>
        <w:t xml:space="preserve">: (a) </w:t>
      </w:r>
      <w:r w:rsidR="00077362" w:rsidRPr="00077362">
        <w:t xml:space="preserve">Transient </w:t>
      </w:r>
      <w:r w:rsidR="00077362">
        <w:t>photoluminescence</w:t>
      </w:r>
      <w:r w:rsidR="00077362" w:rsidRPr="00077362">
        <w:t xml:space="preserve"> map</w:t>
      </w:r>
      <w:r w:rsidR="00077362">
        <w:t xml:space="preserve"> of </w:t>
      </w:r>
      <w:r w:rsidR="00064C87">
        <w:t xml:space="preserve">a </w:t>
      </w:r>
      <w:r w:rsidR="00077362">
        <w:t>mixed Q2D perovskite film</w:t>
      </w:r>
      <w:r w:rsidR="00077362" w:rsidRPr="00077362">
        <w:t xml:space="preserve"> after photoexcitation </w:t>
      </w:r>
      <w:r w:rsidR="00077362">
        <w:t>at 3.6 eV</w:t>
      </w:r>
      <w:r w:rsidR="00AB0EFB">
        <w:t xml:space="preserve"> </w:t>
      </w:r>
      <w:r w:rsidR="00AB0EFB" w:rsidRPr="00077362">
        <w:t>with an</w:t>
      </w:r>
      <w:r w:rsidR="00AB0EFB">
        <w:t xml:space="preserve"> </w:t>
      </w:r>
      <w:r w:rsidR="00AB0EFB" w:rsidRPr="00077362">
        <w:t>excitation density</w:t>
      </w:r>
      <w:r w:rsidR="00077362">
        <w:t xml:space="preserve"> </w:t>
      </w:r>
      <w:r w:rsidR="00077362" w:rsidRPr="00077362">
        <w:t>above the ASE threshold</w:t>
      </w:r>
      <w:r w:rsidR="00077362">
        <w:t xml:space="preserve">. </w:t>
      </w:r>
      <w:r w:rsidR="00561AF6">
        <w:t>(</w:t>
      </w:r>
      <w:r w:rsidR="00AA2304">
        <w:t>b</w:t>
      </w:r>
      <w:r w:rsidR="00561AF6">
        <w:t xml:space="preserve">) Corresponding ASE evolution from spectral integration of </w:t>
      </w:r>
      <w:r w:rsidR="00064C87">
        <w:t xml:space="preserve">the </w:t>
      </w:r>
      <w:r w:rsidR="00561AF6">
        <w:t>shaded area in</w:t>
      </w:r>
      <w:r w:rsidR="00064C87">
        <w:t xml:space="preserve"> the</w:t>
      </w:r>
      <w:r w:rsidR="00561AF6">
        <w:t xml:space="preserve"> PL map shows</w:t>
      </w:r>
      <w:r w:rsidR="00E175DA">
        <w:t xml:space="preserve"> </w:t>
      </w:r>
      <w:r w:rsidR="00064C87">
        <w:t xml:space="preserve">the </w:t>
      </w:r>
      <w:r w:rsidR="00E175DA">
        <w:t xml:space="preserve">carrier temperature dependent </w:t>
      </w:r>
      <w:r w:rsidR="00561AF6">
        <w:t xml:space="preserve">build-up of </w:t>
      </w:r>
      <w:r w:rsidR="00064C87">
        <w:t xml:space="preserve">the </w:t>
      </w:r>
      <w:r w:rsidR="00AA2304">
        <w:t>stimulated emission.</w:t>
      </w:r>
      <w:r w:rsidR="00561AF6">
        <w:t xml:space="preserve"> </w:t>
      </w:r>
      <w:r w:rsidR="00077362">
        <w:t>(</w:t>
      </w:r>
      <w:r w:rsidR="00AA2304">
        <w:t>c</w:t>
      </w:r>
      <w:r w:rsidR="00077362">
        <w:t xml:space="preserve">) </w:t>
      </w:r>
      <w:r w:rsidR="00077362" w:rsidRPr="00077362">
        <w:t xml:space="preserve">Transient </w:t>
      </w:r>
      <w:r w:rsidR="00077362">
        <w:t>photoluminescence</w:t>
      </w:r>
      <w:r w:rsidR="00077362" w:rsidRPr="00077362">
        <w:t xml:space="preserve"> map</w:t>
      </w:r>
      <w:r w:rsidR="00077362">
        <w:t xml:space="preserve"> of </w:t>
      </w:r>
      <w:r w:rsidR="00561AF6">
        <w:t>a bulk MAPbI</w:t>
      </w:r>
      <w:r w:rsidR="00561AF6" w:rsidRPr="00561AF6">
        <w:rPr>
          <w:vertAlign w:val="subscript"/>
        </w:rPr>
        <w:t>3</w:t>
      </w:r>
      <w:r w:rsidR="00077362">
        <w:t xml:space="preserve"> perovskite film</w:t>
      </w:r>
      <w:r w:rsidR="00077362" w:rsidRPr="00077362">
        <w:t xml:space="preserve"> after photoexcitation </w:t>
      </w:r>
      <w:r w:rsidR="00077362">
        <w:t xml:space="preserve">at </w:t>
      </w:r>
      <w:r w:rsidR="00561AF6">
        <w:t>2.4</w:t>
      </w:r>
      <w:r w:rsidR="00077362">
        <w:t> eV</w:t>
      </w:r>
      <w:r w:rsidR="00AB0EFB">
        <w:t xml:space="preserve"> </w:t>
      </w:r>
      <w:r w:rsidR="00AB0EFB" w:rsidRPr="00077362">
        <w:t>with an</w:t>
      </w:r>
      <w:r w:rsidR="00AB0EFB">
        <w:t xml:space="preserve"> </w:t>
      </w:r>
      <w:r w:rsidR="00AB0EFB" w:rsidRPr="00077362">
        <w:t>excitation density</w:t>
      </w:r>
      <w:r w:rsidR="00077362">
        <w:t xml:space="preserve"> </w:t>
      </w:r>
      <w:r w:rsidR="00077362" w:rsidRPr="00077362">
        <w:t>above the ASE threshold</w:t>
      </w:r>
      <w:r w:rsidR="00077362">
        <w:t>.</w:t>
      </w:r>
      <w:r w:rsidR="00561AF6">
        <w:t xml:space="preserve"> (</w:t>
      </w:r>
      <w:r w:rsidR="00AA2304">
        <w:t xml:space="preserve">d) Corresponding ASE evolution from spectral integration of </w:t>
      </w:r>
      <w:r w:rsidR="00381CFD">
        <w:t xml:space="preserve">the </w:t>
      </w:r>
      <w:r w:rsidR="00722D9E">
        <w:t xml:space="preserve">shaded area in </w:t>
      </w:r>
      <w:r w:rsidR="00381CFD">
        <w:t xml:space="preserve">the </w:t>
      </w:r>
      <w:r w:rsidR="00722D9E">
        <w:t>PL map shows carrier temperature dependent build-up of stimulated emission.</w:t>
      </w:r>
      <w:r w:rsidR="00927C44">
        <w:t xml:space="preserve"> (e) </w:t>
      </w:r>
      <w:r w:rsidR="00927C44" w:rsidRPr="00927C44">
        <w:t xml:space="preserve">Excitation density dependent delay of </w:t>
      </w:r>
      <w:r w:rsidR="005D6C09">
        <w:t xml:space="preserve">the </w:t>
      </w:r>
      <w:r w:rsidR="00927C44" w:rsidRPr="00927C44">
        <w:t>ASE onset</w:t>
      </w:r>
      <w:r w:rsidR="00EC6832">
        <w:t xml:space="preserve"> of the mixed Q2D perovskite film</w:t>
      </w:r>
      <w:r w:rsidR="00EC6832" w:rsidRPr="00077362">
        <w:t xml:space="preserve"> after photoexcitation </w:t>
      </w:r>
      <w:r w:rsidR="00EC6832">
        <w:t>at 2.4 eV, which corresponds to</w:t>
      </w:r>
      <w:r w:rsidR="00927C44" w:rsidRPr="00927C44">
        <w:t xml:space="preserve"> almost resonant (120</w:t>
      </w:r>
      <w:r w:rsidR="00FA1857">
        <w:t xml:space="preserve"> </w:t>
      </w:r>
      <w:r w:rsidR="00927C44" w:rsidRPr="00927C44">
        <w:t>meV excess energy) excitation conditions.</w:t>
      </w:r>
    </w:p>
    <w:p w14:paraId="2CEE97D9" w14:textId="77777777" w:rsidR="007421D6" w:rsidRPr="00D53B0A" w:rsidRDefault="007421D6" w:rsidP="00D53B0A"/>
    <w:p w14:paraId="42823C2D" w14:textId="456D1FAF" w:rsidR="008915B2" w:rsidRDefault="00AB7389" w:rsidP="000A6714">
      <w:pPr>
        <w:spacing w:line="480" w:lineRule="auto"/>
        <w:jc w:val="both"/>
      </w:pPr>
      <w:r>
        <w:t xml:space="preserve">To further investigate the nature of excited states at the ASE site, we </w:t>
      </w:r>
      <w:r w:rsidR="001F38F7">
        <w:t>i</w:t>
      </w:r>
      <w:r>
        <w:t>nvestigate</w:t>
      </w:r>
      <w:r w:rsidR="001F38F7">
        <w:t>d</w:t>
      </w:r>
      <w:r>
        <w:t xml:space="preserve"> the intrinsic mechanism responsible for population inversion in mixed Q2D perovskite films by directly monitoring the emissive species under ambient conditions to prevent STA. </w:t>
      </w:r>
      <w:r>
        <w:fldChar w:fldCharType="begin"/>
      </w:r>
      <w:r>
        <w:instrText xml:space="preserve"> REF _Ref97299667 \h </w:instrText>
      </w:r>
      <w:r w:rsidR="00064C87">
        <w:instrText xml:space="preserve"> \* MERGEFORMAT </w:instrText>
      </w:r>
      <w:r>
        <w:fldChar w:fldCharType="separate"/>
      </w:r>
      <w:r>
        <w:t>Figure S</w:t>
      </w:r>
      <w:r>
        <w:rPr>
          <w:noProof/>
        </w:rPr>
        <w:t>3</w:t>
      </w:r>
      <w:r>
        <w:fldChar w:fldCharType="end"/>
      </w:r>
      <w:r>
        <w:t xml:space="preserve">a shows the transient PL map of the </w:t>
      </w:r>
      <w:r w:rsidRPr="007E235F">
        <w:t xml:space="preserve">Q2D perovskite film </w:t>
      </w:r>
      <w:r>
        <w:t xml:space="preserve">after photoexcitation at 3.6 eV with an excitation density of </w:t>
      </w:r>
      <w:r w:rsidRPr="007E235F">
        <w:t>14.4x10</w:t>
      </w:r>
      <w:r w:rsidRPr="007E235F">
        <w:rPr>
          <w:vertAlign w:val="superscript"/>
        </w:rPr>
        <w:t>18</w:t>
      </w:r>
      <w:r>
        <w:rPr>
          <w:vertAlign w:val="superscript"/>
        </w:rPr>
        <w:t> </w:t>
      </w:r>
      <w:r w:rsidRPr="007E235F">
        <w:t>cm</w:t>
      </w:r>
      <w:r w:rsidRPr="007E235F">
        <w:rPr>
          <w:vertAlign w:val="superscript"/>
        </w:rPr>
        <w:t>-3</w:t>
      </w:r>
      <w:r>
        <w:t>, well above the ASE threshold. Several distinct emissive features are present</w:t>
      </w:r>
      <w:r w:rsidR="00064C87">
        <w:t>:</w:t>
      </w:r>
      <w:r>
        <w:t xml:space="preserve"> </w:t>
      </w:r>
      <w:r w:rsidR="00064C87">
        <w:t>o</w:t>
      </w:r>
      <w:r>
        <w:t>ne short-lived high-energy peak around 2.7-2.85 eV corresponding to emission from low-dimensional &lt;n&gt;</w:t>
      </w:r>
      <w:r w:rsidR="00F33DBE">
        <w:t xml:space="preserve"> =</w:t>
      </w:r>
      <w:r>
        <w:t> 2 domains, the dominant much broader emission region from the lower bandgap of &lt;n&gt;</w:t>
      </w:r>
      <w:r w:rsidR="00F33DBE">
        <w:t xml:space="preserve"> = </w:t>
      </w:r>
      <w:r>
        <w:t> 8 grains and the slightly redshifted narrow but intense ASE peak</w:t>
      </w:r>
      <w:r w:rsidR="008915B2">
        <w:t xml:space="preserve"> at around 2.25 eV</w:t>
      </w:r>
      <w:r>
        <w:t xml:space="preserve">. </w:t>
      </w:r>
    </w:p>
    <w:p w14:paraId="3C9DBD8E" w14:textId="53EB52B8" w:rsidR="001A5879" w:rsidRDefault="00942B2C" w:rsidP="000A6714">
      <w:pPr>
        <w:spacing w:line="480" w:lineRule="auto"/>
        <w:jc w:val="both"/>
      </w:pPr>
      <w:r>
        <w:t>Evidence for a free carrier plasma</w:t>
      </w:r>
      <w:r w:rsidR="001A5879">
        <w:t>-</w:t>
      </w:r>
      <w:r>
        <w:t>like origin of optical gain in the Q2D perovskite film can be found from the carrier temperature dependence of the ASE build-up. U</w:t>
      </w:r>
      <w:r w:rsidR="008915B2">
        <w:t xml:space="preserve">sing the common approach of assuming a Fermi-Dirac carrier distribution after </w:t>
      </w:r>
      <w:r w:rsidR="00064C87">
        <w:t xml:space="preserve">the </w:t>
      </w:r>
      <w:r w:rsidR="008915B2">
        <w:t>initial rapid thermalization of photogenerated carriers</w:t>
      </w:r>
      <w:r w:rsidR="00064C87">
        <w:t>,</w:t>
      </w:r>
      <w:r w:rsidRPr="00942B2C">
        <w:t xml:space="preserve"> </w:t>
      </w:r>
      <w:r>
        <w:t>the effective carrier temperature can be extracted from the broadband PL transients.</w:t>
      </w:r>
      <w:r w:rsidR="008915B2">
        <w:t xml:space="preserve"> </w:t>
      </w:r>
      <w:r>
        <w:t>With this</w:t>
      </w:r>
      <w:r w:rsidR="00422E5C">
        <w:t xml:space="preserve"> estimation, the effective carrier </w:t>
      </w:r>
      <w:r w:rsidR="00422E5C" w:rsidRPr="00E63825">
        <w:rPr>
          <w:lang w:val="en-US"/>
        </w:rPr>
        <w:t>temperature</w:t>
      </w:r>
      <w:r w:rsidR="00422E5C">
        <w:rPr>
          <w:lang w:val="en-US"/>
        </w:rPr>
        <w:t xml:space="preserve"> can be obtained</w:t>
      </w:r>
      <w:r>
        <w:t xml:space="preserve"> </w:t>
      </w:r>
      <w:r w:rsidR="00422E5C">
        <w:t>b</w:t>
      </w:r>
      <w:r w:rsidR="008915B2" w:rsidRPr="00E63825">
        <w:rPr>
          <w:lang w:val="en-US"/>
        </w:rPr>
        <w:t xml:space="preserve">y fitting the </w:t>
      </w:r>
      <w:r w:rsidR="008915B2">
        <w:rPr>
          <w:lang w:val="en-US"/>
        </w:rPr>
        <w:t>high-energy</w:t>
      </w:r>
      <w:r w:rsidR="008915B2" w:rsidRPr="00E63825">
        <w:rPr>
          <w:lang w:val="en-US"/>
        </w:rPr>
        <w:t xml:space="preserve"> tail of the</w:t>
      </w:r>
      <w:r>
        <w:rPr>
          <w:lang w:val="en-US"/>
        </w:rPr>
        <w:t xml:space="preserve"> &lt;n&gt; = 8</w:t>
      </w:r>
      <w:r w:rsidR="008915B2" w:rsidRPr="00E63825">
        <w:rPr>
          <w:lang w:val="en-US"/>
        </w:rPr>
        <w:t xml:space="preserve"> PL spectrum with a Maxwell-Boltzmann distribution</w:t>
      </w:r>
      <w:r w:rsidR="00422E5C">
        <w:rPr>
          <w:lang w:val="en-US"/>
        </w:rPr>
        <w:t xml:space="preserve"> </w:t>
      </w:r>
      <m:oMath>
        <m:r>
          <w:rPr>
            <w:rFonts w:ascii="Cambria Math" w:hAnsi="Cambria Math"/>
            <w:lang w:val="en-US"/>
          </w:rPr>
          <m:t>PL(E)∝</m:t>
        </m:r>
        <m:rad>
          <m:radPr>
            <m:degHide m:val="1"/>
            <m:ctrlPr>
              <w:rPr>
                <w:rFonts w:ascii="Cambria Math" w:hAnsi="Cambria Math"/>
                <w:i/>
                <w:lang w:val="en-US"/>
              </w:rPr>
            </m:ctrlPr>
          </m:radPr>
          <m:deg/>
          <m:e>
            <m:r>
              <m:rPr>
                <m:sty m:val="p"/>
              </m:rPr>
              <w:rPr>
                <w:rFonts w:ascii="Cambria Math" w:hAnsi="Cambria Math"/>
                <w:lang w:val="en-US"/>
              </w:rPr>
              <m:t>E-</m:t>
            </m:r>
            <m:sSub>
              <m:sSubPr>
                <m:ctrlPr>
                  <w:rPr>
                    <w:rFonts w:ascii="Cambria Math" w:hAnsi="Cambria Math"/>
                    <w:lang w:val="en-US"/>
                  </w:rPr>
                </m:ctrlPr>
              </m:sSubPr>
              <m:e>
                <m:r>
                  <w:rPr>
                    <w:rFonts w:ascii="Cambria Math" w:hAnsi="Cambria Math"/>
                    <w:lang w:val="en-US"/>
                  </w:rPr>
                  <m:t>E</m:t>
                </m:r>
              </m:e>
              <m:sub>
                <m:r>
                  <w:rPr>
                    <w:rFonts w:ascii="Cambria Math" w:hAnsi="Cambria Math"/>
                    <w:lang w:val="en-US"/>
                  </w:rPr>
                  <m:t>BG</m:t>
                </m:r>
              </m:sub>
            </m:sSub>
            <m:r>
              <w:rPr>
                <w:rFonts w:ascii="Cambria Math" w:hAnsi="Cambria Math"/>
                <w:lang w:val="en-US"/>
              </w:rPr>
              <m:t xml:space="preserve"> </m:t>
            </m:r>
          </m:e>
        </m:rad>
        <m:r>
          <w:rPr>
            <w:rFonts w:ascii="Cambria Math" w:hAnsi="Cambria Math"/>
            <w:lang w:val="en-US"/>
          </w:rPr>
          <m:t>∙</m:t>
        </m:r>
        <m:sSup>
          <m:sSupPr>
            <m:ctrlPr>
              <w:rPr>
                <w:rFonts w:ascii="Cambria Math" w:hAnsi="Cambria Math"/>
                <w:i/>
                <w:lang w:val="en-US"/>
              </w:rPr>
            </m:ctrlPr>
          </m:sSupPr>
          <m:e>
            <m:r>
              <w:rPr>
                <w:rFonts w:ascii="Cambria Math" w:hAnsi="Cambria Math"/>
                <w:lang w:val="en-US"/>
              </w:rPr>
              <m:t>exp</m:t>
            </m:r>
          </m:e>
          <m:sup>
            <m:r>
              <w:rPr>
                <w:rFonts w:ascii="Cambria Math" w:hAnsi="Cambria Math"/>
                <w:lang w:val="en-US"/>
              </w:rPr>
              <m:t>-</m:t>
            </m:r>
            <m:d>
              <m:dPr>
                <m:ctrlPr>
                  <w:rPr>
                    <w:rFonts w:ascii="Cambria Math" w:hAnsi="Cambria Math"/>
                    <w:i/>
                    <w:lang w:val="en-US"/>
                  </w:rPr>
                </m:ctrlPr>
              </m:dPr>
              <m:e>
                <m:f>
                  <m:fPr>
                    <m:ctrlPr>
                      <w:rPr>
                        <w:rFonts w:ascii="Cambria Math" w:hAnsi="Cambria Math"/>
                        <w:i/>
                        <w:lang w:val="en-US"/>
                      </w:rPr>
                    </m:ctrlPr>
                  </m:fPr>
                  <m:num>
                    <m:r>
                      <m:rPr>
                        <m:sty m:val="p"/>
                      </m:rPr>
                      <w:rPr>
                        <w:rFonts w:ascii="Cambria Math" w:hAnsi="Cambria Math"/>
                        <w:lang w:val="en-US"/>
                      </w:rPr>
                      <m:t>E-</m:t>
                    </m:r>
                    <m:sSub>
                      <m:sSubPr>
                        <m:ctrlPr>
                          <w:rPr>
                            <w:rFonts w:ascii="Cambria Math" w:hAnsi="Cambria Math"/>
                            <w:lang w:val="en-US"/>
                          </w:rPr>
                        </m:ctrlPr>
                      </m:sSubPr>
                      <m:e>
                        <m:r>
                          <w:rPr>
                            <w:rFonts w:ascii="Cambria Math" w:hAnsi="Cambria Math"/>
                            <w:lang w:val="en-US"/>
                          </w:rPr>
                          <m:t>E</m:t>
                        </m:r>
                      </m:e>
                      <m:sub>
                        <m:r>
                          <w:rPr>
                            <w:rFonts w:ascii="Cambria Math" w:hAnsi="Cambria Math"/>
                            <w:lang w:val="en-US"/>
                          </w:rPr>
                          <m:t>BG</m:t>
                        </m:r>
                      </m:sub>
                    </m:sSub>
                  </m:num>
                  <m:den>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b</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C</m:t>
                        </m:r>
                      </m:sub>
                    </m:sSub>
                  </m:den>
                </m:f>
              </m:e>
            </m:d>
          </m:sup>
        </m:sSup>
      </m:oMath>
      <w:r w:rsidR="008915B2">
        <w:rPr>
          <w:rFonts w:eastAsiaTheme="minorEastAsia"/>
          <w:lang w:val="en-US"/>
        </w:rPr>
        <w:t>, w</w:t>
      </w:r>
      <w:r>
        <w:rPr>
          <w:rFonts w:eastAsiaTheme="minorEastAsia"/>
          <w:lang w:val="en-US"/>
        </w:rPr>
        <w:t>h</w:t>
      </w:r>
      <w:r w:rsidR="008915B2">
        <w:rPr>
          <w:rFonts w:eastAsiaTheme="minorEastAsia"/>
          <w:lang w:val="en-US"/>
        </w:rPr>
        <w:t xml:space="preserve">ere </w:t>
      </w:r>
      <m:oMath>
        <m:sSub>
          <m:sSubPr>
            <m:ctrlPr>
              <w:rPr>
                <w:rFonts w:ascii="Cambria Math" w:hAnsi="Cambria Math"/>
                <w:lang w:val="en-US"/>
              </w:rPr>
            </m:ctrlPr>
          </m:sSubPr>
          <m:e>
            <m:r>
              <w:rPr>
                <w:rFonts w:ascii="Cambria Math" w:hAnsi="Cambria Math"/>
                <w:lang w:val="en-US"/>
              </w:rPr>
              <m:t>E</m:t>
            </m:r>
          </m:e>
          <m:sub>
            <m:r>
              <w:rPr>
                <w:rFonts w:ascii="Cambria Math" w:hAnsi="Cambria Math"/>
                <w:lang w:val="en-US"/>
              </w:rPr>
              <m:t>BG</m:t>
            </m:r>
          </m:sub>
        </m:sSub>
      </m:oMath>
      <w:r w:rsidR="008915B2">
        <w:rPr>
          <w:rFonts w:eastAsiaTheme="minorEastAsia"/>
          <w:lang w:val="en-US"/>
        </w:rPr>
        <w:t xml:space="preserve"> is the </w:t>
      </w:r>
      <w:r w:rsidR="00191031">
        <w:rPr>
          <w:rFonts w:eastAsiaTheme="minorEastAsia"/>
          <w:lang w:val="en-US"/>
        </w:rPr>
        <w:t>semiconductor bandgap</w:t>
      </w:r>
      <w:r w:rsidR="008915B2">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lang w:val="en-US"/>
              </w:rPr>
              <m:t>b</m:t>
            </m:r>
          </m:sub>
        </m:sSub>
      </m:oMath>
      <w:r w:rsidR="008915B2">
        <w:rPr>
          <w:rFonts w:eastAsiaTheme="minorEastAsia"/>
          <w:lang w:val="en-US"/>
        </w:rPr>
        <w:t xml:space="preserve"> </w:t>
      </w:r>
      <w:r w:rsidR="000A6714">
        <w:rPr>
          <w:rFonts w:eastAsiaTheme="minorEastAsia"/>
          <w:lang w:val="en-US"/>
        </w:rPr>
        <w:t xml:space="preserve">is </w:t>
      </w:r>
      <w:r w:rsidR="008915B2">
        <w:rPr>
          <w:rFonts w:eastAsiaTheme="minorEastAsia"/>
          <w:lang w:val="en-US"/>
        </w:rPr>
        <w:t xml:space="preserve">the Boltzmann constant and </w:t>
      </w:r>
      <m:oMath>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C</m:t>
            </m:r>
          </m:sub>
        </m:sSub>
      </m:oMath>
      <w:r w:rsidR="008915B2">
        <w:rPr>
          <w:rFonts w:eastAsiaTheme="minorEastAsia"/>
          <w:lang w:val="en-US"/>
        </w:rPr>
        <w:t xml:space="preserve"> </w:t>
      </w:r>
      <w:r w:rsidR="000A6714">
        <w:rPr>
          <w:rFonts w:eastAsiaTheme="minorEastAsia"/>
          <w:lang w:val="en-US"/>
        </w:rPr>
        <w:t xml:space="preserve">is </w:t>
      </w:r>
      <w:r w:rsidR="008915B2">
        <w:rPr>
          <w:rFonts w:eastAsiaTheme="minorEastAsia"/>
          <w:lang w:val="en-US"/>
        </w:rPr>
        <w:t>the carrier temperatur</w:t>
      </w:r>
      <w:r>
        <w:rPr>
          <w:rFonts w:eastAsiaTheme="minorEastAsia"/>
          <w:lang w:val="en-US"/>
        </w:rPr>
        <w:t>e</w:t>
      </w:r>
      <w:r w:rsidR="008915B2" w:rsidRPr="00E63825">
        <w:rPr>
          <w:lang w:val="en-US"/>
        </w:rPr>
        <w:fldChar w:fldCharType="begin" w:fldLock="1"/>
      </w:r>
      <w:r w:rsidR="0048676E">
        <w:rPr>
          <w:lang w:val="en-US"/>
        </w:rPr>
        <w:instrText>ADDIN CSL_CITATION {"citationItems":[{"id":"ITEM-1","itemData":{"DOI":"10.1038/ncomms9420","author":[{"dropping-particle":"","family":"Price","given":"Michael B","non-dropping-particle":"","parse-names":false,"suffix":""},{"dropping-particle":"","family":"Butkus","given":"Justinas","non-dropping-particle":"","parse-names":false,"suffix":""},{"dropping-particle":"","family":"Jellicoe","given":"Tom C","non-dropping-particle":"","parse-names":false,"suffix":""},{"dropping-particle":"","family":"Sadhanala","given":"Aditya","non-dropping-particle":"","parse-names":false,"suffix":""},{"dropping-particle":"","family":"Briane","given":"Anouk","non-dropping-particle":"","parse-names":false,"suffix":""},{"dropping-particle":"","family":"Halpert","given":"Jonathan E","non-dropping-particle":"","parse-names":false,"suffix":""},{"dropping-particle":"","family":"Broch","given":"Katharina","non-dropping-particle":"","parse-names":false,"suffix":""},{"dropping-particle":"","family":"Hodgkiss","given":"Justin M","non-dropping-particle":"","parse-names":false,"suffix":""},{"dropping-particle":"","family":"Friend","given":"Richard H","non-dropping-particle":"","parse-names":false,"suffix":""},{"dropping-particle":"","family":"Deschler","given":"Felix","non-dropping-particle":"","parse-names":false,"suffix":""}],"container-title":"Nature Communications","id":"ITEM-1","issue":"May","issued":{"date-parts":[["2015"]]},"page":"1-8","publisher":"Nature Publishing Group","title":"Hot-carrier cooling and photoinduced refractive index changes in organic-inorganic lead halide perovskites","type":"article-journal","volume":"6"},"uris":["http://www.mendeley.com/documents/?uuid=2cfedd9f-65f2-4f72-8607-3129112d2ea8"]},{"id":"ITEM-2","itemData":{"DOI":"10.1021/acsnano.8b05092","ISSN":"1936-0851","abstract":"Following the introduction of perovskites for photovoltaic solar energy conversion, the use of these materials as a general purpose optoelectronic material for displays, lighting, and lasing has been explored. However, while reports on stimulated emission and lasing by perovskites show great promise, a comprehensive quantification of their optical gain characteristics is lacking. Here, we measure gain coefficients, clarify the gain mechanism, and explore the gain dynamics of colloidal CsPbBr3 nanocrystals by deploying a unique combination of broadband transient absorption and ultrafast fluorescence spectroscopy. Opposite from current literature, we show that optical gain in such nanocrystals is supported by stimulated emission from free carriers, and not from excitons or biexcitons. Importantly, we demonstrate that the concomitant gain coefficients and thresholds agree with literature results reported for perovksite thin films. Finally, we show that, even in the case of fully inorganic lead halide perovsk...","author":[{"dropping-particle":"","family":"Geiregat","given":"Pieter","non-dropping-particle":"","parse-names":false,"suffix":""},{"dropping-particle":"","family":"Maes","given":"Jorick","non-dropping-particle":"","parse-names":false,"suffix":""},{"dropping-particle":"","family":"Chen","given":"Kai","non-dropping-particle":"","parse-names":false,"suffix":""},{"dropping-particle":"","family":"Drijvers","given":"Emile","non-dropping-particle":"","parse-names":false,"suffix":""},{"dropping-particle":"","family":"Roo","given":"Jonathan","non-dropping-particle":"De","parse-names":false,"suffix":""},{"dropping-particle":"","family":"Hodgkiss","given":"Justin M.","non-dropping-particle":"","parse-names":false,"suffix":""},{"dropping-particle":"","family":"Hens","given":"Zeger","non-dropping-particle":"","parse-names":false,"suffix":""}],"container-title":"ACS Nano","id":"ITEM-2","issue":"10","issued":{"date-parts":[["2018","10","23"]]},"page":"10178-10188","publisher":"American Chemical Society","title":"Using Bulk-like Nanocrystals To Probe Intrinsic Optical Gain Characteristics of Inorganic Lead Halide Perovskites","type":"article-journal","volume":"12"},"uris":["http://www.mendeley.com/documents/?uuid=e8b81e2a-cb4e-4915-889d-10a6f5bb1950"]},{"id":"ITEM-3","itemData":{"DOI":"10.1021/acs.jpclett.0c00504","ISSN":"19487185","PMID":"32183508","abstract":"Slow hot carrier cooling in halide perovskites holds the key to the development of hot carrier (HC) perovskite solar cells. For accurate modeling and pragmatic design of HC materials and devices, it is essential that HC temperatures are reliably determined. A common approach involves fitting the high-energy tail of the main photobleaching peak in a transient absorption spectrum with a Maxwell-Boltzmann distribution. However, this approach is problematic because of complications from the overlap of several photophysical phenomena and a lack of consensus in the community on the fitting procedures. Herein, we propose a simple approach that circumvents these challenges. Through tracking the broadband spectral evolution and accounting for bandgap renormalization and spectral line width broadening effects, our method extracts not only accurate and consistent carrier temperatures but also other important parameters such as the quasi-Fermi levels, bandgap renormalization constant, etc. Establishing a reliable method for the carrier temperature determination is a step forward in the study of HCs for next-generation perovskite optoelectronics.","author":[{"dropping-particle":"","family":"Lim","given":"Jia Wei Melvin","non-dropping-particle":"","parse-names":false,"suffix":""},{"dropping-particle":"","family":"Giovanni","given":"David","non-dropping-particle":"","parse-names":false,"suffix":""},{"dropping-particle":"","family":"Righetto","given":"Marcello","non-dropping-particle":"","parse-names":false,"suffix":""},{"dropping-particle":"","family":"Feng","given":"Minjun","non-dropping-particle":"","parse-names":false,"suffix":""},{"dropping-particle":"","family":"Mhaisalkar","given":"Subodh Gautam","non-dropping-particle":"","parse-names":false,"suffix":""},{"dropping-particle":"","family":"Mathews","given":"Nripan","non-dropping-particle":"","parse-names":false,"suffix":""},{"dropping-particle":"","family":"Sum","given":"Tze Chien","non-dropping-particle":"","parse-names":false,"suffix":""}],"container-title":"Journal of Physical Chemistry Letters","id":"ITEM-3","issue":"7","issued":{"date-parts":[["2020","4","2"]]},"page":"2743-2750","publisher":"American Chemical Society","title":"Hot Carriers in Halide Perovskites: How Hot Truly?","type":"article-journal","volume":"11"},"uris":["http://www.mendeley.com/documents/?uuid=900fe6bf-ac1a-3e98-9a37-3774beef5d67"]}],"mendeley":{"formattedCitation":"&lt;sup&gt;3–5&lt;/sup&gt;","plainTextFormattedCitation":"3–5","previouslyFormattedCitation":"&lt;sup&gt;3–5&lt;/sup&gt;"},"properties":{"noteIndex":0},"schema":"https://github.com/citation-style-language/schema/raw/master/csl-citation.json"}</w:instrText>
      </w:r>
      <w:r w:rsidR="008915B2" w:rsidRPr="00E63825">
        <w:rPr>
          <w:lang w:val="en-US"/>
        </w:rPr>
        <w:fldChar w:fldCharType="separate"/>
      </w:r>
      <w:r w:rsidR="00CE775C" w:rsidRPr="00CE775C">
        <w:rPr>
          <w:noProof/>
          <w:vertAlign w:val="superscript"/>
          <w:lang w:val="en-US"/>
        </w:rPr>
        <w:t>3–5</w:t>
      </w:r>
      <w:r w:rsidR="008915B2" w:rsidRPr="00E63825">
        <w:fldChar w:fldCharType="end"/>
      </w:r>
      <w:r>
        <w:t>.</w:t>
      </w:r>
      <w:r w:rsidR="008915B2">
        <w:t xml:space="preserve"> The received carrier temperature as a function of delay time</w:t>
      </w:r>
      <w:r w:rsidR="00422E5C">
        <w:t xml:space="preserve"> compar</w:t>
      </w:r>
      <w:r w:rsidR="00064C87">
        <w:t>ed</w:t>
      </w:r>
      <w:r w:rsidR="00422E5C">
        <w:t xml:space="preserve"> with the corresponding kinetic evolution of the ASE signal is </w:t>
      </w:r>
      <w:r w:rsidR="00064C87">
        <w:t xml:space="preserve">shown </w:t>
      </w:r>
      <w:r w:rsidR="00422E5C">
        <w:t xml:space="preserve">in </w:t>
      </w:r>
      <w:r w:rsidR="00422E5C">
        <w:fldChar w:fldCharType="begin"/>
      </w:r>
      <w:r w:rsidR="00422E5C">
        <w:instrText xml:space="preserve"> REF _Ref97299667 \h </w:instrText>
      </w:r>
      <w:r w:rsidR="00064C87">
        <w:instrText xml:space="preserve"> \* MERGEFORMAT </w:instrText>
      </w:r>
      <w:r w:rsidR="00422E5C">
        <w:fldChar w:fldCharType="separate"/>
      </w:r>
      <w:r w:rsidR="00422E5C">
        <w:t>Figure S</w:t>
      </w:r>
      <w:r w:rsidR="00422E5C">
        <w:rPr>
          <w:noProof/>
        </w:rPr>
        <w:t>3</w:t>
      </w:r>
      <w:r w:rsidR="00422E5C">
        <w:fldChar w:fldCharType="end"/>
      </w:r>
      <w:r w:rsidR="00422E5C">
        <w:fldChar w:fldCharType="begin"/>
      </w:r>
      <w:r w:rsidR="00422E5C">
        <w:instrText xml:space="preserve"> REF _Ref75809254 \h </w:instrText>
      </w:r>
      <w:r w:rsidR="00064C87">
        <w:instrText xml:space="preserve"> \* MERGEFORMAT </w:instrText>
      </w:r>
      <w:r w:rsidR="00422E5C">
        <w:fldChar w:fldCharType="end"/>
      </w:r>
      <w:r w:rsidR="00422E5C">
        <w:t>b. Here, t</w:t>
      </w:r>
      <w:r w:rsidR="008915B2">
        <w:t>he large excess energy of 1350 meV introduced into the system leads to an initial elevated carrier temperature of about 1500 K. The carrier temperature evolution can be fitted with a combination of two exponential functions</w:t>
      </w:r>
      <w:r w:rsidR="00422E5C">
        <w:t>. W</w:t>
      </w:r>
      <w:r w:rsidR="008915B2">
        <w:t>hile the first rapid cooling regime corresponds to carrier cooling due to the emission of optical phonons, the second slower cooling stage points towards the on-set of a cooling bottleneck as previously observed in different kinds of perovskite compositions.</w:t>
      </w:r>
      <w:r w:rsidR="008915B2">
        <w:fldChar w:fldCharType="begin" w:fldLock="1"/>
      </w:r>
      <w:r w:rsidR="0048676E">
        <w:instrText>ADDIN CSL_CITATION {"citationItems":[{"id":"ITEM-1","itemData":{"DOI":"10.1038/ncomms9420","author":[{"dropping-particle":"","family":"Price","given":"Michael B","non-dropping-particle":"","parse-names":false,"suffix":""},{"dropping-particle":"","family":"Butkus","given":"Justinas","non-dropping-particle":"","parse-names":false,"suffix":""},{"dropping-particle":"","family":"Jellicoe","given":"Tom C","non-dropping-particle":"","parse-names":false,"suffix":""},{"dropping-particle":"","family":"Sadhanala","given":"Aditya","non-dropping-particle":"","parse-names":false,"suffix":""},{"dropping-particle":"","family":"Briane","given":"Anouk","non-dropping-particle":"","parse-names":false,"suffix":""},{"dropping-particle":"","family":"Halpert","given":"Jonathan E","non-dropping-particle":"","parse-names":false,"suffix":""},{"dropping-particle":"","family":"Broch","given":"Katharina","non-dropping-particle":"","parse-names":false,"suffix":""},{"dropping-particle":"","family":"Hodgkiss","given":"Justin M","non-dropping-particle":"","parse-names":false,"suffix":""},{"dropping-particle":"","family":"Friend","given":"Richard H","non-dropping-particle":"","parse-names":false,"suffix":""},{"dropping-particle":"","family":"Deschler","given":"Felix","non-dropping-particle":"","parse-names":false,"suffix":""}],"container-title":"Nature Communications","id":"ITEM-1","issue":"May","issued":{"date-parts":[["2015"]]},"page":"1-8","publisher":"Nature Publishing Group","title":"Hot-carrier cooling and photoinduced refractive index changes in organic-inorganic lead halide perovskites","type":"article-journal","volume":"6"},"uris":["http://www.mendeley.com/documents/?uuid=2cfedd9f-65f2-4f72-8607-3129112d2ea8"]},{"id":"ITEM-2","itemData":{"DOI":"10.1021/acsnano.8b05092","ISSN":"1936-0851","abstract":"Following the introduction of perovskites for photovoltaic solar energy conversion, the use of these materials as a general purpose optoelectronic material for displays, lighting, and lasing has been explored. However, while reports on stimulated emission and lasing by perovskites show great promise, a comprehensive quantification of their optical gain characteristics is lacking. Here, we measure gain coefficients, clarify the gain mechanism, and explore the gain dynamics of colloidal CsPbBr3 nanocrystals by deploying a unique combination of broadband transient absorption and ultrafast fluorescence spectroscopy. Opposite from current literature, we show that optical gain in such nanocrystals is supported by stimulated emission from free carriers, and not from excitons or biexcitons. Importantly, we demonstrate that the concomitant gain coefficients and thresholds agree with literature results reported for perovksite thin films. Finally, we show that, even in the case of fully inorganic lead halide perovsk...","author":[{"dropping-particle":"","family":"Geiregat","given":"Pieter","non-dropping-particle":"","parse-names":false,"suffix":""},{"dropping-particle":"","family":"Maes","given":"Jorick","non-dropping-particle":"","parse-names":false,"suffix":""},{"dropping-particle":"","family":"Chen","given":"Kai","non-dropping-particle":"","parse-names":false,"suffix":""},{"dropping-particle":"","family":"Drijvers","given":"Emile","non-dropping-particle":"","parse-names":false,"suffix":""},{"dropping-particle":"","family":"Roo","given":"Jonathan","non-dropping-particle":"De","parse-names":false,"suffix":""},{"dropping-particle":"","family":"Hodgkiss","given":"Justin M.","non-dropping-particle":"","parse-names":false,"suffix":""},{"dropping-particle":"","family":"Hens","given":"Zeger","non-dropping-particle":"","parse-names":false,"suffix":""}],"container-title":"ACS Nano","id":"ITEM-2","issue":"10","issued":{"date-parts":[["2018","10","23"]]},"page":"10178-10188","publisher":"American Chemical Society","title":"Using Bulk-like Nanocrystals To Probe Intrinsic Optical Gain Characteristics of Inorganic Lead Halide Perovskites","type":"article-journal","volume":"12"},"uris":["http://www.mendeley.com/documents/?uuid=e8b81e2a-cb4e-4915-889d-10a6f5bb1950"]}],"mendeley":{"formattedCitation":"&lt;sup&gt;3,4&lt;/sup&gt;","plainTextFormattedCitation":"3,4","previouslyFormattedCitation":"&lt;sup&gt;3,4&lt;/sup&gt;"},"properties":{"noteIndex":0},"schema":"https://github.com/citation-style-language/schema/raw/master/csl-citation.json"}</w:instrText>
      </w:r>
      <w:r w:rsidR="008915B2">
        <w:fldChar w:fldCharType="separate"/>
      </w:r>
      <w:r w:rsidR="00CE775C" w:rsidRPr="00CE775C">
        <w:rPr>
          <w:noProof/>
          <w:vertAlign w:val="superscript"/>
        </w:rPr>
        <w:t>3,4</w:t>
      </w:r>
      <w:r w:rsidR="008915B2">
        <w:fldChar w:fldCharType="end"/>
      </w:r>
      <w:r w:rsidR="008915B2">
        <w:t xml:space="preserve"> During the first fast cooling regime, simultaneous narrowing of the peak width indicates the onset of stimulated emission.</w:t>
      </w:r>
      <w:r w:rsidR="00CD29B4">
        <w:t xml:space="preserve"> </w:t>
      </w:r>
      <w:r w:rsidR="00FE6103">
        <w:t xml:space="preserve">This behaviour indicates a shift of the carrier population towards the band edges as a result of the carrier </w:t>
      </w:r>
      <w:r w:rsidR="00FE6103">
        <w:lastRenderedPageBreak/>
        <w:t xml:space="preserve">cooling process. </w:t>
      </w:r>
      <w:r w:rsidR="008915B2">
        <w:t>Once the carrier temperature approximate</w:t>
      </w:r>
      <w:r w:rsidR="003150A6">
        <w:t>s</w:t>
      </w:r>
      <w:r w:rsidR="008915B2">
        <w:t xml:space="preserve"> 600 K, the ASE build-up is </w:t>
      </w:r>
      <w:r w:rsidR="003150A6">
        <w:t>complete</w:t>
      </w:r>
      <w:r w:rsidR="008915B2">
        <w:t>, and the onset of a phonon bottleneck delays phonon emission and slows down further carrier relaxation.</w:t>
      </w:r>
      <w:r w:rsidR="00CD29B4">
        <w:t xml:space="preserve"> </w:t>
      </w:r>
      <w:r w:rsidR="003150A6">
        <w:t xml:space="preserve">This </w:t>
      </w:r>
      <w:r w:rsidR="00643708">
        <w:t>c</w:t>
      </w:r>
      <w:r w:rsidR="00CD29B4">
        <w:t>arrier temperature</w:t>
      </w:r>
      <w:r w:rsidR="00643708">
        <w:t>-</w:t>
      </w:r>
      <w:r w:rsidR="00CD29B4">
        <w:t>limited</w:t>
      </w:r>
      <w:r w:rsidR="00643708">
        <w:t xml:space="preserve"> evolution of </w:t>
      </w:r>
      <w:r w:rsidR="00643708" w:rsidRPr="00643708">
        <w:t>population inversion</w:t>
      </w:r>
      <w:r w:rsidR="00643708">
        <w:t xml:space="preserve"> </w:t>
      </w:r>
      <w:r w:rsidR="00540F88">
        <w:t xml:space="preserve">for </w:t>
      </w:r>
      <w:r w:rsidR="00290200">
        <w:t xml:space="preserve">&lt;n&gt; = 8 Q2D grains </w:t>
      </w:r>
      <w:r w:rsidR="00643708">
        <w:t>strongly suggests a free electron-hole plasma</w:t>
      </w:r>
      <w:r w:rsidR="003150A6">
        <w:t>-</w:t>
      </w:r>
      <w:r w:rsidR="00643708">
        <w:t>like origin</w:t>
      </w:r>
      <w:r w:rsidR="00CE775C">
        <w:fldChar w:fldCharType="begin" w:fldLock="1"/>
      </w:r>
      <w:r w:rsidR="0048676E">
        <w:instrText>ADDIN CSL_CITATION {"citationItems":[{"id":"ITEM-1","itemData":{"DOI":"10.1021/jz502528c","ISSN":"19487185","abstract":"The remarkable rise of organometal halide perovskites as solar photovoltaic materials has been followed by promising developments in light-emitting devices, including lasers. Here we present unique insights into the processes leading to photon emission in these materials. We employ ultrafast broadband photoluminescence (PL) and transient absorption spectroscopies to directly link density dependent ultrafast charge dynamics to PL. We find that exceptionally strong PL at the band edge is preceded by thermalization of free charge carriers. Short-lived PL above the band gap is clear evidence of nonexcitonic emission from hot carriers, and ultrafast PL depolarization confirms that uncorrelated charge pairs are precursors to photon emission. Carrier thermalization has a profound effect on amplified stimulated emission at high fluence; the delayed onset of optical gain we resolve within the first 10 ps and the unusual oscillatory behavior are both consequences of the kinetic interplay between carrier thermalization and optical gain.","author":[{"dropping-particle":"","family":"Chen","given":"Kai","non-dropping-particle":"","parse-names":false,"suffix":""},{"dropping-particle":"","family":"Barker","given":"Alex J.","non-dropping-particle":"","parse-names":false,"suffix":""},{"dropping-particle":"","family":"Morgan","given":"Francis L.C.","non-dropping-particle":"","parse-names":false,"suffix":""},{"dropping-particle":"","family":"Halpert","given":"Jonathan E.","non-dropping-particle":"","parse-names":false,"suffix":""},{"dropping-particle":"","family":"Hodgkiss","given":"Justin M.","non-dropping-particle":"","parse-names":false,"suffix":""}],"container-title":"Journal of Physical Chemistry Letters","id":"ITEM-1","issue":"1","issued":{"date-parts":[["2015","1","2"]]},"page":"153-158","publisher":"American Chemical Society","title":"Effect of carrier thermalization dynamics on light emission and amplification in organometal halide perovskites","type":"article-journal","volume":"6"},"uris":["http://www.mendeley.com/documents/?uuid=4f0a8d62-8d95-360c-9d0f-b4179ec0615f"]}],"mendeley":{"formattedCitation":"&lt;sup&gt;6&lt;/sup&gt;","plainTextFormattedCitation":"6","previouslyFormattedCitation":"&lt;sup&gt;6&lt;/sup&gt;"},"properties":{"noteIndex":0},"schema":"https://github.com/citation-style-language/schema/raw/master/csl-citation.json"}</w:instrText>
      </w:r>
      <w:r w:rsidR="00CE775C">
        <w:fldChar w:fldCharType="separate"/>
      </w:r>
      <w:r w:rsidR="00CE775C" w:rsidRPr="00CE775C">
        <w:rPr>
          <w:noProof/>
          <w:vertAlign w:val="superscript"/>
        </w:rPr>
        <w:t>6</w:t>
      </w:r>
      <w:r w:rsidR="00CE775C">
        <w:fldChar w:fldCharType="end"/>
      </w:r>
      <w:r w:rsidR="00CE775C">
        <w:t xml:space="preserve"> </w:t>
      </w:r>
      <w:r w:rsidR="00B56AA9">
        <w:t xml:space="preserve">as </w:t>
      </w:r>
      <w:r w:rsidR="00CE775C">
        <w:t xml:space="preserve">can also be </w:t>
      </w:r>
      <w:r w:rsidR="008915B2">
        <w:t>observed in bulk</w:t>
      </w:r>
      <w:r w:rsidR="001A5879">
        <w:t xml:space="preserve"> MAPbI</w:t>
      </w:r>
      <w:r w:rsidR="001A5879" w:rsidRPr="001A5879">
        <w:rPr>
          <w:vertAlign w:val="subscript"/>
        </w:rPr>
        <w:t>3</w:t>
      </w:r>
      <w:r w:rsidR="008915B2">
        <w:t xml:space="preserve"> perovskite films (</w:t>
      </w:r>
      <w:r w:rsidR="001A5879">
        <w:fldChar w:fldCharType="begin"/>
      </w:r>
      <w:r w:rsidR="001A5879">
        <w:instrText xml:space="preserve"> REF _Ref97299667 \h </w:instrText>
      </w:r>
      <w:r w:rsidR="00064C87">
        <w:instrText xml:space="preserve"> \* MERGEFORMAT </w:instrText>
      </w:r>
      <w:r w:rsidR="001A5879">
        <w:fldChar w:fldCharType="separate"/>
      </w:r>
      <w:r w:rsidR="001A5879">
        <w:t>Figure S</w:t>
      </w:r>
      <w:r w:rsidR="001A5879">
        <w:rPr>
          <w:noProof/>
        </w:rPr>
        <w:t>3</w:t>
      </w:r>
      <w:r w:rsidR="001A5879">
        <w:fldChar w:fldCharType="end"/>
      </w:r>
      <w:r w:rsidR="001A5879">
        <w:fldChar w:fldCharType="begin"/>
      </w:r>
      <w:r w:rsidR="001A5879">
        <w:instrText xml:space="preserve"> REF _Ref75809254 \h </w:instrText>
      </w:r>
      <w:r w:rsidR="00064C87">
        <w:instrText xml:space="preserve"> \* MERGEFORMAT </w:instrText>
      </w:r>
      <w:r w:rsidR="001A5879">
        <w:fldChar w:fldCharType="end"/>
      </w:r>
      <w:r w:rsidR="001A5879">
        <w:t xml:space="preserve">c and </w:t>
      </w:r>
      <w:r w:rsidR="001A5879">
        <w:fldChar w:fldCharType="begin"/>
      </w:r>
      <w:r w:rsidR="001A5879">
        <w:instrText xml:space="preserve"> REF _Ref97299667 \h </w:instrText>
      </w:r>
      <w:r w:rsidR="00064C87">
        <w:instrText xml:space="preserve"> \* MERGEFORMAT </w:instrText>
      </w:r>
      <w:r w:rsidR="001A5879">
        <w:fldChar w:fldCharType="separate"/>
      </w:r>
      <w:r w:rsidR="001A5879">
        <w:t>Figure S</w:t>
      </w:r>
      <w:r w:rsidR="001A5879">
        <w:rPr>
          <w:noProof/>
        </w:rPr>
        <w:t>3</w:t>
      </w:r>
      <w:r w:rsidR="001A5879">
        <w:fldChar w:fldCharType="end"/>
      </w:r>
      <w:r w:rsidR="001A5879">
        <w:t>d</w:t>
      </w:r>
      <w:r w:rsidR="001A5879">
        <w:fldChar w:fldCharType="begin"/>
      </w:r>
      <w:r w:rsidR="001A5879">
        <w:instrText xml:space="preserve"> REF _Ref75809254 \h </w:instrText>
      </w:r>
      <w:r w:rsidR="00064C87">
        <w:instrText xml:space="preserve"> \* MERGEFORMAT </w:instrText>
      </w:r>
      <w:r w:rsidR="001A5879">
        <w:fldChar w:fldCharType="end"/>
      </w:r>
      <w:r w:rsidR="008915B2">
        <w:t xml:space="preserve">), which further </w:t>
      </w:r>
      <w:r w:rsidR="00290200">
        <w:t>supports</w:t>
      </w:r>
      <w:r w:rsidR="003150A6">
        <w:t xml:space="preserve"> the</w:t>
      </w:r>
      <w:r w:rsidR="001A5879">
        <w:t xml:space="preserve"> weak excitonic characteristics within thick Q2D slabs</w:t>
      </w:r>
      <w:r w:rsidR="008915B2">
        <w:t>.</w:t>
      </w:r>
    </w:p>
    <w:p w14:paraId="5AC005B4" w14:textId="17CB4DEA" w:rsidR="00177384" w:rsidRDefault="00927C44" w:rsidP="000A6714">
      <w:pPr>
        <w:spacing w:line="480" w:lineRule="auto"/>
        <w:jc w:val="both"/>
      </w:pPr>
      <w:r>
        <w:t>The free carrier characteristics within the thick Q2D slabs are further supported by the excitation density dependent ASE evolution under resonant pumping</w:t>
      </w:r>
      <w:r w:rsidR="00A92959">
        <w:t xml:space="preserve"> of </w:t>
      </w:r>
      <w:r w:rsidR="006C2672">
        <w:t xml:space="preserve">selectively </w:t>
      </w:r>
      <w:r w:rsidR="00290200">
        <w:t>&lt;</w:t>
      </w:r>
      <w:r w:rsidR="00A92959">
        <w:t>n</w:t>
      </w:r>
      <w:r w:rsidR="00290200">
        <w:t>&gt;</w:t>
      </w:r>
      <w:r w:rsidR="00A92959">
        <w:t> = 8 Q2D</w:t>
      </w:r>
      <w:r w:rsidR="006C2672">
        <w:t xml:space="preserve"> perovskite grains</w:t>
      </w:r>
      <w:r>
        <w:t xml:space="preserve">. As can be seen in </w:t>
      </w:r>
      <w:r w:rsidR="00EC6832">
        <w:fldChar w:fldCharType="begin"/>
      </w:r>
      <w:r w:rsidR="00EC6832">
        <w:instrText xml:space="preserve"> REF _Ref97299667 \h </w:instrText>
      </w:r>
      <w:r w:rsidR="00064C87">
        <w:instrText xml:space="preserve"> \* MERGEFORMAT </w:instrText>
      </w:r>
      <w:r w:rsidR="00EC6832">
        <w:fldChar w:fldCharType="separate"/>
      </w:r>
      <w:r w:rsidR="00EC6832">
        <w:t>Figure S</w:t>
      </w:r>
      <w:r w:rsidR="00EC6832">
        <w:rPr>
          <w:noProof/>
        </w:rPr>
        <w:t>3</w:t>
      </w:r>
      <w:r w:rsidR="00EC6832">
        <w:fldChar w:fldCharType="end"/>
      </w:r>
      <w:r w:rsidR="00EC6832">
        <w:fldChar w:fldCharType="begin"/>
      </w:r>
      <w:r w:rsidR="00EC6832">
        <w:instrText xml:space="preserve"> REF _Ref75809254 \h </w:instrText>
      </w:r>
      <w:r w:rsidR="00064C87">
        <w:instrText xml:space="preserve"> \* MERGEFORMAT </w:instrText>
      </w:r>
      <w:r w:rsidR="00EC6832">
        <w:fldChar w:fldCharType="end"/>
      </w:r>
      <w:r w:rsidR="00EC6832">
        <w:t xml:space="preserve">e, </w:t>
      </w:r>
      <w:r>
        <w:t>when excited with a carrier density just above the ASE threshold (4.3</w:t>
      </w:r>
      <w:r w:rsidRPr="007E235F">
        <w:t>x10</w:t>
      </w:r>
      <w:r w:rsidRPr="007E235F">
        <w:rPr>
          <w:vertAlign w:val="superscript"/>
        </w:rPr>
        <w:t>18</w:t>
      </w:r>
      <w:r w:rsidRPr="007E235F">
        <w:t>cm</w:t>
      </w:r>
      <w:r w:rsidRPr="007E235F">
        <w:rPr>
          <w:vertAlign w:val="superscript"/>
        </w:rPr>
        <w:t>-3</w:t>
      </w:r>
      <w:r>
        <w:t>, blue line), the ASE kinetics build up almost immediately</w:t>
      </w:r>
      <w:r w:rsidR="00EC6832">
        <w:t xml:space="preserve"> after excitation</w:t>
      </w:r>
      <w:r>
        <w:t xml:space="preserve"> (see Inset </w:t>
      </w:r>
      <w:r w:rsidR="00EC6832">
        <w:fldChar w:fldCharType="begin"/>
      </w:r>
      <w:r w:rsidR="00EC6832">
        <w:instrText xml:space="preserve"> REF _Ref97299667 \h </w:instrText>
      </w:r>
      <w:r w:rsidR="00064C87">
        <w:instrText xml:space="preserve"> \* MERGEFORMAT </w:instrText>
      </w:r>
      <w:r w:rsidR="00EC6832">
        <w:fldChar w:fldCharType="separate"/>
      </w:r>
      <w:r w:rsidR="00EC6832">
        <w:t>Figure S</w:t>
      </w:r>
      <w:r w:rsidR="00EC6832">
        <w:rPr>
          <w:noProof/>
        </w:rPr>
        <w:t>3</w:t>
      </w:r>
      <w:r w:rsidR="00EC6832">
        <w:fldChar w:fldCharType="end"/>
      </w:r>
      <w:r w:rsidR="00EC6832">
        <w:fldChar w:fldCharType="begin"/>
      </w:r>
      <w:r w:rsidR="00EC6832">
        <w:instrText xml:space="preserve"> REF _Ref75809254 \h </w:instrText>
      </w:r>
      <w:r w:rsidR="00064C87">
        <w:instrText xml:space="preserve"> \* MERGEFORMAT </w:instrText>
      </w:r>
      <w:r w:rsidR="00EC6832">
        <w:fldChar w:fldCharType="end"/>
      </w:r>
      <w:r w:rsidR="00EC6832">
        <w:t>e</w:t>
      </w:r>
      <w:r>
        <w:t xml:space="preserve">). </w:t>
      </w:r>
      <w:r w:rsidR="00EC6832">
        <w:t>Here, t</w:t>
      </w:r>
      <w:r>
        <w:t xml:space="preserve">he small amount of excess energy introduced into the system leads to a reduced initial carrier temperature compared to </w:t>
      </w:r>
      <w:r w:rsidR="00EC6832">
        <w:t xml:space="preserve">the </w:t>
      </w:r>
      <w:r>
        <w:t xml:space="preserve">excitation </w:t>
      </w:r>
      <w:r w:rsidR="00EC6832">
        <w:t>with a photoenergy of 3.6 eV. This leads to</w:t>
      </w:r>
      <w:r>
        <w:t xml:space="preserve"> a faster relaxation of carriers</w:t>
      </w:r>
      <w:r w:rsidR="00EC6832">
        <w:t xml:space="preserve"> and a</w:t>
      </w:r>
      <w:r>
        <w:t xml:space="preserve">s a result, </w:t>
      </w:r>
      <w:r w:rsidR="003150A6">
        <w:t xml:space="preserve">accelerates the </w:t>
      </w:r>
      <w:r>
        <w:t>build-up of a critical carrier concentration</w:t>
      </w:r>
      <w:r w:rsidR="00EC6832">
        <w:t xml:space="preserve"> on the band edges</w:t>
      </w:r>
      <w:r>
        <w:t xml:space="preserve"> required for population inversion. </w:t>
      </w:r>
      <w:r w:rsidR="003150A6">
        <w:t xml:space="preserve">The increase in the </w:t>
      </w:r>
      <w:r>
        <w:t xml:space="preserve">carrier density </w:t>
      </w:r>
      <w:r w:rsidR="003150A6">
        <w:t xml:space="preserve">is associated with more pronounced </w:t>
      </w:r>
      <w:r>
        <w:t>state filling effects</w:t>
      </w:r>
      <w:r w:rsidR="003150A6">
        <w:t>,</w:t>
      </w:r>
      <w:r w:rsidR="008A3A73">
        <w:t xml:space="preserve"> which </w:t>
      </w:r>
      <w:r w:rsidR="003150A6">
        <w:t xml:space="preserve">results in an </w:t>
      </w:r>
      <w:r w:rsidR="008A3A73">
        <w:t>increase</w:t>
      </w:r>
      <w:r w:rsidR="003150A6">
        <w:t xml:space="preserve"> in</w:t>
      </w:r>
      <w:r w:rsidR="008A3A73">
        <w:t xml:space="preserve"> </w:t>
      </w:r>
      <w:r>
        <w:t>the initial carrier temperature</w:t>
      </w:r>
      <w:r w:rsidR="008A3A73">
        <w:t>. This leads</w:t>
      </w:r>
      <w:r>
        <w:t xml:space="preserve"> to longer carrier cooling times</w:t>
      </w:r>
      <w:r w:rsidR="008A3A73">
        <w:t xml:space="preserve"> and</w:t>
      </w:r>
      <w:r>
        <w:t xml:space="preserve"> </w:t>
      </w:r>
      <w:r w:rsidR="004257C0">
        <w:t xml:space="preserve">a </w:t>
      </w:r>
      <w:r>
        <w:t>delay</w:t>
      </w:r>
      <w:r w:rsidR="004257C0">
        <w:t xml:space="preserve"> in the</w:t>
      </w:r>
      <w:r>
        <w:t xml:space="preserve"> ASE build-up</w:t>
      </w:r>
      <w:r w:rsidR="008A3A73">
        <w:t xml:space="preserve"> with increasing excitation densit</w:t>
      </w:r>
      <w:r w:rsidR="00A62B4F">
        <w:t>y</w:t>
      </w:r>
      <w:r w:rsidR="004257C0">
        <w:t>.</w:t>
      </w:r>
      <w:r w:rsidR="006C2672">
        <w:t xml:space="preserve"> This excitation density dependent evolution of population inversion after resonant pumping</w:t>
      </w:r>
      <w:r w:rsidR="001B433C">
        <w:t xml:space="preserve"> of the </w:t>
      </w:r>
      <w:r w:rsidR="006C2672">
        <w:t xml:space="preserve">&lt;n&gt; = 8 </w:t>
      </w:r>
      <w:r w:rsidR="001B433C">
        <w:t>grains</w:t>
      </w:r>
      <w:r w:rsidR="006C2672">
        <w:t xml:space="preserve"> </w:t>
      </w:r>
      <w:r w:rsidR="004257C0">
        <w:t xml:space="preserve">is </w:t>
      </w:r>
      <w:r w:rsidR="00A62B4F">
        <w:t xml:space="preserve">further proof for the free carrier like characteristics of the </w:t>
      </w:r>
      <w:r w:rsidR="00A92959">
        <w:t>thick</w:t>
      </w:r>
      <w:r w:rsidR="00A62B4F">
        <w:t xml:space="preserve"> Q2D grains.</w:t>
      </w:r>
    </w:p>
    <w:p w14:paraId="2DD75DB2" w14:textId="77777777" w:rsidR="001A5879" w:rsidRDefault="001A5879">
      <w:r>
        <w:br w:type="page"/>
      </w:r>
    </w:p>
    <w:p w14:paraId="014FF6B1" w14:textId="1B6077FB" w:rsidR="00BB7CA3" w:rsidRDefault="00BB7CA3" w:rsidP="008E61B2">
      <w:pPr>
        <w:pStyle w:val="Heading1"/>
      </w:pPr>
      <w:bookmarkStart w:id="9" w:name="_Toc116033072"/>
      <w:r>
        <w:lastRenderedPageBreak/>
        <w:t xml:space="preserve">Time-resolved kinetics </w:t>
      </w:r>
      <w:r w:rsidR="003946A7">
        <w:t xml:space="preserve">of </w:t>
      </w:r>
      <w:r w:rsidR="001D0DE5">
        <w:t>&lt;n&gt; = 8 grains</w:t>
      </w:r>
      <w:bookmarkEnd w:id="9"/>
    </w:p>
    <w:p w14:paraId="6C89826A" w14:textId="5157EAC9" w:rsidR="00E22EF4" w:rsidRDefault="00892A71" w:rsidP="00892A71">
      <w:pPr>
        <w:jc w:val="center"/>
      </w:pPr>
      <w:r>
        <w:rPr>
          <w:noProof/>
        </w:rPr>
        <w:drawing>
          <wp:inline distT="0" distB="0" distL="0" distR="0" wp14:anchorId="6064BFB1" wp14:editId="6943EC55">
            <wp:extent cx="4444780" cy="23882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4414" cy="2398759"/>
                    </a:xfrm>
                    <a:prstGeom prst="rect">
                      <a:avLst/>
                    </a:prstGeom>
                    <a:noFill/>
                    <a:ln>
                      <a:noFill/>
                    </a:ln>
                  </pic:spPr>
                </pic:pic>
              </a:graphicData>
            </a:graphic>
          </wp:inline>
        </w:drawing>
      </w:r>
    </w:p>
    <w:p w14:paraId="620201AF" w14:textId="799ACC3C" w:rsidR="0042554D" w:rsidRDefault="0042554D" w:rsidP="0042554D">
      <w:pPr>
        <w:pStyle w:val="Caption"/>
        <w:jc w:val="both"/>
      </w:pPr>
      <w:r>
        <w:t>Figure S</w:t>
      </w:r>
      <w:r w:rsidR="00152C10">
        <w:fldChar w:fldCharType="begin"/>
      </w:r>
      <w:r w:rsidR="00152C10">
        <w:instrText xml:space="preserve"> SEQ Figure_S \* ARABIC </w:instrText>
      </w:r>
      <w:r w:rsidR="00152C10">
        <w:fldChar w:fldCharType="separate"/>
      </w:r>
      <w:r w:rsidR="00DC16D1">
        <w:rPr>
          <w:noProof/>
        </w:rPr>
        <w:t>5</w:t>
      </w:r>
      <w:r w:rsidR="00152C10">
        <w:rPr>
          <w:noProof/>
        </w:rPr>
        <w:fldChar w:fldCharType="end"/>
      </w:r>
      <w:r>
        <w:t xml:space="preserve">: Photoluminescence kinetics integrated over the spectral range of </w:t>
      </w:r>
      <w:r w:rsidR="007073AA">
        <w:t>2.25</w:t>
      </w:r>
      <w:r>
        <w:t> – 2.</w:t>
      </w:r>
      <w:r w:rsidR="007073AA">
        <w:t>3</w:t>
      </w:r>
      <w:r>
        <w:t>5 eV corresponding to the emission from the &lt;n&gt; = </w:t>
      </w:r>
      <w:r w:rsidR="007073AA">
        <w:t>8</w:t>
      </w:r>
      <w:r>
        <w:t xml:space="preserve"> grains after photoexcitation at 3.6 eV (</w:t>
      </w:r>
      <m:oMath>
        <m:sSub>
          <m:sSubPr>
            <m:ctrlPr>
              <w:rPr>
                <w:rFonts w:ascii="Cambria Math" w:eastAsiaTheme="minorEastAsia" w:hAnsi="Cambria Math"/>
                <w:i/>
                <w:iCs w:val="0"/>
                <w:szCs w:val="22"/>
              </w:rPr>
            </m:ctrlPr>
          </m:sSubPr>
          <m:e>
            <m:r>
              <w:rPr>
                <w:rFonts w:ascii="Cambria Math" w:eastAsiaTheme="minorEastAsia" w:hAnsi="Cambria Math"/>
              </w:rPr>
              <m:t>n</m:t>
            </m:r>
          </m:e>
          <m:sub>
            <m:r>
              <w:rPr>
                <w:rFonts w:ascii="Cambria Math" w:eastAsiaTheme="minorEastAsia" w:hAnsi="Cambria Math"/>
              </w:rPr>
              <m:t>c</m:t>
            </m:r>
          </m:sub>
        </m:sSub>
      </m:oMath>
      <w:r>
        <w:t> = 1.9</w:t>
      </w:r>
      <w:r>
        <w:rPr>
          <w:rFonts w:cstheme="minorHAnsi"/>
        </w:rPr>
        <w:t>∙</w:t>
      </w:r>
      <w:r w:rsidRPr="00D05D6E">
        <w:t>10</w:t>
      </w:r>
      <w:r w:rsidRPr="00D05D6E">
        <w:rPr>
          <w:vertAlign w:val="superscript"/>
        </w:rPr>
        <w:t>18</w:t>
      </w:r>
      <w:r>
        <w:rPr>
          <w:vertAlign w:val="superscript"/>
        </w:rPr>
        <w:t> </w:t>
      </w:r>
      <w:r w:rsidRPr="00D05D6E">
        <w:t>cm</w:t>
      </w:r>
      <w:r w:rsidRPr="00D05D6E">
        <w:rPr>
          <w:vertAlign w:val="superscript"/>
        </w:rPr>
        <w:t>-3</w:t>
      </w:r>
      <w:r>
        <w:t xml:space="preserve">) with a laser repetition rate </w:t>
      </w:r>
      <w:r w:rsidR="00E932C9">
        <w:t xml:space="preserve">of </w:t>
      </w:r>
      <w:r>
        <w:t xml:space="preserve">58 kHz </w:t>
      </w:r>
      <w:r w:rsidR="007073AA">
        <w:t>under ambient conditions.</w:t>
      </w:r>
    </w:p>
    <w:p w14:paraId="786B4C23" w14:textId="4754DCB7" w:rsidR="00E22EF4" w:rsidRDefault="00E22EF4" w:rsidP="00E22EF4"/>
    <w:p w14:paraId="5110AAD7" w14:textId="3265FB4E" w:rsidR="00E520BE" w:rsidRDefault="000A28F6" w:rsidP="008E61B2">
      <w:pPr>
        <w:pStyle w:val="Heading1"/>
      </w:pPr>
      <w:bookmarkStart w:id="10" w:name="_Toc116033073"/>
      <w:r>
        <w:t>Dynamic photolum</w:t>
      </w:r>
      <w:r w:rsidR="00BE56E1">
        <w:t>inescence quenching</w:t>
      </w:r>
      <w:r w:rsidR="00A36C9D">
        <w:t xml:space="preserve"> </w:t>
      </w:r>
      <w:r>
        <w:t xml:space="preserve">on thin &lt;n&gt; = 2 </w:t>
      </w:r>
      <w:r w:rsidR="001E65B8">
        <w:t>domains</w:t>
      </w:r>
      <w:bookmarkEnd w:id="10"/>
    </w:p>
    <w:p w14:paraId="175A8732" w14:textId="607E5D2F" w:rsidR="008E61B2" w:rsidRDefault="001929A7" w:rsidP="00EA5CE7">
      <w:pPr>
        <w:jc w:val="center"/>
      </w:pPr>
      <w:r>
        <w:rPr>
          <w:noProof/>
        </w:rPr>
        <w:drawing>
          <wp:inline distT="0" distB="0" distL="0" distR="0" wp14:anchorId="639E51FA" wp14:editId="2ADF6F97">
            <wp:extent cx="3628914" cy="2733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6580" cy="2739450"/>
                    </a:xfrm>
                    <a:prstGeom prst="rect">
                      <a:avLst/>
                    </a:prstGeom>
                    <a:noFill/>
                    <a:ln>
                      <a:noFill/>
                    </a:ln>
                  </pic:spPr>
                </pic:pic>
              </a:graphicData>
            </a:graphic>
          </wp:inline>
        </w:drawing>
      </w:r>
    </w:p>
    <w:p w14:paraId="60A23309" w14:textId="30419410" w:rsidR="0050273C" w:rsidRDefault="00293284" w:rsidP="00AF7D62">
      <w:pPr>
        <w:pStyle w:val="Caption"/>
        <w:jc w:val="both"/>
      </w:pPr>
      <w:r>
        <w:t>Figure S</w:t>
      </w:r>
      <w:r w:rsidR="00152C10">
        <w:fldChar w:fldCharType="begin"/>
      </w:r>
      <w:r w:rsidR="00152C10">
        <w:instrText xml:space="preserve"> SEQ Figure_S \* ARABIC </w:instrText>
      </w:r>
      <w:r w:rsidR="00152C10">
        <w:fldChar w:fldCharType="separate"/>
      </w:r>
      <w:r w:rsidR="00DC16D1">
        <w:rPr>
          <w:noProof/>
        </w:rPr>
        <w:t>6</w:t>
      </w:r>
      <w:r w:rsidR="00152C10">
        <w:rPr>
          <w:noProof/>
        </w:rPr>
        <w:fldChar w:fldCharType="end"/>
      </w:r>
      <w:r>
        <w:t>:</w:t>
      </w:r>
      <w:r w:rsidR="001E65B8">
        <w:t xml:space="preserve"> </w:t>
      </w:r>
      <w:r w:rsidR="003A5641">
        <w:t>Photoluminescence</w:t>
      </w:r>
      <w:r w:rsidR="00F23EE9">
        <w:t xml:space="preserve"> kinetics</w:t>
      </w:r>
      <w:r w:rsidR="00554E74">
        <w:t xml:space="preserve"> integrated over the spectral range of 2.70 – 2.85 eV</w:t>
      </w:r>
      <w:r w:rsidR="00F23EE9">
        <w:t xml:space="preserve"> </w:t>
      </w:r>
      <w:r w:rsidR="00554E74">
        <w:t>corr</w:t>
      </w:r>
      <w:r w:rsidR="008116A7">
        <w:t xml:space="preserve">esponding to the emission from the </w:t>
      </w:r>
      <w:r w:rsidR="00F23EE9">
        <w:t xml:space="preserve">&lt;n&gt; = 2 grains </w:t>
      </w:r>
      <w:r w:rsidR="008116A7">
        <w:t xml:space="preserve">after </w:t>
      </w:r>
      <w:r w:rsidR="003A5641">
        <w:t>photoexcitation</w:t>
      </w:r>
      <w:r w:rsidR="00A35C38">
        <w:t xml:space="preserve"> </w:t>
      </w:r>
      <w:r w:rsidR="008116A7">
        <w:t xml:space="preserve">at 3.6 eV </w:t>
      </w:r>
      <w:r w:rsidR="00872084">
        <w:t>(</w:t>
      </w:r>
      <m:oMath>
        <m:sSub>
          <m:sSubPr>
            <m:ctrlPr>
              <w:rPr>
                <w:rFonts w:ascii="Cambria Math" w:eastAsiaTheme="minorEastAsia" w:hAnsi="Cambria Math"/>
                <w:i/>
                <w:iCs w:val="0"/>
                <w:szCs w:val="22"/>
              </w:rPr>
            </m:ctrlPr>
          </m:sSubPr>
          <m:e>
            <m:r>
              <w:rPr>
                <w:rFonts w:ascii="Cambria Math" w:eastAsiaTheme="minorEastAsia" w:hAnsi="Cambria Math"/>
              </w:rPr>
              <m:t>n</m:t>
            </m:r>
          </m:e>
          <m:sub>
            <m:r>
              <w:rPr>
                <w:rFonts w:ascii="Cambria Math" w:eastAsiaTheme="minorEastAsia" w:hAnsi="Cambria Math"/>
              </w:rPr>
              <m:t>c</m:t>
            </m:r>
          </m:sub>
        </m:sSub>
      </m:oMath>
      <w:r w:rsidR="00872084">
        <w:t> = </w:t>
      </w:r>
      <w:r w:rsidR="00A164EF">
        <w:t>1.9</w:t>
      </w:r>
      <w:r w:rsidR="00A164EF">
        <w:rPr>
          <w:rFonts w:cstheme="minorHAnsi"/>
        </w:rPr>
        <w:t>∙</w:t>
      </w:r>
      <w:r w:rsidR="00A164EF" w:rsidRPr="00D05D6E">
        <w:t>10</w:t>
      </w:r>
      <w:r w:rsidR="00A164EF" w:rsidRPr="00D05D6E">
        <w:rPr>
          <w:vertAlign w:val="superscript"/>
        </w:rPr>
        <w:t>18</w:t>
      </w:r>
      <w:r w:rsidR="00A164EF">
        <w:rPr>
          <w:vertAlign w:val="superscript"/>
        </w:rPr>
        <w:t> </w:t>
      </w:r>
      <w:r w:rsidR="00A164EF" w:rsidRPr="00D05D6E">
        <w:t>cm</w:t>
      </w:r>
      <w:r w:rsidR="00A164EF" w:rsidRPr="00D05D6E">
        <w:rPr>
          <w:vertAlign w:val="superscript"/>
        </w:rPr>
        <w:t>-3</w:t>
      </w:r>
      <w:r w:rsidR="00872084">
        <w:t xml:space="preserve">) </w:t>
      </w:r>
      <w:r w:rsidR="002A717F">
        <w:t xml:space="preserve">with </w:t>
      </w:r>
      <w:r w:rsidR="00A35C38">
        <w:t xml:space="preserve">a laser repetition rate </w:t>
      </w:r>
      <w:r w:rsidR="00BD2F24">
        <w:t xml:space="preserve">of </w:t>
      </w:r>
      <w:r w:rsidR="00A35C38">
        <w:t>58 kHz</w:t>
      </w:r>
      <w:r w:rsidR="008116A7">
        <w:t xml:space="preserve">. </w:t>
      </w:r>
      <w:r w:rsidR="003C56C2">
        <w:t xml:space="preserve">Comparison of decay </w:t>
      </w:r>
      <w:r w:rsidR="00997A6E">
        <w:t xml:space="preserve">in vacuum vs ambient conditions reveals </w:t>
      </w:r>
      <w:r w:rsidR="00592DCF">
        <w:t>a dynamic quenching</w:t>
      </w:r>
      <w:r w:rsidR="00315DD5">
        <w:t xml:space="preserve"> behaviour</w:t>
      </w:r>
      <w:r w:rsidR="00592DCF">
        <w:t xml:space="preserve"> </w:t>
      </w:r>
      <w:r w:rsidR="00AF7D62">
        <w:t xml:space="preserve">in the presence of accumulated </w:t>
      </w:r>
      <w:r w:rsidR="00315DD5">
        <w:t xml:space="preserve">inorganic </w:t>
      </w:r>
      <w:r w:rsidR="00AF7D62">
        <w:t>triplet excitons.</w:t>
      </w:r>
    </w:p>
    <w:p w14:paraId="64184710" w14:textId="3839D73E" w:rsidR="007E2B71" w:rsidRPr="008E74EB" w:rsidRDefault="007E2B71" w:rsidP="007E2B71">
      <w:pPr>
        <w:pStyle w:val="Heading1"/>
        <w:rPr>
          <w:i/>
          <w:iCs/>
        </w:rPr>
      </w:pPr>
      <w:bookmarkStart w:id="11" w:name="_Toc116033074"/>
      <w:r w:rsidRPr="008E74EB">
        <w:lastRenderedPageBreak/>
        <w:t xml:space="preserve">Estimation of </w:t>
      </w:r>
      <w:r>
        <w:t>triplet</w:t>
      </w:r>
      <w:r w:rsidRPr="008E74EB">
        <w:t xml:space="preserve"> </w:t>
      </w:r>
      <w:r>
        <w:t>exciton lifetime</w:t>
      </w:r>
      <w:bookmarkEnd w:id="11"/>
    </w:p>
    <w:p w14:paraId="3F6BA16D" w14:textId="77777777" w:rsidR="005C21EA" w:rsidRDefault="00565C76" w:rsidP="005C21EA">
      <w:pPr>
        <w:keepNext/>
        <w:jc w:val="center"/>
      </w:pPr>
      <w:r>
        <w:rPr>
          <w:noProof/>
        </w:rPr>
        <w:drawing>
          <wp:inline distT="0" distB="0" distL="0" distR="0" wp14:anchorId="6EE54D05" wp14:editId="5515D953">
            <wp:extent cx="3190875" cy="2296246"/>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5138" cy="2313707"/>
                    </a:xfrm>
                    <a:prstGeom prst="rect">
                      <a:avLst/>
                    </a:prstGeom>
                    <a:noFill/>
                    <a:ln>
                      <a:noFill/>
                    </a:ln>
                  </pic:spPr>
                </pic:pic>
              </a:graphicData>
            </a:graphic>
          </wp:inline>
        </w:drawing>
      </w:r>
    </w:p>
    <w:p w14:paraId="26BF84BF" w14:textId="09F4AEDE" w:rsidR="00B75B27" w:rsidRDefault="005C21EA" w:rsidP="007D2C39">
      <w:pPr>
        <w:pStyle w:val="Caption"/>
        <w:jc w:val="both"/>
      </w:pPr>
      <w:r>
        <w:t>Figure S</w:t>
      </w:r>
      <w:r w:rsidR="00152C10">
        <w:fldChar w:fldCharType="begin"/>
      </w:r>
      <w:r w:rsidR="00152C10">
        <w:instrText xml:space="preserve"> SEQ Figure_S \* ARABIC </w:instrText>
      </w:r>
      <w:r w:rsidR="00152C10">
        <w:fldChar w:fldCharType="separate"/>
      </w:r>
      <w:r w:rsidR="00730950">
        <w:rPr>
          <w:noProof/>
        </w:rPr>
        <w:t>7</w:t>
      </w:r>
      <w:r w:rsidR="00152C10">
        <w:rPr>
          <w:noProof/>
        </w:rPr>
        <w:fldChar w:fldCharType="end"/>
      </w:r>
      <w:r>
        <w:t>: Time</w:t>
      </w:r>
      <w:r w:rsidR="002D20B9">
        <w:t>-</w:t>
      </w:r>
      <w:r>
        <w:t>resolved photoluminescence of the mixed Q2D perovskite film</w:t>
      </w:r>
      <w:r w:rsidR="002D20B9">
        <w:t xml:space="preserve"> stored in </w:t>
      </w:r>
      <w:r w:rsidR="004257C0">
        <w:t xml:space="preserve">a </w:t>
      </w:r>
      <w:r w:rsidR="002D20B9">
        <w:t>vacuum an</w:t>
      </w:r>
      <w:r w:rsidR="0071043F">
        <w:t>d</w:t>
      </w:r>
      <w:r>
        <w:t xml:space="preserve"> </w:t>
      </w:r>
      <w:r w:rsidR="002D20B9">
        <w:t>excited at 3.6 eV (580 Hz)</w:t>
      </w:r>
      <w:r w:rsidR="0082796F">
        <w:t xml:space="preserve"> </w:t>
      </w:r>
      <w:r w:rsidR="004257C0">
        <w:t>indicates</w:t>
      </w:r>
      <w:r w:rsidR="00131E84">
        <w:t xml:space="preserve"> biexponential decay</w:t>
      </w:r>
      <w:r w:rsidR="00B04B95">
        <w:t>.</w:t>
      </w:r>
      <w:r w:rsidR="00131E84">
        <w:t xml:space="preserve"> </w:t>
      </w:r>
      <w:r w:rsidR="006B7160">
        <w:t xml:space="preserve">The </w:t>
      </w:r>
      <w:r w:rsidR="00E83A3D">
        <w:t>slower decay is</w:t>
      </w:r>
      <w:r w:rsidR="006B7160">
        <w:t xml:space="preserve"> associated with thermal assisted reverse intersystem crossing from the dark triplet state back to the </w:t>
      </w:r>
      <w:r w:rsidR="001F7415">
        <w:t>emissive singlet state</w:t>
      </w:r>
      <w:r w:rsidR="0048676E">
        <w:fldChar w:fldCharType="begin" w:fldLock="1"/>
      </w:r>
      <w:r w:rsidR="00536CD8">
        <w:instrText>ADDIN CSL_CITATION {"citationItems":[{"id":"ITEM-1","itemData":{"DOI":"10.1038/s41566-019-0545-9","ISSN":"17494893","abstract":"Perovskite light-emitting diodes are promising for next-generation lighting and displays because of their high colour purity and performance1. Although the management of singlet and triplet excitons is fundamental to the design of efficient organic light-emitting diodes, the nature of how excitons affect performance is still not clear in perovskite2–4 and quasi-two-dimensional (2D) perovskite-based devices5–9. Here, we show that triplet excitons are key to efficient emission in green quasi-2D perovskite devices and that quenching of triplets by the organic cation is a major loss path. Employing an organic cation with a high triplet energy level (phenylethylammonium) in a quasi-2D perovskite based on formamidinium lead bromide yields efficient harvesting of triplets. Furthermore, we show that upconversion of triplets to singlets can occur, making 100% harvesting of electrically generated excitons potentially possible. The external quantum and current efficiencies of our green (527 nm) devices reached 12.4% and 52.1 cd A−1, respectively.","author":[{"dropping-particle":"","family":"Qin","given":"Chuanjiang","non-dropping-particle":"","parse-names":false,"suffix":""},{"dropping-particle":"","family":"Matsushima","given":"Toshinori","non-dropping-particle":"","parse-names":false,"suffix":""},{"dropping-particle":"","family":"Potscavage","given":"William J.","non-dropping-particle":"","parse-names":false,"suffix":""},{"dropping-particle":"","family":"Sandanayaka","given":"Atula S.D.","non-dropping-particle":"","parse-names":false,"suffix":""},{"dropping-particle":"","family":"Leyden","given":"Matthew R.","non-dropping-particle":"","parse-names":false,"suffix":""},{"dropping-particle":"","family":"Bencheikh","given":"Fatima","non-dropping-particle":"","parse-names":false,"suffix":""},{"dropping-particle":"","family":"Goushi","given":"Kenichi","non-dropping-particle":"","parse-names":false,"suffix":""},{"dropping-particle":"","family":"Mathevet","given":"Fabrice","non-dropping-particle":"","parse-names":false,"suffix":""},{"dropping-particle":"","family":"Heinrich","given":"Benoît","non-dropping-particle":"","parse-names":false,"suffix":""},{"dropping-particle":"","family":"Yumoto","given":"Go","non-dropping-particle":"","parse-names":false,"suffix":""},{"dropping-particle":"","family":"Kanemitsu","given":"Yoshihiko","non-dropping-particle":"","parse-names":false,"suffix":""},{"dropping-particle":"","family":"Adachi","given":"Chihaya","non-dropping-particle":"","parse-names":false,"suffix":""}],"container-title":"Nature Photonics","id":"ITEM-1","issue":"2","issued":{"date-parts":[["2020","2","1"]]},"page":"70-75","publisher":"Nature Research","title":"Triplet management for efficient perovskite light-emitting diodes","type":"article-journal","volume":"14"},"uris":["http://www.mendeley.com/documents/?uuid=48ccf34e-6ff3-3bc1-838c-f1520963d2f7"]}],"mendeley":{"formattedCitation":"&lt;sup&gt;7&lt;/sup&gt;","plainTextFormattedCitation":"7","previouslyFormattedCitation":"&lt;sup&gt;7&lt;/sup&gt;"},"properties":{"noteIndex":0},"schema":"https://github.com/citation-style-language/schema/raw/master/csl-citation.json"}</w:instrText>
      </w:r>
      <w:r w:rsidR="0048676E">
        <w:fldChar w:fldCharType="separate"/>
      </w:r>
      <w:r w:rsidR="0048676E" w:rsidRPr="0048676E">
        <w:rPr>
          <w:noProof/>
          <w:vertAlign w:val="superscript"/>
        </w:rPr>
        <w:t>7</w:t>
      </w:r>
      <w:r w:rsidR="0048676E">
        <w:fldChar w:fldCharType="end"/>
      </w:r>
      <w:r w:rsidR="001F7415">
        <w:t xml:space="preserve"> and </w:t>
      </w:r>
      <w:r w:rsidR="00E83A3D">
        <w:t>is therefore</w:t>
      </w:r>
      <w:r w:rsidR="001F7415">
        <w:t xml:space="preserve"> used to describe the lifetime of the </w:t>
      </w:r>
      <w:r w:rsidR="00482057">
        <w:t xml:space="preserve">long-lived dark </w:t>
      </w:r>
      <w:r w:rsidR="001F7415">
        <w:t xml:space="preserve">triplet state population within the </w:t>
      </w:r>
      <w:r w:rsidR="00482057">
        <w:t>film.</w:t>
      </w:r>
    </w:p>
    <w:p w14:paraId="1185C180" w14:textId="4AF4C3D6" w:rsidR="001A2737" w:rsidRDefault="001A2737">
      <w:r>
        <w:br w:type="page"/>
      </w:r>
    </w:p>
    <w:p w14:paraId="2B8B3C1B" w14:textId="61DF11E4" w:rsidR="0089286A" w:rsidRPr="008E74EB" w:rsidRDefault="0089286A" w:rsidP="00252A8A">
      <w:pPr>
        <w:pStyle w:val="Heading1"/>
        <w:rPr>
          <w:i/>
          <w:iCs/>
        </w:rPr>
      </w:pPr>
      <w:bookmarkStart w:id="12" w:name="_Toc116033075"/>
      <w:r w:rsidRPr="008E74EB">
        <w:lastRenderedPageBreak/>
        <w:t xml:space="preserve">Estimation of singlet-singlet </w:t>
      </w:r>
      <w:r w:rsidR="008E74EB">
        <w:t xml:space="preserve">exciton </w:t>
      </w:r>
      <w:r w:rsidRPr="008E74EB">
        <w:t>annihilation rate</w:t>
      </w:r>
      <w:bookmarkEnd w:id="12"/>
    </w:p>
    <w:p w14:paraId="318C4BA4" w14:textId="0606A82E" w:rsidR="00A9389B" w:rsidRPr="0043483D" w:rsidRDefault="00A9389B" w:rsidP="00EF5320">
      <w:pPr>
        <w:spacing w:line="480" w:lineRule="auto"/>
        <w:jc w:val="both"/>
      </w:pPr>
      <w:r>
        <w:t xml:space="preserve">Since excitonic species are dominant in low dimensional Q2D perovskite </w:t>
      </w:r>
      <w:r w:rsidR="001116D6">
        <w:t>slabs,</w:t>
      </w:r>
      <w:r>
        <w:t xml:space="preserve"> their recombination dynamics can be described by the following rate equation:</w:t>
      </w:r>
      <w:r>
        <w:fldChar w:fldCharType="begin" w:fldLock="1"/>
      </w:r>
      <w:r w:rsidR="00536CD8">
        <w:instrText>ADDIN CSL_CITATION {"citationItems":[{"id":"ITEM-1","itemData":{"DOI":"10.1021/ACS.JPCLETT.9B01595","abstract":"Recently, Ruddlesden–Popper 2D perovskite (RPP) solar cells and light-emitting diodes (LEDs) have shown promising efficiencies and improved stability in comparison to 3D halide perovskites. Here, t...","author":[{"dropping-particle":"","family":"Delport","given":"Géraud","non-dropping-particle":"","parse-names":false,"suffix":""},{"dropping-particle":"","family":"Chehade","given":"Gabriel","non-dropping-particle":"","parse-names":false,"suffix":""},{"dropping-particle":"","family":"Lédée","given":"Ferdinand","non-dropping-particle":"","parse-names":false,"suffix":""},{"dropping-particle":"","family":"Diab","given":"Hiba","non-dropping-particle":"","parse-names":false,"suffix":""},{"dropping-particle":"","family":"Milesi-Brault","given":"Cosme","non-dropping-particle":"","parse-names":false,"suffix":""},{"dropping-particle":"","family":"Trippé-Allard","given":"Gaëlle","non-dropping-particle":"","parse-names":false,"suffix":""},{"dropping-particle":"","family":"Even","given":"Jacky","non-dropping-particle":"","parse-names":false,"suffix":""},{"dropping-particle":"","family":"Lauret","given":"Jean-Sébastien","non-dropping-particle":"","parse-names":false,"suffix":""},{"dropping-particle":"","family":"Deleporte","given":"Emmanuelle","non-dropping-particle":"","parse-names":false,"suffix":""},{"dropping-particle":"","family":"Garrot","given":"Damien","non-dropping-particle":"","parse-names":false,"suffix":""}],"container-title":"The Journal of Physical Chemistry Letters","id":"ITEM-1","issue":"17","issued":{"date-parts":[["2019","9","5"]]},"page":"5153-5159","publisher":"American Chemical Society","title":"Exciton–Exciton Annihilation in Two-Dimensional Halide Perovskites at Room Temperature","type":"article-journal","volume":"10"},"uris":["http://www.mendeley.com/documents/?uuid=de1822c5-4da4-30da-a9d8-e616599ad600"]}],"mendeley":{"formattedCitation":"&lt;sup&gt;8&lt;/sup&gt;","plainTextFormattedCitation":"8","previouslyFormattedCitation":"&lt;sup&gt;8&lt;/sup&gt;"},"properties":{"noteIndex":0},"schema":"https://github.com/citation-style-language/schema/raw/master/csl-citation.json"}</w:instrText>
      </w:r>
      <w:r>
        <w:fldChar w:fldCharType="separate"/>
      </w:r>
      <w:r w:rsidR="0048676E" w:rsidRPr="0048676E">
        <w:rPr>
          <w:noProof/>
          <w:vertAlign w:val="superscript"/>
        </w:rPr>
        <w:t>8</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252A8A" w14:paraId="22488E1F" w14:textId="77777777" w:rsidTr="0043483D">
        <w:tc>
          <w:tcPr>
            <w:tcW w:w="1129" w:type="dxa"/>
          </w:tcPr>
          <w:p w14:paraId="3A762E76" w14:textId="77777777" w:rsidR="00252A8A" w:rsidRDefault="00252A8A" w:rsidP="0043483D">
            <w:pPr>
              <w:jc w:val="both"/>
              <w:rPr>
                <w:rFonts w:eastAsiaTheme="minorEastAsia"/>
              </w:rPr>
            </w:pPr>
          </w:p>
        </w:tc>
        <w:tc>
          <w:tcPr>
            <w:tcW w:w="6521" w:type="dxa"/>
          </w:tcPr>
          <w:p w14:paraId="62E12CCC" w14:textId="62B0ACA5" w:rsidR="00252A8A" w:rsidRDefault="00152C10" w:rsidP="0043483D">
            <w:pPr>
              <w:jc w:val="both"/>
              <w:rPr>
                <w:rFonts w:eastAsiaTheme="minorEastAsia"/>
              </w:rPr>
            </w:pPr>
            <m:oMathPara>
              <m:oMath>
                <m:f>
                  <m:fPr>
                    <m:ctrlPr>
                      <w:rPr>
                        <w:rFonts w:ascii="Cambria Math" w:hAnsi="Cambria Math"/>
                        <w:i/>
                      </w:rPr>
                    </m:ctrlPr>
                  </m:fPr>
                  <m:num>
                    <m:r>
                      <w:rPr>
                        <w:rFonts w:ascii="Cambria Math" w:hAnsi="Cambria Math"/>
                      </w:rPr>
                      <m:t>dn(t)</m:t>
                    </m:r>
                  </m:num>
                  <m:den>
                    <m:r>
                      <w:rPr>
                        <w:rFonts w:ascii="Cambria Math" w:hAnsi="Cambria Math"/>
                      </w:rPr>
                      <m:t>dt</m:t>
                    </m:r>
                  </m:den>
                </m:f>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m:t>
                    </m:r>
                  </m:sub>
                </m:sSub>
                <m:r>
                  <w:rPr>
                    <w:rFonts w:ascii="Cambria Math" w:hAnsi="Cambria Math"/>
                  </w:rPr>
                  <m:t>∙n</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2</m:t>
                    </m:r>
                  </m:sub>
                </m:sSub>
                <m:sSup>
                  <m:sSupPr>
                    <m:ctrlPr>
                      <w:rPr>
                        <w:rFonts w:ascii="Cambria Math" w:hAnsi="Cambria Math"/>
                        <w:i/>
                      </w:rPr>
                    </m:ctrlPr>
                  </m:sSupPr>
                  <m:e>
                    <m:r>
                      <w:rPr>
                        <w:rFonts w:ascii="Cambria Math" w:hAnsi="Cambria Math"/>
                      </w:rPr>
                      <m:t>∙n</m:t>
                    </m:r>
                    <m:d>
                      <m:dPr>
                        <m:ctrlPr>
                          <w:rPr>
                            <w:rFonts w:ascii="Cambria Math" w:hAnsi="Cambria Math"/>
                            <w:i/>
                          </w:rPr>
                        </m:ctrlPr>
                      </m:dPr>
                      <m:e>
                        <m:r>
                          <w:rPr>
                            <w:rFonts w:ascii="Cambria Math" w:hAnsi="Cambria Math"/>
                          </w:rPr>
                          <m:t>t</m:t>
                        </m:r>
                      </m:e>
                    </m:d>
                  </m:e>
                  <m:sup>
                    <m:r>
                      <w:rPr>
                        <w:rFonts w:ascii="Cambria Math" w:hAnsi="Cambria Math"/>
                      </w:rPr>
                      <m:t>2</m:t>
                    </m:r>
                  </m:sup>
                </m:sSup>
              </m:oMath>
            </m:oMathPara>
          </w:p>
        </w:tc>
        <w:tc>
          <w:tcPr>
            <w:tcW w:w="1366" w:type="dxa"/>
            <w:vAlign w:val="center"/>
          </w:tcPr>
          <w:p w14:paraId="73807655" w14:textId="0E7338F0" w:rsidR="00252A8A" w:rsidRPr="0043483D" w:rsidRDefault="0043483D" w:rsidP="0043483D">
            <w:pPr>
              <w:pStyle w:val="Caption"/>
              <w:keepNext/>
              <w:jc w:val="right"/>
            </w:pPr>
            <w:r>
              <w:t>(</w:t>
            </w:r>
            <w:r w:rsidR="00B7332D">
              <w:t>S</w:t>
            </w:r>
            <w:r w:rsidR="00152C10">
              <w:fldChar w:fldCharType="begin"/>
            </w:r>
            <w:r w:rsidR="00152C10">
              <w:instrText xml:space="preserve"> SEQ Equation \* ARABIC </w:instrText>
            </w:r>
            <w:r w:rsidR="00152C10">
              <w:fldChar w:fldCharType="separate"/>
            </w:r>
            <w:r w:rsidR="00730950">
              <w:rPr>
                <w:noProof/>
              </w:rPr>
              <w:t>6</w:t>
            </w:r>
            <w:r w:rsidR="00152C10">
              <w:rPr>
                <w:noProof/>
              </w:rPr>
              <w:fldChar w:fldCharType="end"/>
            </w:r>
            <w:r>
              <w:t>)</w:t>
            </w:r>
          </w:p>
        </w:tc>
      </w:tr>
    </w:tbl>
    <w:p w14:paraId="0F4DE5D1" w14:textId="77777777" w:rsidR="00252A8A" w:rsidRDefault="00252A8A" w:rsidP="00A9389B">
      <w:pPr>
        <w:jc w:val="both"/>
      </w:pPr>
    </w:p>
    <w:p w14:paraId="6E3E9DBB" w14:textId="34FCFDAE" w:rsidR="00A9389B" w:rsidRDefault="00A9389B" w:rsidP="00EF5320">
      <w:pPr>
        <w:spacing w:line="480" w:lineRule="auto"/>
        <w:jc w:val="both"/>
      </w:pPr>
      <w:r>
        <w:t xml:space="preserve">where </w:t>
      </w:r>
      <m:oMath>
        <m:r>
          <w:rPr>
            <w:rFonts w:ascii="Cambria Math" w:hAnsi="Cambria Math"/>
          </w:rPr>
          <m:t>n(t)</m:t>
        </m:r>
      </m:oMath>
      <w:r>
        <w:t xml:space="preserve"> is the </w:t>
      </w:r>
      <w:r w:rsidR="008065D3">
        <w:t xml:space="preserve">time-dependent </w:t>
      </w:r>
      <w:r>
        <w:t xml:space="preserve">exciton density,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t xml:space="preserve"> the monomolecular decay rate due to radiative and nonradiative recombination and </w:t>
      </w:r>
      <m:oMath>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SSA</m:t>
            </m:r>
          </m:sub>
        </m:sSub>
      </m:oMath>
      <w:r>
        <w:t xml:space="preserve"> the singlet-singlet exciton annihilation rate coefficient.</w:t>
      </w:r>
    </w:p>
    <w:p w14:paraId="7740D976" w14:textId="46FCCC69" w:rsidR="00A9389B" w:rsidRPr="0043483D" w:rsidRDefault="00A9389B" w:rsidP="00EF5320">
      <w:pPr>
        <w:spacing w:line="480" w:lineRule="auto"/>
      </w:pPr>
      <w:r>
        <w:t xml:space="preserve">If we assume the annihilation rate is </w:t>
      </w:r>
      <w:r w:rsidR="001116D6">
        <w:t>time-independent</w:t>
      </w:r>
      <w:r>
        <w:t>, we can derive the analytical 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252A8A" w14:paraId="4BC65D11" w14:textId="77777777" w:rsidTr="0043483D">
        <w:tc>
          <w:tcPr>
            <w:tcW w:w="1129" w:type="dxa"/>
          </w:tcPr>
          <w:p w14:paraId="2659F30D" w14:textId="77777777" w:rsidR="00252A8A" w:rsidRDefault="00252A8A" w:rsidP="0043483D">
            <w:pPr>
              <w:jc w:val="both"/>
              <w:rPr>
                <w:rFonts w:eastAsiaTheme="minorEastAsia"/>
              </w:rPr>
            </w:pPr>
          </w:p>
        </w:tc>
        <w:tc>
          <w:tcPr>
            <w:tcW w:w="6521" w:type="dxa"/>
          </w:tcPr>
          <w:p w14:paraId="63CE01A7" w14:textId="7E28D24D" w:rsidR="00252A8A" w:rsidRDefault="0043483D" w:rsidP="0043483D">
            <w:pPr>
              <w:jc w:val="both"/>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w:bookmarkStart w:id="13" w:name="_Hlk97299322"/>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w:bookmarkEnd w:id="13"/>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∙t</m:t>
                        </m:r>
                      </m:sup>
                    </m:sSup>
                  </m:num>
                  <m:den>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2</m:t>
                            </m:r>
                          </m:sub>
                        </m:sSub>
                      </m:num>
                      <m:den>
                        <m:sSub>
                          <m:sSubPr>
                            <m:ctrlPr>
                              <w:rPr>
                                <w:rFonts w:ascii="Cambria Math" w:hAnsi="Cambria Math"/>
                                <w:i/>
                              </w:rPr>
                            </m:ctrlPr>
                          </m:sSubPr>
                          <m:e>
                            <m:r>
                              <w:rPr>
                                <w:rFonts w:ascii="Cambria Math" w:hAnsi="Cambria Math"/>
                              </w:rPr>
                              <m:t>k</m:t>
                            </m:r>
                          </m:e>
                          <m:sub>
                            <m:r>
                              <w:rPr>
                                <w:rFonts w:ascii="Cambria Math" w:hAnsi="Cambria Math"/>
                              </w:rPr>
                              <m:t>1</m:t>
                            </m:r>
                          </m:sub>
                        </m:sSub>
                      </m:den>
                    </m:f>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r>
                      <w:rPr>
                        <w:rFonts w:ascii="Cambria Math" w:hAnsi="Cambria Math"/>
                      </w:rPr>
                      <m:t>∙(1-</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∙t</m:t>
                        </m:r>
                      </m:sup>
                    </m:sSup>
                    <m:r>
                      <w:rPr>
                        <w:rFonts w:ascii="Cambria Math" w:hAnsi="Cambria Math"/>
                      </w:rPr>
                      <m:t>)</m:t>
                    </m:r>
                  </m:den>
                </m:f>
              </m:oMath>
            </m:oMathPara>
          </w:p>
        </w:tc>
        <w:tc>
          <w:tcPr>
            <w:tcW w:w="1366" w:type="dxa"/>
            <w:vAlign w:val="center"/>
          </w:tcPr>
          <w:p w14:paraId="71224BE4" w14:textId="7EDA3D28" w:rsidR="00252A8A" w:rsidRDefault="0043483D" w:rsidP="0043483D">
            <w:pPr>
              <w:jc w:val="right"/>
              <w:rPr>
                <w:rFonts w:eastAsiaTheme="minorEastAsia"/>
              </w:rPr>
            </w:pPr>
            <w:r>
              <w:t>(</w:t>
            </w:r>
            <w:r w:rsidR="00B7332D">
              <w:t>S</w:t>
            </w:r>
            <w:r w:rsidR="00152C10">
              <w:fldChar w:fldCharType="begin"/>
            </w:r>
            <w:r w:rsidR="00152C10">
              <w:instrText xml:space="preserve"> SEQ Equation \* ARABIC </w:instrText>
            </w:r>
            <w:r w:rsidR="00152C10">
              <w:fldChar w:fldCharType="separate"/>
            </w:r>
            <w:r w:rsidR="00730950">
              <w:rPr>
                <w:noProof/>
              </w:rPr>
              <w:t>7</w:t>
            </w:r>
            <w:r w:rsidR="00152C10">
              <w:rPr>
                <w:noProof/>
              </w:rPr>
              <w:fldChar w:fldCharType="end"/>
            </w:r>
            <w:r>
              <w:t>)</w:t>
            </w:r>
          </w:p>
        </w:tc>
      </w:tr>
    </w:tbl>
    <w:p w14:paraId="2EB66553" w14:textId="77777777" w:rsidR="00252A8A" w:rsidRDefault="00252A8A" w:rsidP="00A9389B"/>
    <w:p w14:paraId="2E4786BA" w14:textId="4AC19BE3" w:rsidR="00793B0D" w:rsidRPr="00C37490" w:rsidRDefault="00A26550" w:rsidP="00D9644D">
      <w:pPr>
        <w:spacing w:line="480" w:lineRule="auto"/>
        <w:jc w:val="both"/>
      </w:pPr>
      <w:r>
        <w:t xml:space="preserve">where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r>
          <w:rPr>
            <w:rFonts w:ascii="Cambria Math" w:hAnsi="Cambria Math"/>
          </w:rPr>
          <m:t xml:space="preserve"> </m:t>
        </m:r>
      </m:oMath>
      <w:r>
        <w:rPr>
          <w:rFonts w:eastAsiaTheme="minorEastAsia"/>
        </w:rPr>
        <w:t xml:space="preserve">is the initial excitation density. </w:t>
      </w:r>
      <w:r w:rsidR="00C37490">
        <w:t xml:space="preserve">Assuming an intrinsic </w:t>
      </w:r>
      <w:r w:rsidR="00C37490" w:rsidRPr="005369D4">
        <w:t xml:space="preserve">monomolecular recombination rate of </w:t>
      </w:r>
      <w:r w:rsidR="00C37490" w:rsidRPr="00635537">
        <w:rPr>
          <w:i/>
          <w:iCs/>
        </w:rPr>
        <w:t>k</w:t>
      </w:r>
      <w:r w:rsidR="00C37490" w:rsidRPr="00635537">
        <w:rPr>
          <w:i/>
          <w:iCs/>
          <w:vertAlign w:val="subscript"/>
        </w:rPr>
        <w:t>1</w:t>
      </w:r>
      <w:r w:rsidR="005D7E75">
        <w:t> </w:t>
      </w:r>
      <w:r w:rsidR="00C37490" w:rsidRPr="005369D4">
        <w:t>=</w:t>
      </w:r>
      <w:r w:rsidR="005D7E75">
        <w:t> </w:t>
      </w:r>
      <w:r w:rsidR="00C37490">
        <w:t>1.</w:t>
      </w:r>
      <w:r w:rsidR="002C6450">
        <w:t>64</w:t>
      </w:r>
      <w:r w:rsidR="00C37490">
        <w:rPr>
          <w:rFonts w:cstheme="minorHAnsi"/>
        </w:rPr>
        <w:t>∙</w:t>
      </w:r>
      <w:r w:rsidR="00C37490" w:rsidRPr="00C37490">
        <w:t>10</w:t>
      </w:r>
      <w:r w:rsidR="00C37490" w:rsidRPr="00C37490">
        <w:rPr>
          <w:vertAlign w:val="superscript"/>
        </w:rPr>
        <w:t>10</w:t>
      </w:r>
      <w:r w:rsidR="005D7E75">
        <w:rPr>
          <w:vertAlign w:val="superscript"/>
        </w:rPr>
        <w:t> </w:t>
      </w:r>
      <w:r w:rsidR="00C37490" w:rsidRPr="00C37490">
        <w:t>s</w:t>
      </w:r>
      <w:r w:rsidR="00C37490" w:rsidRPr="00C37490">
        <w:rPr>
          <w:vertAlign w:val="superscript"/>
        </w:rPr>
        <w:t>-1</w:t>
      </w:r>
      <w:r w:rsidR="00B469F6" w:rsidRPr="00B45FDB">
        <w:t>,</w:t>
      </w:r>
      <w:r w:rsidR="0079656B">
        <w:t xml:space="preserve"> </w:t>
      </w:r>
      <w:r w:rsidR="00B469F6">
        <w:t xml:space="preserve">as </w:t>
      </w:r>
      <w:r w:rsidR="00C37490">
        <w:t xml:space="preserve">determined from low fluence measurements in </w:t>
      </w:r>
      <w:r w:rsidR="00C37490" w:rsidRPr="00C37490">
        <w:fldChar w:fldCharType="begin"/>
      </w:r>
      <w:r w:rsidR="00C37490" w:rsidRPr="00C37490">
        <w:instrText xml:space="preserve"> REF _Ref80289185 \h </w:instrText>
      </w:r>
      <w:r w:rsidR="00EF5320">
        <w:instrText xml:space="preserve"> \* MERGEFORMAT </w:instrText>
      </w:r>
      <w:r w:rsidR="00C37490" w:rsidRPr="00C37490">
        <w:fldChar w:fldCharType="separate"/>
      </w:r>
      <w:r>
        <w:t>Figure S</w:t>
      </w:r>
      <w:r>
        <w:rPr>
          <w:noProof/>
        </w:rPr>
        <w:t>7</w:t>
      </w:r>
      <w:r w:rsidR="00C37490" w:rsidRPr="00C37490">
        <w:fldChar w:fldCharType="end"/>
      </w:r>
      <w:r w:rsidR="00C37490">
        <w:t xml:space="preserve">a, </w:t>
      </w:r>
      <w:r w:rsidR="00C37490" w:rsidRPr="004244BB">
        <w:t>we can fit the excitation density dependent PL kinetics</w:t>
      </w:r>
      <w:r w:rsidR="00196764" w:rsidRPr="004244BB">
        <w:t xml:space="preserve"> integrated over the entire emission range</w:t>
      </w:r>
      <w:r w:rsidR="00C37490" w:rsidRPr="004244BB">
        <w:t xml:space="preserve"> in </w:t>
      </w:r>
      <w:r w:rsidR="004244BB" w:rsidRPr="00C37490">
        <w:fldChar w:fldCharType="begin"/>
      </w:r>
      <w:r w:rsidR="004244BB" w:rsidRPr="00C37490">
        <w:instrText xml:space="preserve"> REF _Ref80289185 \h </w:instrText>
      </w:r>
      <w:r w:rsidR="004244BB">
        <w:instrText xml:space="preserve"> \* MERGEFORMAT </w:instrText>
      </w:r>
      <w:r w:rsidR="004244BB" w:rsidRPr="00C37490">
        <w:fldChar w:fldCharType="separate"/>
      </w:r>
      <w:r w:rsidR="004244BB">
        <w:t>Figure S</w:t>
      </w:r>
      <w:r w:rsidR="004244BB">
        <w:rPr>
          <w:noProof/>
        </w:rPr>
        <w:t>7</w:t>
      </w:r>
      <w:r w:rsidR="004244BB" w:rsidRPr="00C37490">
        <w:fldChar w:fldCharType="end"/>
      </w:r>
      <w:r w:rsidR="00C37490" w:rsidRPr="004244BB">
        <w:t xml:space="preserve">b globally with the above equation. </w:t>
      </w:r>
      <w:r w:rsidR="00AA783E" w:rsidRPr="004244BB">
        <w:t>Doing so</w:t>
      </w:r>
      <w:r w:rsidR="001116D6" w:rsidRPr="004244BB">
        <w:t>,</w:t>
      </w:r>
      <w:r w:rsidR="00C37490" w:rsidRPr="004244BB">
        <w:t xml:space="preserve"> we </w:t>
      </w:r>
      <w:r w:rsidR="00AA783E" w:rsidRPr="004244BB">
        <w:t xml:space="preserve">obtain </w:t>
      </w:r>
      <w:r w:rsidR="00C37490" w:rsidRPr="004244BB">
        <w:t xml:space="preserve">a singlet-singlet annihilation constant of about </w:t>
      </w:r>
      <w:r w:rsidR="002C6450" w:rsidRPr="004244BB">
        <w:t>1.7</w:t>
      </w:r>
      <w:r w:rsidR="00C37490" w:rsidRPr="004244BB">
        <w:rPr>
          <w:rFonts w:cstheme="minorHAnsi"/>
        </w:rPr>
        <w:t>∙</w:t>
      </w:r>
      <w:r w:rsidR="00C37490" w:rsidRPr="004244BB">
        <w:t>10</w:t>
      </w:r>
      <w:r w:rsidR="00C37490" w:rsidRPr="004244BB">
        <w:rPr>
          <w:vertAlign w:val="superscript"/>
        </w:rPr>
        <w:t>-</w:t>
      </w:r>
      <w:r w:rsidR="00105B93" w:rsidRPr="004244BB">
        <w:rPr>
          <w:vertAlign w:val="superscript"/>
        </w:rPr>
        <w:t>8</w:t>
      </w:r>
      <w:r w:rsidR="005D7E75" w:rsidRPr="004244BB">
        <w:rPr>
          <w:vertAlign w:val="superscript"/>
        </w:rPr>
        <w:t> </w:t>
      </w:r>
      <w:r w:rsidR="00C37490" w:rsidRPr="004244BB">
        <w:t>cm</w:t>
      </w:r>
      <w:r w:rsidR="00C37490" w:rsidRPr="004244BB">
        <w:rPr>
          <w:vertAlign w:val="superscript"/>
        </w:rPr>
        <w:t>3</w:t>
      </w:r>
      <w:r w:rsidR="00C37490" w:rsidRPr="004244BB">
        <w:t>s</w:t>
      </w:r>
      <w:r w:rsidR="00C37490" w:rsidRPr="004244BB">
        <w:rPr>
          <w:vertAlign w:val="superscript"/>
        </w:rPr>
        <w:t>-1</w:t>
      </w:r>
      <w:r w:rsidR="00196764" w:rsidRPr="004244BB">
        <w:t xml:space="preserve">, </w:t>
      </w:r>
      <w:r w:rsidR="00C37490" w:rsidRPr="004244BB">
        <w:t>which</w:t>
      </w:r>
      <w:r w:rsidR="00C37490">
        <w:t xml:space="preserve"> is similar to the bimolecular recombination rate observe by Li and co-workers</w:t>
      </w:r>
      <w:r w:rsidR="00877948">
        <w:fldChar w:fldCharType="begin" w:fldLock="1"/>
      </w:r>
      <w:r w:rsidR="00536CD8">
        <w:instrText>ADDIN CSL_CITATION {"citationItems":[{"id":"ITEM-1","itemData":{"DOI":"10.1016/j.mattod.2021.05.002","ISSN":"18734103","abstract":"Among perovskite semiconductors, quasi-two-dimensional (2D) materials are attractive for the pursuit of electrically driven lasing given their excellent performance in light-emitting diodes (LEDs) and their recent success in continuous-wave optically pumped lasing. We investigate the spontaneous photoluminescence emission and amplified spontaneous emission (ASE) of a series of quasi-2D emitters, and their directly analogous 3D materials formed by removing the 2D organic spacer by annealing. Although the PL photoluminescence (PL) (at low optical excitation power) from quasi-2D films with high 2D spacer fractions can be much brighter than that from their 3D counterparts, the ASE thresholds of these quasi-2D materials tend to be higher. This counter-intuitive behavior is investigated through time-resolved photophysical studies, which reveal the emission in the high-spacer-content quasi-2D perovskite can be exclusively excitonic, and the exciton–exciton annihilation of quasi-2D perovskite starts to take over the exciton dynamics at a low exciton density (&lt;1016 cm−3). To lower ASE thresholds in quasi-2D materials it is necessary to increase the volume fraction of thick quantum wells, which we achieve by decreasing the spacer content or by utilizing 1-naphthylmethylamine (NMA) linkers. The increase of the volume fraction of thick quantum wells correlates with an increased contribution of free carrier recombination to the emission process of the quasi-2D materials. These results suggest that material development of quasi-2D materials for gain applications should target fast free charge carrier recombination rates by engineering the well thickness and size and not maximum photoluminescence quantum yields under low power excitation.","author":[{"dropping-particle":"","family":"Li","given":"Yang","non-dropping-particle":"","parse-names":false,"suffix":""},{"dropping-particle":"","family":"Allegro","given":"Isabel","non-dropping-particle":"","parse-names":false,"suffix":""},{"dropping-particle":"","family":"Kaiser","given":"Milian","non-dropping-particle":"","parse-names":false,"suffix":""},{"dropping-particle":"","family":"Malla","given":"Aditya J.","non-dropping-particle":"","parse-names":false,"suffix":""},{"dropping-particle":"","family":"Richards","given":"Bryce S.","non-dropping-particle":"","parse-names":false,"suffix":""},{"dropping-particle":"","family":"Lemmer","given":"Uli","non-dropping-particle":"","parse-names":false,"suffix":""},{"dropping-particle":"","family":"Paetzold","given":"Ulrich W.","non-dropping-particle":"","parse-names":false,"suffix":""},{"dropping-particle":"","family":"Howard","given":"Ian A.","non-dropping-particle":"","parse-names":false,"suffix":""}],"container-title":"Materials Today","id":"ITEM-1","issued":{"date-parts":[["2021","6","11"]]},"page":"35-47","publisher":"Elsevier","title":"Exciton versus free carrier emission: Implications for photoluminescence efficiency and amplified spontaneous emission thresholds in quasi-2D and 3D perovskites","type":"article-journal","volume":"49"},"uris":["http://www.mendeley.com/documents/?uuid=e6208d71-a1cd-3870-9bf2-1e13a4475173"]}],"mendeley":{"formattedCitation":"&lt;sup&gt;9&lt;/sup&gt;","plainTextFormattedCitation":"9","previouslyFormattedCitation":"&lt;sup&gt;9&lt;/sup&gt;"},"properties":{"noteIndex":0},"schema":"https://github.com/citation-style-language/schema/raw/master/csl-citation.json"}</w:instrText>
      </w:r>
      <w:r w:rsidR="00877948">
        <w:fldChar w:fldCharType="separate"/>
      </w:r>
      <w:r w:rsidR="0048676E" w:rsidRPr="0048676E">
        <w:rPr>
          <w:noProof/>
          <w:vertAlign w:val="superscript"/>
        </w:rPr>
        <w:t>9</w:t>
      </w:r>
      <w:r w:rsidR="00877948">
        <w:fldChar w:fldCharType="end"/>
      </w:r>
      <w:r w:rsidR="00536CD8">
        <w:t>.</w:t>
      </w:r>
    </w:p>
    <w:p w14:paraId="6C2DBD6F" w14:textId="56DD25ED" w:rsidR="00D54B57" w:rsidRDefault="002C6450" w:rsidP="00A559A9">
      <w:r>
        <w:rPr>
          <w:noProof/>
        </w:rPr>
        <w:drawing>
          <wp:inline distT="0" distB="0" distL="0" distR="0" wp14:anchorId="78C0D47E" wp14:editId="7043D9FE">
            <wp:extent cx="5346700" cy="2281820"/>
            <wp:effectExtent l="0" t="0" r="635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6643" cy="2286063"/>
                    </a:xfrm>
                    <a:prstGeom prst="rect">
                      <a:avLst/>
                    </a:prstGeom>
                    <a:noFill/>
                    <a:ln>
                      <a:noFill/>
                    </a:ln>
                  </pic:spPr>
                </pic:pic>
              </a:graphicData>
            </a:graphic>
          </wp:inline>
        </w:drawing>
      </w:r>
    </w:p>
    <w:p w14:paraId="2A39EAE4" w14:textId="304317B8" w:rsidR="00DA0110" w:rsidRDefault="00D54B57" w:rsidP="00B640F6">
      <w:pPr>
        <w:pStyle w:val="Caption"/>
        <w:jc w:val="both"/>
        <w:rPr>
          <w:rFonts w:eastAsiaTheme="minorEastAsia"/>
        </w:rPr>
      </w:pPr>
      <w:bookmarkStart w:id="14" w:name="_Ref80289185"/>
      <w:r>
        <w:t>Figure S</w:t>
      </w:r>
      <w:r w:rsidR="00152C10">
        <w:fldChar w:fldCharType="begin"/>
      </w:r>
      <w:r w:rsidR="00152C10">
        <w:instrText xml:space="preserve"> SEQ Figure_S \* ARABIC </w:instrText>
      </w:r>
      <w:r w:rsidR="00152C10">
        <w:fldChar w:fldCharType="separate"/>
      </w:r>
      <w:r w:rsidR="00730950">
        <w:rPr>
          <w:noProof/>
        </w:rPr>
        <w:t>8</w:t>
      </w:r>
      <w:r w:rsidR="00152C10">
        <w:rPr>
          <w:noProof/>
        </w:rPr>
        <w:fldChar w:fldCharType="end"/>
      </w:r>
      <w:bookmarkEnd w:id="14"/>
      <w:r>
        <w:t xml:space="preserve">: </w:t>
      </w:r>
      <w:r w:rsidR="004B1536">
        <w:t>Normalized d</w:t>
      </w:r>
      <w:r>
        <w:t xml:space="preserve">ecay dynamics </w:t>
      </w:r>
      <w:r w:rsidR="00793B0D">
        <w:t>integrated over entire emission</w:t>
      </w:r>
      <w:r w:rsidR="00E342CD">
        <w:t xml:space="preserve"> </w:t>
      </w:r>
      <w:r w:rsidR="00793B0D">
        <w:t>of the</w:t>
      </w:r>
      <w:r w:rsidR="00E342CD">
        <w:t xml:space="preserve"> </w:t>
      </w:r>
      <w:r w:rsidR="00E342CD" w:rsidRPr="0089286A">
        <w:t xml:space="preserve">Q2D </w:t>
      </w:r>
      <w:r w:rsidR="00C452C7">
        <w:t>perovskite</w:t>
      </w:r>
      <w:r w:rsidR="00E342CD" w:rsidRPr="0089286A">
        <w:t xml:space="preserve"> film</w:t>
      </w:r>
      <w:r w:rsidR="00E342CD">
        <w:t xml:space="preserve"> </w:t>
      </w:r>
      <w:r w:rsidR="004B1536">
        <w:t xml:space="preserve">under ambient conditions </w:t>
      </w:r>
      <w:r>
        <w:t xml:space="preserve">after photoexcitation at 343 nm (3.6 eV) </w:t>
      </w:r>
      <w:r w:rsidR="004B1536">
        <w:t xml:space="preserve">with a repetition rate of 5 kHz: (a) Under </w:t>
      </w:r>
      <w:r w:rsidR="00E83A3D">
        <w:t xml:space="preserve">a </w:t>
      </w:r>
      <w:r w:rsidR="004B1536">
        <w:t xml:space="preserve">low </w:t>
      </w:r>
      <w:r>
        <w:t>carrier density of 4.8</w:t>
      </w:r>
      <w:r>
        <w:rPr>
          <w:rFonts w:cstheme="minorHAnsi"/>
        </w:rPr>
        <w:t>∙</w:t>
      </w:r>
      <w:r>
        <w:t>10</w:t>
      </w:r>
      <w:r>
        <w:rPr>
          <w:vertAlign w:val="superscript"/>
        </w:rPr>
        <w:t>17</w:t>
      </w:r>
      <w:r>
        <w:t>cm</w:t>
      </w:r>
      <w:r>
        <w:rPr>
          <w:vertAlign w:val="superscript"/>
        </w:rPr>
        <w:t>-3</w:t>
      </w:r>
      <w:r w:rsidR="00E83A3D">
        <w:t xml:space="preserve">, </w:t>
      </w:r>
      <w:r w:rsidR="00E342CD">
        <w:t>a monoexponential fit</w:t>
      </w:r>
      <w:r w:rsidR="004B1536">
        <w:t xml:space="preserve"> is used</w:t>
      </w:r>
      <w:r w:rsidR="00E342CD">
        <w:t xml:space="preserve"> to extract the </w:t>
      </w:r>
      <w:r w:rsidR="004B1536" w:rsidRPr="004B1536">
        <w:t>intrinsic monomolecular decay constant</w:t>
      </w:r>
      <w:r w:rsidR="004B1536">
        <w:t xml:space="preserve"> </w:t>
      </w:r>
      <w:r w:rsidR="004B1536" w:rsidRPr="00B73F23">
        <w:rPr>
          <w:i/>
          <w:iCs w:val="0"/>
        </w:rPr>
        <w:t>k</w:t>
      </w:r>
      <w:r w:rsidR="004B1536">
        <w:t>. (b) Fluence dependent kinetics</w:t>
      </w:r>
      <w:r w:rsidR="00A224F8">
        <w:t xml:space="preserve"> integrated over the entire emission </w:t>
      </w:r>
      <w:r w:rsidR="00A224F8">
        <w:lastRenderedPageBreak/>
        <w:t>range</w:t>
      </w:r>
      <w:r w:rsidR="004B1536">
        <w:t xml:space="preserve"> reveal annihilation behaviour with a bimolecular recombination constant of about </w:t>
      </w:r>
      <w:r w:rsidR="001D3BC2">
        <w:t>1.7</w:t>
      </w:r>
      <w:r w:rsidR="004B1536">
        <w:rPr>
          <w:rFonts w:cstheme="minorHAnsi"/>
        </w:rPr>
        <w:t>∙</w:t>
      </w:r>
      <w:r w:rsidR="00E04DF6">
        <w:t>1</w:t>
      </w:r>
      <w:r w:rsidR="00BB2155">
        <w:t>0</w:t>
      </w:r>
      <w:r w:rsidR="00BB2155">
        <w:rPr>
          <w:vertAlign w:val="superscript"/>
        </w:rPr>
        <w:t>-</w:t>
      </w:r>
      <w:r w:rsidR="004443C4">
        <w:rPr>
          <w:vertAlign w:val="superscript"/>
        </w:rPr>
        <w:t>8</w:t>
      </w:r>
      <w:r w:rsidR="00E04DF6">
        <w:t>cm</w:t>
      </w:r>
      <w:r w:rsidR="00E04DF6">
        <w:rPr>
          <w:vertAlign w:val="superscript"/>
        </w:rPr>
        <w:t>3</w:t>
      </w:r>
      <w:r w:rsidR="00E04DF6">
        <w:t>s</w:t>
      </w:r>
      <w:r w:rsidR="00E04DF6">
        <w:rPr>
          <w:vertAlign w:val="superscript"/>
        </w:rPr>
        <w:t>-1</w:t>
      </w:r>
      <w:r w:rsidR="00E04DF6">
        <w:t>.</w:t>
      </w:r>
    </w:p>
    <w:p w14:paraId="739AD079" w14:textId="7C4D8E2C" w:rsidR="00DA0110" w:rsidRDefault="00DA0110" w:rsidP="00B41AEC">
      <w:pPr>
        <w:jc w:val="both"/>
        <w:rPr>
          <w:rFonts w:eastAsiaTheme="minorEastAsia"/>
        </w:rPr>
      </w:pPr>
    </w:p>
    <w:p w14:paraId="7019606C" w14:textId="77777777" w:rsidR="00D52030" w:rsidRDefault="00D52030">
      <w:pPr>
        <w:rPr>
          <w:color w:val="44546A" w:themeColor="text2"/>
          <w:sz w:val="28"/>
          <w:szCs w:val="28"/>
        </w:rPr>
      </w:pPr>
      <w:r>
        <w:rPr>
          <w:i/>
          <w:iCs/>
          <w:sz w:val="28"/>
          <w:szCs w:val="28"/>
        </w:rPr>
        <w:br w:type="page"/>
      </w:r>
    </w:p>
    <w:p w14:paraId="4190F4D5" w14:textId="3077698F" w:rsidR="00A6051E" w:rsidRPr="008E74EB" w:rsidRDefault="00A6051E" w:rsidP="00252A8A">
      <w:pPr>
        <w:pStyle w:val="Heading1"/>
        <w:rPr>
          <w:i/>
          <w:iCs/>
        </w:rPr>
      </w:pPr>
      <w:bookmarkStart w:id="15" w:name="_Toc116033076"/>
      <w:r w:rsidRPr="008E74EB">
        <w:lastRenderedPageBreak/>
        <w:t>Estimation of singlet-triplet</w:t>
      </w:r>
      <w:r w:rsidR="008E74EB" w:rsidRPr="008E74EB">
        <w:t xml:space="preserve"> exciton</w:t>
      </w:r>
      <w:r w:rsidRPr="008E74EB">
        <w:t xml:space="preserve"> annihilation rate</w:t>
      </w:r>
      <w:bookmarkEnd w:id="15"/>
    </w:p>
    <w:p w14:paraId="29505AC8" w14:textId="0B81390E" w:rsidR="00442F01" w:rsidRPr="00442F01" w:rsidRDefault="00442F01" w:rsidP="00EF5320">
      <w:pPr>
        <w:spacing w:line="480" w:lineRule="auto"/>
        <w:jc w:val="both"/>
        <w:rPr>
          <w:rFonts w:eastAsiaTheme="minorEastAsia"/>
        </w:rPr>
      </w:pPr>
      <w:r>
        <w:rPr>
          <w:rFonts w:eastAsiaTheme="minorEastAsia"/>
        </w:rPr>
        <w:t xml:space="preserve">To obtain quantitative values for the annihilation process due to long-lived accumulated triplet states, we </w:t>
      </w:r>
      <w:r w:rsidR="00D63D92">
        <w:rPr>
          <w:rFonts w:eastAsiaTheme="minorEastAsia"/>
        </w:rPr>
        <w:t xml:space="preserve">formulate </w:t>
      </w:r>
      <w:r>
        <w:rPr>
          <w:rFonts w:eastAsiaTheme="minorEastAsia"/>
        </w:rPr>
        <w:t xml:space="preserve">a </w:t>
      </w:r>
      <w:r>
        <w:t xml:space="preserve">STA model to describe the underlying kinetics. </w:t>
      </w:r>
      <w:r w:rsidR="004F4A19">
        <w:rPr>
          <w:rFonts w:eastAsiaTheme="minorEastAsia"/>
        </w:rPr>
        <w:t>Here,</w:t>
      </w:r>
      <w:r w:rsidRPr="00442F01">
        <w:rPr>
          <w:rFonts w:eastAsiaTheme="minorEastAsia"/>
        </w:rPr>
        <w:t xml:space="preserve"> the temporal evolution of the bright singlet excitons </w:t>
      </w:r>
      <w:r w:rsidRPr="00442F01">
        <w:rPr>
          <w:rFonts w:eastAsiaTheme="minorEastAsia"/>
          <w:i/>
          <w:iCs/>
        </w:rPr>
        <w:t>n(t)</w:t>
      </w:r>
      <w:r w:rsidRPr="00442F01">
        <w:rPr>
          <w:rFonts w:eastAsiaTheme="minorEastAsia"/>
        </w:rPr>
        <w:t xml:space="preserve"> is given by:</w:t>
      </w:r>
      <w:r w:rsidRPr="00442F01">
        <w:rPr>
          <w:rFonts w:eastAsiaTheme="minorEastAsia"/>
        </w:rPr>
        <w:fldChar w:fldCharType="begin" w:fldLock="1"/>
      </w:r>
      <w:r w:rsidR="00536CD8">
        <w:rPr>
          <w:rFonts w:eastAsiaTheme="minorEastAsia" w:hint="eastAsia"/>
        </w:rPr>
        <w:instrText>ADDIN CSL_CITATION {"citationItems":[{"id":"ITEM-1","itemData":{"DOI":"10.1103/PhysRevB.75.195201","ISSN":"10980121","abstract":"Singlet-singlet (S-S) and singlet-triplet (S-T) exciton annihilation was studied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w:instrText>
      </w:r>
      <w:r w:rsidR="00536CD8">
        <w:rPr>
          <w:rFonts w:eastAsiaTheme="minorEastAsia"/>
        </w:rPr>
        <w:instrText>ene films. For the S-S exciton annihilation studies, transient absorption spectroscopy at excitation laser pulse fluences of 1.2× 1013 -4.4× 1014 photons cm2 and 2.5 kHz pulse repetition rate was applied. The obtained kinetics demonstrate a typical nonexponential character with intensity-dependent amplitudes and lifetimes. In time-resolved fluorescence experiments, low excitation pulse fluences of 1.6× 109 -2.2× 1012 photons cm2 at high repetition rates of 0.4, 0.8, 4, and 81 MHz lead to S-T exciton annihilation as a result of triplet exciton accumulation. S-T annihilation kinetics results in monoexponential decay of the fluorescence kinetics and manifests itself as a decrease of the singlet exciton lifetime. The calculated time-independent S-S and S-T exciton annihilation rates strongly support the conclusion that the processes are controlled by the interchain diffusion of singlet excitons. Despite the low efficiency of S-T annihilation compared to that of S-S annihilation, it has a substantial effect on the singlet exciton lifetime due to a relatively long triplet lifetime (60 μs). Thus, even optical excitation with low fluence at high pulse repetition rate creates a significant concentration of triplet states that efficiently quenches singlet excitons. © 2007 The American Physical Society.","author":[{"dropping-particle":"","family":"Zaushitsyn","given":"Yuri","non-dropping-particle":"","parse-names":false,"suffix":""},{"dropping-particle":"","family":"Jespersen","given":"Kim G.","non-dropping-particle":"","parse-names":false,"suffix":""},{"dropping-particle":"","family":"Valkunas","given":"Leonas","non-dropping-particle":"","parse-names":false,"suffix":""},{"dropping-particle":"","family":"Sundström","given":"Villy","non-dropping-particle":"","parse-names":false,"suffix":""},{"dropping-particle":"","family":"Yartsev","given":"Arkady","non-dropping-particle":"","parse-names":false,"suffix":""}],"container-title":"Physical Review B - Condensed Matter and Materials Physics","id":"ITEM-1","issue":"19","is</w:instrText>
      </w:r>
      <w:r w:rsidR="00536CD8">
        <w:rPr>
          <w:rFonts w:eastAsiaTheme="minorEastAsia" w:hint="eastAsia"/>
        </w:rPr>
        <w:instrText>sued":{"date-parts":[["2007","5","3"]]},"page":"195201","publisher":"American Physical Society","title":"Ultrafast dynamics of singlet-singlet and singlet-triplet exciton annihilation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octylphenyl)thiophene films","type":"article</w:instrText>
      </w:r>
      <w:r w:rsidR="00536CD8">
        <w:rPr>
          <w:rFonts w:eastAsiaTheme="minorEastAsia"/>
        </w:rPr>
        <w:instrText>-journal","volume":"75"},"uris":["http://www.mendeley.com/documents/?uuid=1bb76f0b-a7e3-3f2a-b412-da723155f5d4"]}],"mendeley":{"formattedCitation":"&lt;sup&gt;10&lt;/sup&gt;","plainTextFormattedCitation":"10","previouslyFormattedCitation":"&lt;sup&gt;10&lt;/sup&gt;"},"properties":{"noteIndex":0},"schema":"https://github.com/citation-style-language/schema/raw/master/csl-citation.json"}</w:instrText>
      </w:r>
      <w:r w:rsidRPr="00442F01">
        <w:rPr>
          <w:rFonts w:eastAsiaTheme="minorEastAsia"/>
        </w:rPr>
        <w:fldChar w:fldCharType="separate"/>
      </w:r>
      <w:r w:rsidR="0048676E" w:rsidRPr="0048676E">
        <w:rPr>
          <w:rFonts w:eastAsiaTheme="minorEastAsia"/>
          <w:noProof/>
          <w:vertAlign w:val="superscript"/>
        </w:rPr>
        <w:t>10</w:t>
      </w:r>
      <w:r w:rsidRPr="00442F01">
        <w:rPr>
          <w:rFonts w:eastAsiaTheme="minorEastAsia"/>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252A8A" w14:paraId="02A2C133" w14:textId="77777777" w:rsidTr="00BC0DAC">
        <w:tc>
          <w:tcPr>
            <w:tcW w:w="1129" w:type="dxa"/>
          </w:tcPr>
          <w:p w14:paraId="5F7E4CF7" w14:textId="77777777" w:rsidR="00252A8A" w:rsidRDefault="00252A8A" w:rsidP="0043483D">
            <w:pPr>
              <w:jc w:val="both"/>
              <w:rPr>
                <w:rFonts w:eastAsiaTheme="minorEastAsia"/>
              </w:rPr>
            </w:pPr>
          </w:p>
        </w:tc>
        <w:tc>
          <w:tcPr>
            <w:tcW w:w="6521" w:type="dxa"/>
          </w:tcPr>
          <w:p w14:paraId="0B5B7A79" w14:textId="36FC0958" w:rsidR="00252A8A" w:rsidRDefault="00152C10" w:rsidP="0043483D">
            <w:pPr>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dn(t)</m:t>
                    </m:r>
                  </m:num>
                  <m:den>
                    <m:r>
                      <w:rPr>
                        <w:rFonts w:ascii="Cambria Math" w:eastAsiaTheme="minorEastAsia" w:hAnsi="Cambria Math"/>
                      </w:rPr>
                      <m:t>dt</m:t>
                    </m:r>
                  </m:den>
                </m:f>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-k∙n</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STA</m:t>
                    </m:r>
                  </m:sub>
                </m:sSub>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∙n(t)</m:t>
                </m:r>
              </m:oMath>
            </m:oMathPara>
          </w:p>
        </w:tc>
        <w:tc>
          <w:tcPr>
            <w:tcW w:w="1366" w:type="dxa"/>
            <w:vAlign w:val="center"/>
          </w:tcPr>
          <w:p w14:paraId="4F762629" w14:textId="2E9C9A02" w:rsidR="00252A8A" w:rsidRPr="0043483D" w:rsidRDefault="0043483D" w:rsidP="00BC0DAC">
            <w:pPr>
              <w:pStyle w:val="Caption"/>
              <w:jc w:val="right"/>
            </w:pPr>
            <w:r>
              <w:t>(</w:t>
            </w:r>
            <w:r w:rsidR="00B7332D">
              <w:t>S</w:t>
            </w:r>
            <w:r w:rsidR="00152C10">
              <w:fldChar w:fldCharType="begin"/>
            </w:r>
            <w:r w:rsidR="00152C10">
              <w:instrText xml:space="preserve"> SEQ Equation \* ARABIC </w:instrText>
            </w:r>
            <w:r w:rsidR="00152C10">
              <w:fldChar w:fldCharType="separate"/>
            </w:r>
            <w:r w:rsidR="00730950">
              <w:rPr>
                <w:noProof/>
              </w:rPr>
              <w:t>8</w:t>
            </w:r>
            <w:r w:rsidR="00152C10">
              <w:rPr>
                <w:noProof/>
              </w:rPr>
              <w:fldChar w:fldCharType="end"/>
            </w:r>
            <w:r>
              <w:t>)</w:t>
            </w:r>
          </w:p>
        </w:tc>
      </w:tr>
    </w:tbl>
    <w:p w14:paraId="7BBEBDA5" w14:textId="77777777" w:rsidR="00252A8A" w:rsidRPr="00442F01" w:rsidRDefault="00252A8A" w:rsidP="00442F01">
      <w:pPr>
        <w:jc w:val="both"/>
        <w:rPr>
          <w:rFonts w:eastAsiaTheme="minorEastAsia"/>
        </w:rPr>
      </w:pPr>
    </w:p>
    <w:p w14:paraId="0C8B7130" w14:textId="64CA1106" w:rsidR="00442F01" w:rsidRPr="00442F01" w:rsidRDefault="00E83A3D" w:rsidP="00EF5320">
      <w:pPr>
        <w:spacing w:line="480" w:lineRule="auto"/>
        <w:jc w:val="both"/>
        <w:rPr>
          <w:rFonts w:eastAsiaTheme="minorEastAsia"/>
        </w:rPr>
      </w:pPr>
      <w:r w:rsidRPr="00442F01">
        <w:rPr>
          <w:rFonts w:eastAsiaTheme="minorEastAsia"/>
        </w:rPr>
        <w:t>w</w:t>
      </w:r>
      <w:r>
        <w:rPr>
          <w:rFonts w:eastAsiaTheme="minorEastAsia"/>
        </w:rPr>
        <w:t>here</w:t>
      </w:r>
      <w:r w:rsidRPr="00442F01">
        <w:rPr>
          <w:rFonts w:eastAsiaTheme="minorEastAsia"/>
        </w:rPr>
        <w:t xml:space="preserve">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t</m:t>
            </m:r>
          </m:e>
        </m:d>
      </m:oMath>
      <w:r w:rsidR="00442F01" w:rsidRPr="00442F01">
        <w:rPr>
          <w:rFonts w:eastAsiaTheme="minorEastAsia"/>
        </w:rPr>
        <w:t xml:space="preserve"> is the singlet exciton generation rate, </w:t>
      </w:r>
      <m:oMath>
        <m:r>
          <w:rPr>
            <w:rFonts w:ascii="Cambria Math" w:eastAsiaTheme="minorEastAsia" w:hAnsi="Cambria Math"/>
          </w:rPr>
          <m:t>k</m:t>
        </m:r>
      </m:oMath>
      <w:r w:rsidR="00442F01" w:rsidRPr="00442F01">
        <w:rPr>
          <w:rFonts w:eastAsiaTheme="minorEastAsia"/>
        </w:rPr>
        <w:t xml:space="preserve"> is the singlet exciton decay rate,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STA</m:t>
            </m:r>
          </m:sub>
        </m:sSub>
      </m:oMath>
      <w:r w:rsidR="00442F01" w:rsidRPr="00442F01">
        <w:rPr>
          <w:rFonts w:eastAsiaTheme="minorEastAsia"/>
        </w:rPr>
        <w:t xml:space="preserve"> </w:t>
      </w:r>
      <w:r w:rsidRPr="00442F01">
        <w:rPr>
          <w:rFonts w:eastAsiaTheme="minorEastAsia"/>
        </w:rPr>
        <w:t xml:space="preserve">is </w:t>
      </w:r>
      <w:r w:rsidR="00442F01" w:rsidRPr="00442F01">
        <w:rPr>
          <w:rFonts w:eastAsiaTheme="minorEastAsia"/>
        </w:rPr>
        <w:t xml:space="preserve">the STA rate constant and </w:t>
      </w:r>
      <w:r w:rsidR="00442F01" w:rsidRPr="00442F01">
        <w:rPr>
          <w:rFonts w:eastAsiaTheme="minorEastAsia"/>
          <w:i/>
          <w:iCs/>
        </w:rPr>
        <w:t>N(t)</w:t>
      </w:r>
      <w:r w:rsidR="00442F01" w:rsidRPr="00442F01">
        <w:rPr>
          <w:rFonts w:eastAsiaTheme="minorEastAsia"/>
        </w:rPr>
        <w:t xml:space="preserve"> </w:t>
      </w:r>
      <w:r w:rsidRPr="00442F01">
        <w:rPr>
          <w:rFonts w:eastAsiaTheme="minorEastAsia"/>
        </w:rPr>
        <w:t xml:space="preserve">is </w:t>
      </w:r>
      <w:r w:rsidR="00442F01" w:rsidRPr="00442F01">
        <w:rPr>
          <w:rFonts w:eastAsiaTheme="minorEastAsia"/>
        </w:rPr>
        <w:t xml:space="preserve">the triplet exciton concentration. The corresponding triplet population </w:t>
      </w:r>
      <w:r w:rsidR="00442F01" w:rsidRPr="00442F01">
        <w:rPr>
          <w:rFonts w:eastAsiaTheme="minorEastAsia"/>
          <w:i/>
          <w:iCs/>
        </w:rPr>
        <w:t>N(t)</w:t>
      </w:r>
      <w:r w:rsidR="00442F01" w:rsidRPr="00442F01">
        <w:rPr>
          <w:rFonts w:eastAsiaTheme="minorEastAsia"/>
        </w:rPr>
        <w:t xml:space="preserve"> over time can be expressed as:</w:t>
      </w:r>
      <w:r w:rsidR="00442F01" w:rsidRPr="00442F01">
        <w:rPr>
          <w:rFonts w:eastAsiaTheme="minorEastAsia"/>
        </w:rPr>
        <w:fldChar w:fldCharType="begin" w:fldLock="1"/>
      </w:r>
      <w:r w:rsidR="00536CD8">
        <w:rPr>
          <w:rFonts w:eastAsiaTheme="minorEastAsia" w:hint="eastAsia"/>
        </w:rPr>
        <w:instrText>ADDIN CSL_CITATION {"citationItems":[{"id":"ITEM-1","itemData":{"DOI":"10.1103/PhysRevB.75.195201","ISSN":"10980121","abstract":"Singlet-singlet (S-S) and singlet-triplet (S-T) exciton annihilation was studied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w:instrText>
      </w:r>
      <w:r w:rsidR="00536CD8">
        <w:rPr>
          <w:rFonts w:eastAsiaTheme="minorEastAsia"/>
        </w:rPr>
        <w:instrText>ene films. For the S-S exciton annihilation studies, transient absorption spectroscopy at excitation laser pulse fluences of 1.2× 1013 -4.4× 1014 photons cm2 and 2.5 kHz pulse repetition rate was applied. The obtained kinetics demonstrate a typical nonexponential character with intensity-dependent amplitudes and lifetimes. In time-resolved fluorescence experiments, low excitation pulse fluences of 1.6× 109 -2.2× 1012 photons cm2 at high repetition rates of 0.4, 0.8, 4, and 81 MHz lead to S-T exciton annihilation as a result of triplet exciton accumulation. S-T annihilation kinetics results in monoexponential decay of the fluorescence kinetics and manifests itself as a decrease of the singlet exciton lifetime. The calculated time-independent S-S and S-T exciton annihilation rates strongly support the conclusion that the processes are controlled by the interchain diffusion of singlet excitons. Despite the low efficiency of S-T annihilation compared to that of S-S annihilation, it has a substantial effect on the singlet exciton lifetime due to a relatively long triplet lifetime (60 μs). Thus, even optical excitation with low fluence at high pulse repetition rate creates a significant concentration of triplet states that efficiently quenches singlet excitons. © 2007 The American Physical Society.","author":[{"dropping-particle":"","family":"Zaushitsyn","given":"Yuri","non-dropping-particle":"","parse-names":false,"suffix":""},{"dropping-particle":"","family":"Jespersen","given":"Kim G.","non-dropping-particle":"","parse-names":false,"suffix":""},{"dropping-particle":"","family":"Valkunas","given":"Leonas","non-dropping-particle":"","parse-names":false,"suffix":""},{"dropping-particle":"","family":"Sundström","given":"Villy","non-dropping-particle":"","parse-names":false,"suffix":""},{"dropping-particle":"","family":"Yartsev","given":"Arkady","non-dropping-particle":"","parse-names":false,"suffix":""}],"container-title":"Physical Review B - Condensed Matter and Materials Physics","id":"ITEM-1","issue":"19","is</w:instrText>
      </w:r>
      <w:r w:rsidR="00536CD8">
        <w:rPr>
          <w:rFonts w:eastAsiaTheme="minorEastAsia" w:hint="eastAsia"/>
        </w:rPr>
        <w:instrText>sued":{"date-parts":[["2007","5","3"]]},"page":"195201","publisher":"American Physical Society","title":"Ultrafast dynamics of singlet-singlet and singlet-triplet exciton annihilation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octylphenyl)thiophene films","type":"article</w:instrText>
      </w:r>
      <w:r w:rsidR="00536CD8">
        <w:rPr>
          <w:rFonts w:eastAsiaTheme="minorEastAsia"/>
        </w:rPr>
        <w:instrText>-journal","volume":"75"},"uris":["http://www.mendeley.com/documents/?uuid=1bb76f0b-a7e3-3f2a-b412-da723155f5d4"]}],"mendeley":{"formattedCitation":"&lt;sup&gt;10&lt;/sup&gt;","plainTextFormattedCitation":"10","previouslyFormattedCitation":"&lt;sup&gt;10&lt;/sup&gt;"},"properties":{"noteIndex":0},"schema":"https://github.com/citation-style-language/schema/raw/master/csl-citation.json"}</w:instrText>
      </w:r>
      <w:r w:rsidR="00442F01" w:rsidRPr="00442F01">
        <w:rPr>
          <w:rFonts w:eastAsiaTheme="minorEastAsia"/>
        </w:rPr>
        <w:fldChar w:fldCharType="separate"/>
      </w:r>
      <w:r w:rsidR="0048676E" w:rsidRPr="0048676E">
        <w:rPr>
          <w:rFonts w:eastAsiaTheme="minorEastAsia"/>
          <w:noProof/>
          <w:vertAlign w:val="superscript"/>
        </w:rPr>
        <w:t>10</w:t>
      </w:r>
      <w:r w:rsidR="00442F01" w:rsidRPr="00442F01">
        <w:rPr>
          <w:rFonts w:eastAsiaTheme="minorEastAsia"/>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252A8A" w14:paraId="0F27908B" w14:textId="77777777" w:rsidTr="00BC0DAC">
        <w:tc>
          <w:tcPr>
            <w:tcW w:w="1129" w:type="dxa"/>
          </w:tcPr>
          <w:p w14:paraId="21B92525" w14:textId="77777777" w:rsidR="00252A8A" w:rsidRDefault="00252A8A" w:rsidP="0016750E">
            <w:pPr>
              <w:jc w:val="both"/>
              <w:rPr>
                <w:rFonts w:eastAsiaTheme="minorEastAsia"/>
              </w:rPr>
            </w:pPr>
          </w:p>
        </w:tc>
        <w:tc>
          <w:tcPr>
            <w:tcW w:w="6521" w:type="dxa"/>
          </w:tcPr>
          <w:p w14:paraId="56D2C92B" w14:textId="33E9E477" w:rsidR="00252A8A" w:rsidRDefault="00152C10" w:rsidP="0016750E">
            <w:pPr>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dN(t)</m:t>
                    </m:r>
                  </m:num>
                  <m:den>
                    <m:r>
                      <w:rPr>
                        <w:rFonts w:ascii="Cambria Math" w:eastAsiaTheme="minorEastAsia" w:hAnsi="Cambria Math"/>
                      </w:rPr>
                      <m:t>dt</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ISC</m:t>
                    </m:r>
                  </m:sub>
                </m:sSub>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oMath>
            </m:oMathPara>
          </w:p>
        </w:tc>
        <w:tc>
          <w:tcPr>
            <w:tcW w:w="1366" w:type="dxa"/>
            <w:vAlign w:val="center"/>
          </w:tcPr>
          <w:p w14:paraId="6F7C5075" w14:textId="798AB339" w:rsidR="00252A8A" w:rsidRPr="00BC0DAC" w:rsidRDefault="00BC0DAC" w:rsidP="00BC0DAC">
            <w:pPr>
              <w:pStyle w:val="Caption"/>
              <w:jc w:val="right"/>
            </w:pPr>
            <w:r>
              <w:t>(</w:t>
            </w:r>
            <w:r w:rsidR="00B7332D">
              <w:t>S</w:t>
            </w:r>
            <w:r w:rsidR="00152C10">
              <w:fldChar w:fldCharType="begin"/>
            </w:r>
            <w:r w:rsidR="00152C10">
              <w:instrText xml:space="preserve"> SEQ Equation \* ARABIC </w:instrText>
            </w:r>
            <w:r w:rsidR="00152C10">
              <w:fldChar w:fldCharType="separate"/>
            </w:r>
            <w:r w:rsidR="00AA5245">
              <w:rPr>
                <w:noProof/>
              </w:rPr>
              <w:t>9</w:t>
            </w:r>
            <w:r w:rsidR="00152C10">
              <w:rPr>
                <w:noProof/>
              </w:rPr>
              <w:fldChar w:fldCharType="end"/>
            </w:r>
            <w:r>
              <w:t>)</w:t>
            </w:r>
          </w:p>
        </w:tc>
      </w:tr>
    </w:tbl>
    <w:p w14:paraId="08A44A0A" w14:textId="77777777" w:rsidR="00252A8A" w:rsidRPr="00442F01" w:rsidRDefault="00252A8A" w:rsidP="00442F01">
      <w:pPr>
        <w:jc w:val="both"/>
        <w:rPr>
          <w:rFonts w:eastAsiaTheme="minorEastAsia"/>
        </w:rPr>
      </w:pPr>
    </w:p>
    <w:p w14:paraId="66BA1921" w14:textId="31E03D61" w:rsidR="00442F01" w:rsidRPr="00252A8A" w:rsidRDefault="00E83A3D" w:rsidP="00EF5320">
      <w:pPr>
        <w:spacing w:line="480" w:lineRule="auto"/>
        <w:jc w:val="both"/>
        <w:rPr>
          <w:rFonts w:eastAsiaTheme="minorEastAsia"/>
        </w:rPr>
      </w:pPr>
      <w:r>
        <w:rPr>
          <w:rFonts w:eastAsiaTheme="minorEastAsia"/>
        </w:rPr>
        <w:t>where</w:t>
      </w:r>
      <w:r w:rsidRPr="00442F0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oMath>
      <w:r w:rsidR="00442F01" w:rsidRPr="00442F01">
        <w:rPr>
          <w:rFonts w:eastAsiaTheme="minorEastAsia"/>
        </w:rPr>
        <w:t xml:space="preserve"> </w:t>
      </w:r>
      <w:r w:rsidRPr="00442F01">
        <w:rPr>
          <w:rFonts w:eastAsiaTheme="minorEastAsia"/>
        </w:rPr>
        <w:t xml:space="preserve">is </w:t>
      </w:r>
      <w:r w:rsidR="00442F01" w:rsidRPr="00442F01">
        <w:rPr>
          <w:rFonts w:eastAsiaTheme="minorEastAsia"/>
        </w:rPr>
        <w:t>the triplet exciton decay rate</w:t>
      </w:r>
      <w:r w:rsidR="001006CC">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ISC</m:t>
            </m:r>
          </m:sub>
        </m:sSub>
        <m:r>
          <w:rPr>
            <w:rFonts w:ascii="Cambria Math" w:eastAsiaTheme="minorEastAsia" w:hAnsi="Cambria Math"/>
          </w:rPr>
          <m:t xml:space="preserve"> </m:t>
        </m:r>
        <m:r>
          <m:rPr>
            <m:sty m:val="p"/>
          </m:rPr>
          <w:rPr>
            <w:rFonts w:ascii="Cambria Math" w:eastAsiaTheme="minorEastAsia" w:hAnsi="Cambria Math"/>
          </w:rPr>
          <m:t xml:space="preserve">is </m:t>
        </m:r>
      </m:oMath>
      <w:r w:rsidR="001006CC" w:rsidRPr="00442F01">
        <w:rPr>
          <w:rFonts w:eastAsiaTheme="minorEastAsia"/>
        </w:rPr>
        <w:t>the intersystem crossing rate constant</w:t>
      </w:r>
      <w:r w:rsidR="00442F01" w:rsidRPr="00442F01">
        <w:rPr>
          <w:rFonts w:eastAsiaTheme="minorEastAsia"/>
        </w:rPr>
        <w:t xml:space="preserve">. Since the singlet lifetime </w:t>
      </w:r>
      <m:oMath>
        <m:r>
          <w:rPr>
            <w:rFonts w:ascii="Cambria Math" w:eastAsiaTheme="minorEastAsia" w:hAnsi="Cambria Math"/>
          </w:rPr>
          <m:t>k</m:t>
        </m:r>
      </m:oMath>
      <w:r w:rsidR="00442F01" w:rsidRPr="00442F01">
        <w:rPr>
          <w:rFonts w:eastAsiaTheme="minorEastAsia"/>
        </w:rPr>
        <w:t xml:space="preserve"> is several orders of magnitude shorter </w:t>
      </w:r>
      <w:r>
        <w:rPr>
          <w:rFonts w:eastAsiaTheme="minorEastAsia"/>
        </w:rPr>
        <w:t>than</w:t>
      </w:r>
      <w:r w:rsidR="00442F01" w:rsidRPr="00442F01">
        <w:rPr>
          <w:rFonts w:eastAsiaTheme="minorEastAsia"/>
        </w:rPr>
        <w:t xml:space="preserve"> the triplet state lifetime, which is in the order of microseconds, the change of the triplet state concentration between two laser pulses is negligibly small compared to the accumulated triplet population. </w:t>
      </w:r>
      <w:r w:rsidR="005F048D">
        <w:rPr>
          <w:rFonts w:eastAsiaTheme="minorEastAsia"/>
        </w:rPr>
        <w:t>Hence</w:t>
      </w:r>
      <w:r w:rsidR="00442F01" w:rsidRPr="00442F01">
        <w:rPr>
          <w:rFonts w:eastAsiaTheme="minorEastAsia"/>
        </w:rPr>
        <w:t xml:space="preserve">, we can replace </w:t>
      </w:r>
      <m:oMath>
        <m:r>
          <w:rPr>
            <w:rFonts w:ascii="Cambria Math" w:eastAsiaTheme="minorEastAsia" w:hAnsi="Cambria Math"/>
          </w:rPr>
          <m:t>N(t)</m:t>
        </m:r>
      </m:oMath>
      <w:r w:rsidR="00442F01" w:rsidRPr="00442F01">
        <w:rPr>
          <w:rFonts w:eastAsiaTheme="minorEastAsia"/>
        </w:rPr>
        <w:t xml:space="preserve"> by its stationary population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oMath>
      <w:r w:rsidR="00442F01" w:rsidRPr="00442F01">
        <w:rPr>
          <w:rFonts w:eastAsiaTheme="minorEastAsia"/>
        </w:rPr>
        <w:t xml:space="preserve"> and the singlet exciton population can be described with a simple single exponential </w:t>
      </w:r>
      <w:r>
        <w:rPr>
          <w:rFonts w:eastAsiaTheme="minorEastAsia"/>
        </w:rPr>
        <w:t>using</w:t>
      </w:r>
      <w:r w:rsidR="00442F01">
        <w:rPr>
          <w:rFonts w:eastAsiaTheme="minorEastAsia"/>
        </w:rPr>
        <w:t>:</w:t>
      </w:r>
      <w:r w:rsidR="00442F01" w:rsidRPr="00442F01">
        <w:rPr>
          <w:rFonts w:eastAsiaTheme="minorEastAsia"/>
        </w:rPr>
        <w:fldChar w:fldCharType="begin" w:fldLock="1"/>
      </w:r>
      <w:r w:rsidR="00536CD8">
        <w:rPr>
          <w:rFonts w:eastAsiaTheme="minorEastAsia" w:hint="eastAsia"/>
        </w:rPr>
        <w:instrText>ADDIN CSL_CITATION {"citationItems":[{"id":"ITEM-1","itemData":{"DOI":"10.1103/PhysRevB.75.195201","ISSN":"10980121","abstract":"Singlet-singlet (S-S) and singlet-triplet (S-T) exciton annihilation was studied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w:instrText>
      </w:r>
      <w:r w:rsidR="00536CD8">
        <w:rPr>
          <w:rFonts w:eastAsiaTheme="minorEastAsia"/>
        </w:rPr>
        <w:instrText>ene films. For the S-S exciton annihilation studies, transient absorption spectroscopy at excitation laser pulse fluences of 1.2× 1013 -4.4× 1014 photons cm2 and 2.5 kHz pulse repetition rate was applied. The obtained kinetics demonstrate a typical nonexponential character with intensity-dependent amplitudes and lifetimes. In time-resolved fluorescence experiments, low excitation pulse fluences of 1.6× 109 -2.2× 1012 photons cm2 at high repetition rates of 0.4, 0.8, 4, and 81 MHz lead to S-T exciton annihilation as a result of triplet exciton accumulation. S-T annihilation kinetics results in monoexponential decay of the fluorescence kinetics and manifests itself as a decrease of the singlet exciton lifetime. The calculated time-independent S-S and S-T exciton annihilation rates strongly support the conclusion that the processes are controlled by the interchain diffusion of singlet excitons. Despite the low efficiency of S-T annihilation compared to that of S-S annihilation, it has a substantial effect on the singlet exciton lifetime due to a relatively long triplet lifetime (60 μs). Thus, even optical excitation with low fluence at high pulse repetition rate creates a significant concentration of triplet states that efficiently quenches singlet excitons. © 2007 The American Physical Society.","author":[{"dropping-particle":"","family":"Zaushitsyn","given":"Yuri","non-dropping-particle":"","parse-names":false,"suffix":""},{"dropping-particle":"","family":"Jespersen","given":"Kim G.","non-dropping-particle":"","parse-names":false,"suffix":""},{"dropping-particle":"","family":"Valkunas","given":"Leonas","non-dropping-particle":"","parse-names":false,"suffix":""},{"dropping-particle":"","family":"Sundström","given":"Villy","non-dropping-particle":"","parse-names":false,"suffix":""},{"dropping-particle":"","family":"Yartsev","given":"Arkady","non-dropping-particle":"","parse-names":false,"suffix":""}],"container-title":"Physical Review B - Condensed Matter and Materials Physics","id":"ITEM-1","issue":"19","is</w:instrText>
      </w:r>
      <w:r w:rsidR="00536CD8">
        <w:rPr>
          <w:rFonts w:eastAsiaTheme="minorEastAsia" w:hint="eastAsia"/>
        </w:rPr>
        <w:instrText>sued":{"date-parts":[["2007","5","3"]]},"page":"195201","publisher":"American Physical Society","title":"Ultrafast dynamics of singlet-singlet and singlet-triplet exciton annihilation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octylphenyl)thiophene films","type":"article</w:instrText>
      </w:r>
      <w:r w:rsidR="00536CD8">
        <w:rPr>
          <w:rFonts w:eastAsiaTheme="minorEastAsia"/>
        </w:rPr>
        <w:instrText>-journal","volume":"75"},"uris":["http://www.mendeley.com/documents/?uuid=1bb76f0b-a7e3-3f2a-b412-da723155f5d4"]}],"mendeley":{"formattedCitation":"&lt;sup&gt;10&lt;/sup&gt;","plainTextFormattedCitation":"10","previouslyFormattedCitation":"&lt;sup&gt;10&lt;/sup&gt;"},"properties":{"noteIndex":0},"schema":"https://github.com/citation-style-language/schema/raw/master/csl-citation.json"}</w:instrText>
      </w:r>
      <w:r w:rsidR="00442F01" w:rsidRPr="00442F01">
        <w:rPr>
          <w:rFonts w:eastAsiaTheme="minorEastAsia"/>
        </w:rPr>
        <w:fldChar w:fldCharType="separate"/>
      </w:r>
      <w:r w:rsidR="0048676E" w:rsidRPr="0048676E">
        <w:rPr>
          <w:rFonts w:eastAsiaTheme="minorEastAsia"/>
          <w:noProof/>
          <w:vertAlign w:val="superscript"/>
        </w:rPr>
        <w:t>10</w:t>
      </w:r>
      <w:r w:rsidR="00442F01" w:rsidRPr="00442F01">
        <w:rPr>
          <w:rFonts w:eastAsiaTheme="minorEastAsia"/>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252A8A" w14:paraId="433B1BCE" w14:textId="77777777" w:rsidTr="00BC0DAC">
        <w:tc>
          <w:tcPr>
            <w:tcW w:w="1129" w:type="dxa"/>
          </w:tcPr>
          <w:p w14:paraId="70F60B6E" w14:textId="77777777" w:rsidR="00252A8A" w:rsidRDefault="00252A8A" w:rsidP="0043483D">
            <w:pPr>
              <w:jc w:val="both"/>
              <w:rPr>
                <w:rFonts w:eastAsiaTheme="minorEastAsia"/>
              </w:rPr>
            </w:pPr>
          </w:p>
        </w:tc>
        <w:tc>
          <w:tcPr>
            <w:tcW w:w="6521" w:type="dxa"/>
          </w:tcPr>
          <w:p w14:paraId="2A21673C" w14:textId="25000522" w:rsidR="00252A8A" w:rsidRDefault="00BC0DAC" w:rsidP="0043483D">
            <w:pPr>
              <w:jc w:val="both"/>
              <w:rPr>
                <w:rFonts w:eastAsiaTheme="minorEastAsia"/>
              </w:rPr>
            </w:pPr>
            <m:oMathPara>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STA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e>
                    </m:d>
                    <m:r>
                      <w:rPr>
                        <w:rFonts w:ascii="Cambria Math" w:eastAsiaTheme="minorEastAsia" w:hAnsi="Cambria Math"/>
                      </w:rPr>
                      <m:t>t</m:t>
                    </m:r>
                  </m:sup>
                </m:sSup>
              </m:oMath>
            </m:oMathPara>
          </w:p>
        </w:tc>
        <w:tc>
          <w:tcPr>
            <w:tcW w:w="1366" w:type="dxa"/>
          </w:tcPr>
          <w:p w14:paraId="5E822E67" w14:textId="7448682F" w:rsidR="00252A8A" w:rsidRPr="00BC0DAC" w:rsidRDefault="00BC0DAC" w:rsidP="00BC0DAC">
            <w:pPr>
              <w:pStyle w:val="Caption"/>
              <w:jc w:val="right"/>
            </w:pPr>
            <w:bookmarkStart w:id="16" w:name="_Ref77020418"/>
            <w:r>
              <w:t>(</w:t>
            </w:r>
            <w:r w:rsidR="00B7332D">
              <w:t>S</w:t>
            </w:r>
            <w:r w:rsidR="00152C10">
              <w:fldChar w:fldCharType="begin"/>
            </w:r>
            <w:r w:rsidR="00152C10">
              <w:instrText xml:space="preserve"> SEQ Equation \* ARABIC </w:instrText>
            </w:r>
            <w:r w:rsidR="00152C10">
              <w:fldChar w:fldCharType="separate"/>
            </w:r>
            <w:r w:rsidR="00AA5245">
              <w:rPr>
                <w:noProof/>
              </w:rPr>
              <w:t>10</w:t>
            </w:r>
            <w:r w:rsidR="00152C10">
              <w:rPr>
                <w:noProof/>
              </w:rPr>
              <w:fldChar w:fldCharType="end"/>
            </w:r>
            <w:bookmarkEnd w:id="16"/>
            <w:r>
              <w:t>)</w:t>
            </w:r>
          </w:p>
        </w:tc>
      </w:tr>
    </w:tbl>
    <w:p w14:paraId="55DBEBE8" w14:textId="77777777" w:rsidR="00252A8A" w:rsidRPr="00442F01" w:rsidRDefault="00252A8A" w:rsidP="00442F01">
      <w:pPr>
        <w:jc w:val="both"/>
        <w:rPr>
          <w:rFonts w:eastAsiaTheme="minorEastAsia"/>
        </w:rPr>
      </w:pPr>
    </w:p>
    <w:p w14:paraId="0C630000" w14:textId="567B2A1C" w:rsidR="00442F01" w:rsidRPr="00442F01" w:rsidRDefault="00442F01" w:rsidP="00EF5320">
      <w:pPr>
        <w:spacing w:line="480" w:lineRule="auto"/>
        <w:jc w:val="both"/>
        <w:rPr>
          <w:rFonts w:eastAsiaTheme="minorEastAsia"/>
        </w:rPr>
      </w:pPr>
      <w:r w:rsidRPr="00442F01">
        <w:rPr>
          <w:rFonts w:eastAsiaTheme="minorEastAsia"/>
        </w:rPr>
        <w:t>This shows that the accumulation of singlet state quenchers (triplet states) only accelerates the annihilation dynamics compared to completely relaxed ground state conditions</w:t>
      </w:r>
      <w:r w:rsidR="00E83A3D">
        <w:rPr>
          <w:rFonts w:eastAsiaTheme="minorEastAsia"/>
        </w:rPr>
        <w:t>,</w:t>
      </w:r>
      <w:r w:rsidRPr="00442F01">
        <w:rPr>
          <w:rFonts w:eastAsiaTheme="minorEastAsia"/>
        </w:rPr>
        <w:t xml:space="preserve"> and the accumulated triplet concentration</w:t>
      </w:r>
      <w:r w:rsidR="00EE2CB5">
        <w:rPr>
          <w:rFonts w:eastAsiaTheme="minorEastAsia"/>
        </w:rPr>
        <w:t xml:space="preserve"> after several pulses</w:t>
      </w:r>
      <w:r w:rsidRPr="00442F01">
        <w:rPr>
          <w:rFonts w:eastAsiaTheme="minorEastAsia"/>
        </w:rPr>
        <w:t xml:space="preserve"> can be described by</w:t>
      </w:r>
      <w:r w:rsidR="00536CD8">
        <w:rPr>
          <w:rFonts w:eastAsiaTheme="minorEastAsia"/>
        </w:rPr>
        <w:t>:</w:t>
      </w:r>
      <w:r w:rsidR="005F048D" w:rsidRPr="00442F01">
        <w:rPr>
          <w:rFonts w:eastAsiaTheme="minorEastAsia"/>
        </w:rPr>
        <w:fldChar w:fldCharType="begin" w:fldLock="1"/>
      </w:r>
      <w:r w:rsidR="00536CD8">
        <w:rPr>
          <w:rFonts w:eastAsiaTheme="minorEastAsia" w:hint="eastAsia"/>
        </w:rPr>
        <w:instrText>ADDIN CSL_CITATION {"citationItems":[{"id":"ITEM-1","itemData":{"DOI":"10.1103/PhysRevB.75.195201","ISSN":"10980121","abstract":"Singlet-singlet (S-S) and singlet-triplet (S-T) exciton annihilation was studied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w:instrText>
      </w:r>
      <w:r w:rsidR="00536CD8">
        <w:rPr>
          <w:rFonts w:eastAsiaTheme="minorEastAsia"/>
        </w:rPr>
        <w:instrText>ene films. For the S-S exciton annihilation studies, transient absorption spectroscopy at excitation laser pulse fluences of 1.2× 1013 -4.4× 1014 photons cm2 and 2.5 kHz pulse repetition rate was applied. The obtained kinetics demonstrate a typical nonexponential character with intensity-dependent amplitudes and lifetimes. In time-resolved fluorescence experiments, low excitation pulse fluences of 1.6× 109 -2.2× 1012 photons cm2 at high repetition rates of 0.4, 0.8, 4, and 81 MHz lead to S-T exciton annihilation as a result of triplet exciton accumulation. S-T annihilation kinetics results in monoexponential decay of the fluorescence kinetics and manifests itself as a decrease of the singlet exciton lifetime. The calculated time-independent S-S and S-T exciton annihilation rates strongly support the conclusion that the processes are controlled by the interchain diffusion of singlet excitons. Despite the low efficiency of S-T annihilation compared to that of S-S annihilation, it has a substantial effect on the singlet exciton lifetime due to a relatively long triplet lifetime (60 μs). Thus, even optical excitation with low fluence at high pulse repetition rate creates a significant concentration of triplet states that efficiently quenches singlet excitons. © 2007 The American Physical Society.","author":[{"dropping-particle":"","family":"Zaushitsyn","given":"Yuri","non-dropping-particle":"","parse-names":false,"suffix":""},{"dropping-particle":"","family":"Jespersen","given":"Kim G.","non-dropping-particle":"","parse-names":false,"suffix":""},{"dropping-particle":"","family":"Valkunas","given":"Leonas","non-dropping-particle":"","parse-names":false,"suffix":""},{"dropping-particle":"","family":"Sundström","given":"Villy","non-dropping-particle":"","parse-names":false,"suffix":""},{"dropping-particle":"","family":"Yartsev","given":"Arkady","non-dropping-particle":"","parse-names":false,"suffix":""}],"container-title":"Physical Review B - Condensed Matter and Materials Physics","id":"ITEM-1","issue":"19","is</w:instrText>
      </w:r>
      <w:r w:rsidR="00536CD8">
        <w:rPr>
          <w:rFonts w:eastAsiaTheme="minorEastAsia" w:hint="eastAsia"/>
        </w:rPr>
        <w:instrText>sued":{"date-parts":[["2007","5","3"]]},"page":"195201","publisher":"American Physical Society","title":"Ultrafast dynamics of singlet-singlet and singlet-triplet exciton annihilation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octylphenyl)thiophene films","type":"article</w:instrText>
      </w:r>
      <w:r w:rsidR="00536CD8">
        <w:rPr>
          <w:rFonts w:eastAsiaTheme="minorEastAsia"/>
        </w:rPr>
        <w:instrText>-journal","volume":"75"},"uris":["http://www.mendeley.com/documents/?uuid=1bb76f0b-a7e3-3f2a-b412-da723155f5d4"]}],"mendeley":{"formattedCitation":"&lt;sup&gt;10&lt;/sup&gt;","plainTextFormattedCitation":"10","previouslyFormattedCitation":"&lt;sup&gt;10&lt;/sup&gt;"},"properties":{"noteIndex":0},"schema":"https://github.com/citation-style-language/schema/raw/master/csl-citation.json"}</w:instrText>
      </w:r>
      <w:r w:rsidR="005F048D" w:rsidRPr="00442F01">
        <w:rPr>
          <w:rFonts w:eastAsiaTheme="minorEastAsia"/>
        </w:rPr>
        <w:fldChar w:fldCharType="separate"/>
      </w:r>
      <w:r w:rsidR="0048676E" w:rsidRPr="0048676E">
        <w:rPr>
          <w:rFonts w:eastAsiaTheme="minorEastAsia"/>
          <w:noProof/>
          <w:vertAlign w:val="superscript"/>
        </w:rPr>
        <w:t>10</w:t>
      </w:r>
      <w:r w:rsidR="005F048D" w:rsidRPr="00442F01">
        <w:rPr>
          <w:rFonts w:eastAsiaTheme="minorEastAsia"/>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252A8A" w14:paraId="24747C96" w14:textId="77777777" w:rsidTr="00B4591F">
        <w:tc>
          <w:tcPr>
            <w:tcW w:w="1129" w:type="dxa"/>
          </w:tcPr>
          <w:p w14:paraId="052169D9" w14:textId="77777777" w:rsidR="00252A8A" w:rsidRDefault="00252A8A" w:rsidP="0043483D">
            <w:pPr>
              <w:jc w:val="both"/>
              <w:rPr>
                <w:rFonts w:eastAsiaTheme="minorEastAsia"/>
              </w:rPr>
            </w:pPr>
          </w:p>
        </w:tc>
        <w:tc>
          <w:tcPr>
            <w:tcW w:w="6521" w:type="dxa"/>
          </w:tcPr>
          <w:p w14:paraId="6DE65AD5" w14:textId="0CD1B99A" w:rsidR="00252A8A" w:rsidRDefault="00152C10" w:rsidP="0043483D">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ISC</m:t>
                        </m:r>
                      </m:sub>
                    </m:sSub>
                  </m:num>
                  <m:den>
                    <m:r>
                      <w:rPr>
                        <w:rFonts w:ascii="Cambria Math" w:eastAsiaTheme="minorEastAsia" w:hAnsi="Cambria Math"/>
                      </w:rPr>
                      <m:t>k+</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STA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den>
                </m:f>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r>
                      <w:rPr>
                        <w:rFonts w:ascii="Cambria Math" w:eastAsiaTheme="minorEastAsia" w:hAnsi="Cambria Math"/>
                      </w:rPr>
                      <m:t>∙R</m:t>
                    </m:r>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ST</m:t>
                    </m:r>
                  </m:sub>
                </m:sSub>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r>
                      <w:rPr>
                        <w:rFonts w:ascii="Cambria Math" w:eastAsiaTheme="minorEastAsia" w:hAnsi="Cambria Math"/>
                      </w:rPr>
                      <m:t>∙R</m:t>
                    </m:r>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m:t>
                        </m:r>
                      </m:sub>
                    </m:sSub>
                  </m:den>
                </m:f>
              </m:oMath>
            </m:oMathPara>
          </w:p>
        </w:tc>
        <w:tc>
          <w:tcPr>
            <w:tcW w:w="1366" w:type="dxa"/>
            <w:vAlign w:val="center"/>
          </w:tcPr>
          <w:p w14:paraId="393795A4" w14:textId="2938FEA7" w:rsidR="00252A8A" w:rsidRPr="00B4591F" w:rsidRDefault="00B4591F" w:rsidP="00B4591F">
            <w:pPr>
              <w:pStyle w:val="Caption"/>
              <w:jc w:val="right"/>
            </w:pPr>
            <w:bookmarkStart w:id="17" w:name="_Ref97033403"/>
            <w:r>
              <w:t>(</w:t>
            </w:r>
            <w:r w:rsidR="00B7332D">
              <w:t>S</w:t>
            </w:r>
            <w:r w:rsidR="00152C10">
              <w:fldChar w:fldCharType="begin"/>
            </w:r>
            <w:r w:rsidR="00152C10">
              <w:instrText xml:space="preserve"> SEQ Equation \* ARABIC </w:instrText>
            </w:r>
            <w:r w:rsidR="00152C10">
              <w:fldChar w:fldCharType="separate"/>
            </w:r>
            <w:r w:rsidR="00AA5245">
              <w:rPr>
                <w:noProof/>
              </w:rPr>
              <w:t>11</w:t>
            </w:r>
            <w:r w:rsidR="00152C10">
              <w:rPr>
                <w:noProof/>
              </w:rPr>
              <w:fldChar w:fldCharType="end"/>
            </w:r>
            <w:r>
              <w:t>)</w:t>
            </w:r>
            <w:bookmarkEnd w:id="17"/>
          </w:p>
        </w:tc>
      </w:tr>
    </w:tbl>
    <w:p w14:paraId="3978DB44" w14:textId="77777777" w:rsidR="00252A8A" w:rsidRPr="00442F01" w:rsidRDefault="00252A8A" w:rsidP="00442F01">
      <w:pPr>
        <w:jc w:val="both"/>
        <w:rPr>
          <w:rFonts w:eastAsiaTheme="minorEastAsia"/>
        </w:rPr>
      </w:pPr>
    </w:p>
    <w:p w14:paraId="37CFF934" w14:textId="6B46FC4F" w:rsidR="00442F01" w:rsidRPr="00252A8A" w:rsidRDefault="00442F01" w:rsidP="00EF5320">
      <w:pPr>
        <w:spacing w:line="480" w:lineRule="auto"/>
        <w:jc w:val="both"/>
        <w:rPr>
          <w:rFonts w:eastAsiaTheme="minorEastAsia"/>
        </w:rPr>
      </w:pPr>
      <w:r w:rsidRPr="00442F01">
        <w:rPr>
          <w:rFonts w:eastAsiaTheme="minorEastAsia"/>
        </w:rPr>
        <w:t xml:space="preserve">where </w:t>
      </w:r>
      <m:oMath>
        <m:r>
          <w:rPr>
            <w:rFonts w:ascii="Cambria Math" w:eastAsiaTheme="minorEastAsia" w:hAnsi="Cambria Math"/>
          </w:rPr>
          <m:t>R</m:t>
        </m:r>
        <m:r>
          <m:rPr>
            <m:sty m:val="p"/>
          </m:rPr>
          <w:rPr>
            <w:rFonts w:ascii="Cambria Math" w:eastAsiaTheme="minorEastAsia" w:hAnsi="Cambria Math"/>
          </w:rPr>
          <m:t xml:space="preserve"> </m:t>
        </m:r>
      </m:oMath>
      <w:r w:rsidRPr="00442F01">
        <w:rPr>
          <w:rFonts w:eastAsiaTheme="minorEastAsia"/>
        </w:rPr>
        <w:t xml:space="preserve">is the </w:t>
      </w:r>
      <w:r w:rsidR="00B54BFB">
        <w:rPr>
          <w:rFonts w:eastAsiaTheme="minorEastAsia"/>
        </w:rPr>
        <w:t>laser</w:t>
      </w:r>
      <w:r w:rsidRPr="00442F01">
        <w:rPr>
          <w:rFonts w:eastAsiaTheme="minorEastAsia"/>
        </w:rPr>
        <w:t xml:space="preserve"> repetition </w:t>
      </w:r>
      <w:r w:rsidR="00015A5C">
        <w:rPr>
          <w:rFonts w:eastAsiaTheme="minorEastAsia"/>
        </w:rPr>
        <w:t>rate</w:t>
      </w:r>
      <w:r w:rsidRPr="00442F0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ST</m:t>
            </m:r>
          </m:sub>
        </m:sSub>
      </m:oMath>
      <w:r w:rsidRPr="00442F01">
        <w:rPr>
          <w:rFonts w:eastAsiaTheme="minorEastAsia"/>
        </w:rPr>
        <w:t xml:space="preserve"> </w:t>
      </w:r>
      <w:r w:rsidR="00E83A3D" w:rsidRPr="00442F01">
        <w:rPr>
          <w:rFonts w:eastAsiaTheme="minorEastAsia"/>
        </w:rPr>
        <w:t xml:space="preserve">is </w:t>
      </w:r>
      <w:r w:rsidRPr="00442F01">
        <w:rPr>
          <w:rFonts w:eastAsiaTheme="minorEastAsia"/>
        </w:rPr>
        <w:t xml:space="preserve">the triplet generation quantum </w:t>
      </w:r>
      <w:r w:rsidR="004F4A19">
        <w:rPr>
          <w:rFonts w:eastAsiaTheme="minorEastAsia"/>
        </w:rPr>
        <w:t>yield</w:t>
      </w:r>
      <w:r w:rsidR="007A1B2B">
        <w:rPr>
          <w:rFonts w:eastAsiaTheme="minorEastAsia"/>
        </w:rPr>
        <w:t xml:space="preserve"> or intersystem crossing quantum yield</w:t>
      </w:r>
      <w:r w:rsidR="004F4A19">
        <w:rPr>
          <w:rFonts w:eastAsiaTheme="minorEastAsia"/>
        </w:rPr>
        <w:t>,</w:t>
      </w:r>
      <w:r w:rsidRPr="00442F01">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r>
          <w:rPr>
            <w:rFonts w:ascii="Cambria Math" w:eastAsiaTheme="minorEastAsia" w:hAnsi="Cambria Math"/>
          </w:rPr>
          <m:t xml:space="preserve"> </m:t>
        </m:r>
        <m:r>
          <m:rPr>
            <m:sty m:val="p"/>
          </m:rPr>
          <w:rPr>
            <w:rFonts w:ascii="Cambria Math" w:eastAsiaTheme="minorEastAsia" w:hAnsi="Cambria Math"/>
          </w:rPr>
          <m:t>is</m:t>
        </m:r>
        <m:r>
          <m:rPr>
            <m:sty m:val="p"/>
          </m:rPr>
          <w:rPr>
            <w:rFonts w:ascii="Cambria Math" w:eastAsiaTheme="minorEastAsia"/>
          </w:rPr>
          <m:t xml:space="preserve"> </m:t>
        </m:r>
      </m:oMath>
      <w:r w:rsidRPr="00442F01">
        <w:rPr>
          <w:rFonts w:eastAsiaTheme="minorEastAsia"/>
        </w:rPr>
        <w:t xml:space="preserve">the initial </w:t>
      </w:r>
      <w:r w:rsidR="00625EB1">
        <w:rPr>
          <w:rFonts w:eastAsiaTheme="minorEastAsia"/>
        </w:rPr>
        <w:t>c</w:t>
      </w:r>
      <w:r w:rsidRPr="00442F01">
        <w:rPr>
          <w:rFonts w:eastAsiaTheme="minorEastAsia"/>
        </w:rPr>
        <w:t xml:space="preserve">oncentration of singlet excitons created by one single </w:t>
      </w:r>
      <w:r w:rsidRPr="00442F01">
        <w:rPr>
          <w:rFonts w:eastAsiaTheme="minorEastAsia"/>
        </w:rPr>
        <w:lastRenderedPageBreak/>
        <w:t>excitation pulse.</w:t>
      </w:r>
      <w:r w:rsidR="00B551A9">
        <w:rPr>
          <w:rFonts w:eastAsiaTheme="minorEastAsia"/>
        </w:rPr>
        <w:t xml:space="preserve"> </w:t>
      </w:r>
      <w:r w:rsidRPr="00442F01">
        <w:rPr>
          <w:rFonts w:eastAsiaTheme="minorEastAsia"/>
        </w:rPr>
        <w:t xml:space="preserve">We can </w:t>
      </w:r>
      <w:r w:rsidR="00351569">
        <w:rPr>
          <w:rFonts w:eastAsiaTheme="minorEastAsia"/>
        </w:rPr>
        <w:t xml:space="preserve">now </w:t>
      </w:r>
      <w:r w:rsidRPr="00442F01">
        <w:rPr>
          <w:rFonts w:eastAsiaTheme="minorEastAsia"/>
        </w:rPr>
        <w:t>derive</w:t>
      </w:r>
      <w:r w:rsidR="00B551A9">
        <w:rPr>
          <w:rFonts w:eastAsiaTheme="minorEastAsia"/>
        </w:rPr>
        <w:t xml:space="preserve"> </w:t>
      </w:r>
      <w:r w:rsidR="00FF37B5">
        <w:rPr>
          <w:rFonts w:eastAsiaTheme="minorEastAsia"/>
        </w:rPr>
        <w:t xml:space="preserve">an accumulated triplet exciton dependent </w:t>
      </w:r>
      <w:r w:rsidRPr="00442F01">
        <w:rPr>
          <w:rFonts w:eastAsiaTheme="minorEastAsia"/>
        </w:rPr>
        <w:t>singlet exciton lifetime by substituting</w:t>
      </w:r>
      <w:r w:rsidR="00661BFE">
        <w:rPr>
          <w:rFonts w:eastAsiaTheme="minorEastAsia"/>
        </w:rPr>
        <w:t xml:space="preserve"> Equation</w:t>
      </w:r>
      <w:r w:rsidRPr="00442F01">
        <w:rPr>
          <w:rFonts w:eastAsiaTheme="minorEastAsia"/>
        </w:rPr>
        <w:t xml:space="preserve"> </w:t>
      </w:r>
      <w:r w:rsidR="007B6F15">
        <w:rPr>
          <w:rFonts w:eastAsiaTheme="minorEastAsia"/>
        </w:rPr>
        <w:fldChar w:fldCharType="begin"/>
      </w:r>
      <w:r w:rsidR="007B6F15">
        <w:rPr>
          <w:rFonts w:eastAsiaTheme="minorEastAsia"/>
        </w:rPr>
        <w:instrText xml:space="preserve"> REF _Ref97033403 \h </w:instrText>
      </w:r>
      <w:r w:rsidR="00EF5320">
        <w:rPr>
          <w:rFonts w:eastAsiaTheme="minorEastAsia"/>
        </w:rPr>
        <w:instrText xml:space="preserve"> \* MERGEFORMAT </w:instrText>
      </w:r>
      <w:r w:rsidR="007B6F15">
        <w:rPr>
          <w:rFonts w:eastAsiaTheme="minorEastAsia"/>
        </w:rPr>
      </w:r>
      <w:r w:rsidR="007B6F15">
        <w:rPr>
          <w:rFonts w:eastAsiaTheme="minorEastAsia"/>
        </w:rPr>
        <w:fldChar w:fldCharType="separate"/>
      </w:r>
      <w:r w:rsidR="007B6F15">
        <w:rPr>
          <w:noProof/>
        </w:rPr>
        <w:t>8</w:t>
      </w:r>
      <w:r w:rsidR="007B6F15">
        <w:rPr>
          <w:rFonts w:eastAsiaTheme="minorEastAsia"/>
        </w:rPr>
        <w:fldChar w:fldCharType="end"/>
      </w:r>
      <w:r w:rsidR="007B6F15" w:rsidRPr="00442F01">
        <w:rPr>
          <w:rFonts w:eastAsiaTheme="minorEastAsia"/>
        </w:rPr>
        <w:t xml:space="preserve"> </w:t>
      </w:r>
      <w:r w:rsidRPr="00442F01">
        <w:rPr>
          <w:rFonts w:eastAsiaTheme="minorEastAsia"/>
        </w:rPr>
        <w:fldChar w:fldCharType="begin"/>
      </w:r>
      <w:r w:rsidRPr="00442F01">
        <w:rPr>
          <w:rFonts w:eastAsiaTheme="minorEastAsia"/>
        </w:rPr>
        <w:instrText xml:space="preserve"> REF _Ref77020371 \h </w:instrText>
      </w:r>
      <w:r w:rsidR="00EF5320">
        <w:rPr>
          <w:rFonts w:eastAsiaTheme="minorEastAsia"/>
        </w:rPr>
        <w:instrText xml:space="preserve"> \* MERGEFORMAT </w:instrText>
      </w:r>
      <w:r w:rsidRPr="00442F01">
        <w:rPr>
          <w:rFonts w:eastAsiaTheme="minorEastAsia"/>
        </w:rPr>
      </w:r>
      <w:r w:rsidRPr="00442F01">
        <w:rPr>
          <w:rFonts w:eastAsiaTheme="minorEastAsia"/>
        </w:rPr>
        <w:fldChar w:fldCharType="end"/>
      </w:r>
      <w:r w:rsidRPr="00442F01">
        <w:rPr>
          <w:rFonts w:eastAsiaTheme="minorEastAsia"/>
        </w:rPr>
        <w:t>into</w:t>
      </w:r>
      <w:r w:rsidR="00661BFE">
        <w:rPr>
          <w:rFonts w:eastAsiaTheme="minorEastAsia"/>
        </w:rPr>
        <w:t xml:space="preserve"> Equation</w:t>
      </w:r>
      <w:r w:rsidRPr="00442F01">
        <w:rPr>
          <w:rFonts w:eastAsiaTheme="minorEastAsia"/>
        </w:rPr>
        <w:t xml:space="preserve"> </w:t>
      </w:r>
      <w:r w:rsidRPr="00442F01">
        <w:rPr>
          <w:rFonts w:eastAsiaTheme="minorEastAsia"/>
        </w:rPr>
        <w:fldChar w:fldCharType="begin"/>
      </w:r>
      <w:r w:rsidRPr="00442F01">
        <w:rPr>
          <w:rFonts w:eastAsiaTheme="minorEastAsia"/>
        </w:rPr>
        <w:instrText xml:space="preserve"> REF _Ref77020418 \h </w:instrText>
      </w:r>
      <w:r w:rsidR="00EF5320">
        <w:rPr>
          <w:rFonts w:eastAsiaTheme="minorEastAsia"/>
        </w:rPr>
        <w:instrText xml:space="preserve"> \* MERGEFORMAT </w:instrText>
      </w:r>
      <w:r w:rsidRPr="00442F01">
        <w:rPr>
          <w:rFonts w:eastAsiaTheme="minorEastAsia"/>
        </w:rPr>
      </w:r>
      <w:r w:rsidRPr="00442F01">
        <w:rPr>
          <w:rFonts w:eastAsiaTheme="minorEastAsia"/>
        </w:rPr>
        <w:fldChar w:fldCharType="separate"/>
      </w:r>
      <w:r w:rsidR="007B6F15">
        <w:rPr>
          <w:noProof/>
        </w:rPr>
        <w:t>7</w:t>
      </w:r>
      <w:r w:rsidRPr="00442F01">
        <w:rPr>
          <w:rFonts w:eastAsiaTheme="minorEastAsia"/>
        </w:rPr>
        <w:fldChar w:fldCharType="end"/>
      </w:r>
      <w:r w:rsidRPr="00442F01">
        <w:rPr>
          <w:rFonts w:eastAsiaTheme="minorEastAsia"/>
        </w:rPr>
        <w:t>:</w:t>
      </w:r>
      <w:r w:rsidRPr="00442F01">
        <w:rPr>
          <w:rFonts w:eastAsiaTheme="minorEastAsia"/>
        </w:rPr>
        <w:fldChar w:fldCharType="begin" w:fldLock="1"/>
      </w:r>
      <w:r w:rsidR="00536CD8">
        <w:rPr>
          <w:rFonts w:eastAsiaTheme="minorEastAsia" w:hint="eastAsia"/>
        </w:rPr>
        <w:instrText>ADDIN CSL_CITATION {"citationItems":[{"id":"ITEM-1","itemData":{"DOI":"10.1103/PhysRevB.75.195201","ISSN":"10980121","abstract":"Singlet-singlet (S-S) and singlet-triplet (S-T) exciton annihilation was studied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w:instrText>
      </w:r>
      <w:r w:rsidR="00536CD8">
        <w:rPr>
          <w:rFonts w:eastAsiaTheme="minorEastAsia"/>
        </w:rPr>
        <w:instrText>ene films. For the S-S exciton annihilation studies, transient absorption spectroscopy at excitation laser pulse fluences of 1.2× 1013 -4.4× 1014 photons cm2 and 2.5 kHz pulse repetition rate was applied. The obtained kinetics demonstrate a typical nonexponential character with intensity-dependent amplitudes and lifetimes. In time-resolved fluorescence experiments, low excitation pulse fluences of 1.6× 109 -2.2× 1012 photons cm2 at high repetition rates of 0.4, 0.8, 4, and 81 MHz lead to S-T exciton annihilation as a result of triplet exciton accumulation. S-T annihilation kinetics results in monoexponential decay of the fluorescence kinetics and manifests itself as a decrease of the singlet exciton lifetime. The calculated time-independent S-S and S-T exciton annihilation rates strongly support the conclusion that the processes are controlled by the interchain diffusion of singlet excitons. Despite the low efficiency of S-T annihilation compared to that of S-S annihilation, it has a substantial effect on the singlet exciton lifetime due to a relatively long triplet lifetime (60 μs). Thus, even optical excitation with low fluence at high pulse repetition rate creates a significant concentration of triplet states that efficiently quenches singlet excitons. © 2007 The American Physical Society.","author":[{"dropping-particle":"","family":"Zaushitsyn","given":"Yuri","non-dropping-particle":"","parse-names":false,"suffix":""},{"dropping-particle":"","family":"Jespersen","given":"Kim G.","non-dropping-particle":"","parse-names":false,"suffix":""},{"dropping-particle":"","family":"Valkunas","given":"Leonas","non-dropping-particle":"","parse-names":false,"suffix":""},{"dropping-particle":"","family":"Sundström","given":"Villy","non-dropping-particle":"","parse-names":false,"suffix":""},{"dropping-particle":"","family":"Yartsev","given":"Arkady","non-dropping-particle":"","parse-names":false,"suffix":""}],"container-title":"Physical Review B - Condensed Matter and Materials Physics","id":"ITEM-1","issue":"19","is</w:instrText>
      </w:r>
      <w:r w:rsidR="00536CD8">
        <w:rPr>
          <w:rFonts w:eastAsiaTheme="minorEastAsia" w:hint="eastAsia"/>
        </w:rPr>
        <w:instrText>sued":{"date-parts":[["2007","5","3"]]},"page":"195201","publisher":"American Physical Society","title":"Ultrafast dynamics of singlet-singlet and singlet-triplet exciton annihilation in poly(3- 2</w:instrText>
      </w:r>
      <w:r w:rsidR="00536CD8">
        <w:rPr>
          <w:rFonts w:eastAsiaTheme="minorEastAsia" w:hint="eastAsia"/>
        </w:rPr>
        <w:instrText>′</w:instrText>
      </w:r>
      <w:r w:rsidR="00536CD8">
        <w:rPr>
          <w:rFonts w:eastAsiaTheme="minorEastAsia" w:hint="eastAsia"/>
        </w:rPr>
        <w:instrText xml:space="preserve"> -methoxy- 5</w:instrText>
      </w:r>
      <w:r w:rsidR="00536CD8">
        <w:rPr>
          <w:rFonts w:eastAsiaTheme="minorEastAsia" w:hint="eastAsia"/>
        </w:rPr>
        <w:instrText>′</w:instrText>
      </w:r>
      <w:r w:rsidR="00536CD8">
        <w:rPr>
          <w:rFonts w:eastAsiaTheme="minorEastAsia" w:hint="eastAsia"/>
        </w:rPr>
        <w:instrText xml:space="preserve"> octylphenyl)thiophene films","type":"article</w:instrText>
      </w:r>
      <w:r w:rsidR="00536CD8">
        <w:rPr>
          <w:rFonts w:eastAsiaTheme="minorEastAsia"/>
        </w:rPr>
        <w:instrText>-journal","volume":"75"},"uris":["http://www.mendeley.com/documents/?uuid=1bb76f0b-a7e3-3f2a-b412-da723155f5d4"]}],"mendeley":{"formattedCitation":"&lt;sup&gt;10&lt;/sup&gt;","plainTextFormattedCitation":"10","previouslyFormattedCitation":"&lt;sup&gt;10&lt;/sup&gt;"},"properties":{"noteIndex":0},"schema":"https://github.com/citation-style-language/schema/raw/master/csl-citation.json"}</w:instrText>
      </w:r>
      <w:r w:rsidRPr="00442F01">
        <w:rPr>
          <w:rFonts w:eastAsiaTheme="minorEastAsia"/>
        </w:rPr>
        <w:fldChar w:fldCharType="separate"/>
      </w:r>
      <w:r w:rsidR="0048676E" w:rsidRPr="0048676E">
        <w:rPr>
          <w:rFonts w:eastAsiaTheme="minorEastAsia"/>
          <w:noProof/>
          <w:vertAlign w:val="superscript"/>
        </w:rPr>
        <w:t>10</w:t>
      </w:r>
      <w:r w:rsidRPr="00442F01">
        <w:rPr>
          <w:rFonts w:eastAsiaTheme="minorEastAsia"/>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521"/>
        <w:gridCol w:w="1366"/>
      </w:tblGrid>
      <w:tr w:rsidR="00252A8A" w14:paraId="3DDBCB4A" w14:textId="77777777" w:rsidTr="00B4591F">
        <w:tc>
          <w:tcPr>
            <w:tcW w:w="1129" w:type="dxa"/>
          </w:tcPr>
          <w:p w14:paraId="3B9AB5BB" w14:textId="77777777" w:rsidR="00252A8A" w:rsidRDefault="00252A8A" w:rsidP="00442F01">
            <w:pPr>
              <w:jc w:val="both"/>
              <w:rPr>
                <w:rFonts w:eastAsiaTheme="minorEastAsia"/>
              </w:rPr>
            </w:pPr>
          </w:p>
        </w:tc>
        <w:tc>
          <w:tcPr>
            <w:tcW w:w="6521" w:type="dxa"/>
          </w:tcPr>
          <w:p w14:paraId="393A9EC0" w14:textId="7DFF399A" w:rsidR="00252A8A" w:rsidRDefault="00152C10" w:rsidP="00442F01">
            <w:pPr>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s</m:t>
                        </m:r>
                      </m:sub>
                    </m:sSub>
                  </m:den>
                </m:f>
                <m:r>
                  <w:rPr>
                    <w:rFonts w:ascii="Cambria Math" w:eastAsiaTheme="minorEastAsia" w:hAnsi="Cambria Math"/>
                  </w:rPr>
                  <m:t>=k+</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STA</m:t>
                    </m:r>
                  </m:sub>
                </m:sSub>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 xml:space="preserve"> </m:t>
                </m:r>
              </m:oMath>
            </m:oMathPara>
          </w:p>
        </w:tc>
        <w:tc>
          <w:tcPr>
            <w:tcW w:w="1366" w:type="dxa"/>
            <w:vAlign w:val="center"/>
          </w:tcPr>
          <w:p w14:paraId="18E90119" w14:textId="79802539" w:rsidR="00252A8A" w:rsidRDefault="00B4591F" w:rsidP="00B4591F">
            <w:pPr>
              <w:pStyle w:val="Caption"/>
              <w:jc w:val="right"/>
            </w:pPr>
            <w:bookmarkStart w:id="18" w:name="_Ref77021654"/>
            <w:r>
              <w:t>(</w:t>
            </w:r>
            <w:r w:rsidR="00B7332D">
              <w:t>S</w:t>
            </w:r>
            <w:r w:rsidR="00152C10">
              <w:fldChar w:fldCharType="begin"/>
            </w:r>
            <w:r w:rsidR="00152C10">
              <w:instrText xml:space="preserve"> SEQ Equation \* ARABIC </w:instrText>
            </w:r>
            <w:r w:rsidR="00152C10">
              <w:fldChar w:fldCharType="separate"/>
            </w:r>
            <w:r w:rsidR="00AA5245">
              <w:rPr>
                <w:noProof/>
              </w:rPr>
              <w:t>12</w:t>
            </w:r>
            <w:r w:rsidR="00152C10">
              <w:rPr>
                <w:noProof/>
              </w:rPr>
              <w:fldChar w:fldCharType="end"/>
            </w:r>
            <w:bookmarkEnd w:id="18"/>
            <w:r>
              <w:t>)</w:t>
            </w:r>
          </w:p>
        </w:tc>
      </w:tr>
    </w:tbl>
    <w:p w14:paraId="601566BF" w14:textId="77777777" w:rsidR="00252A8A" w:rsidRPr="00442F01" w:rsidRDefault="00252A8A" w:rsidP="00442F01">
      <w:pPr>
        <w:jc w:val="both"/>
        <w:rPr>
          <w:rFonts w:eastAsiaTheme="minorEastAsia"/>
        </w:rPr>
      </w:pPr>
    </w:p>
    <w:p w14:paraId="25B0EC51" w14:textId="1215268C" w:rsidR="009365DC" w:rsidRDefault="00442F01" w:rsidP="00EF5320">
      <w:pPr>
        <w:spacing w:line="480" w:lineRule="auto"/>
        <w:jc w:val="both"/>
      </w:pPr>
      <w:r w:rsidRPr="00442F01">
        <w:rPr>
          <w:rFonts w:eastAsiaTheme="minorEastAsia"/>
        </w:rPr>
        <w:t>With this estimation, we can link the repetition rate dependent accumulated triplet</w:t>
      </w:r>
      <w:r w:rsidR="00AB44B7">
        <w:rPr>
          <w:rFonts w:eastAsiaTheme="minorEastAsia"/>
        </w:rPr>
        <w:t xml:space="preserve"> exciton</w:t>
      </w:r>
      <w:r w:rsidRPr="00442F01">
        <w:rPr>
          <w:rFonts w:eastAsiaTheme="minorEastAsia"/>
        </w:rPr>
        <w:t xml:space="preserve"> density to the fast </w:t>
      </w:r>
      <w:r w:rsidR="000C2A16">
        <w:rPr>
          <w:rFonts w:eastAsiaTheme="minorEastAsia"/>
        </w:rPr>
        <w:t xml:space="preserve">photoluminescence </w:t>
      </w:r>
      <w:r w:rsidR="00F17DF5">
        <w:rPr>
          <w:rFonts w:eastAsiaTheme="minorEastAsia"/>
        </w:rPr>
        <w:t xml:space="preserve">quenching </w:t>
      </w:r>
      <w:r w:rsidR="000C2A16">
        <w:rPr>
          <w:rFonts w:eastAsiaTheme="minorEastAsia"/>
        </w:rPr>
        <w:t>from</w:t>
      </w:r>
      <w:r w:rsidRPr="00442F01">
        <w:rPr>
          <w:rFonts w:eastAsiaTheme="minorEastAsia"/>
        </w:rPr>
        <w:t xml:space="preserve"> bright singlet excitonic states</w:t>
      </w:r>
      <w:r w:rsidR="00134B8D">
        <w:rPr>
          <w:rFonts w:eastAsiaTheme="minorEastAsia"/>
        </w:rPr>
        <w:t xml:space="preserve">. </w:t>
      </w:r>
      <w:r w:rsidR="003D0478">
        <w:t>Indeed, the PL kinetics of the &lt;n&gt; = 2 grains</w:t>
      </w:r>
      <w:r w:rsidR="004B2BB3">
        <w:rPr>
          <w:rFonts w:eastAsiaTheme="minorEastAsia"/>
        </w:rPr>
        <w:t xml:space="preserve"> in Figure S8</w:t>
      </w:r>
      <w:r w:rsidR="007C471B">
        <w:rPr>
          <w:rFonts w:eastAsiaTheme="minorEastAsia"/>
        </w:rPr>
        <w:t xml:space="preserve"> </w:t>
      </w:r>
      <w:r w:rsidR="007C471B">
        <w:t xml:space="preserve">reveal the singlet exciton lifetime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s</m:t>
            </m:r>
          </m:sub>
        </m:sSub>
      </m:oMath>
      <w:r w:rsidR="007C471B">
        <w:t xml:space="preserve"> is dependent on the laser repetition rate.</w:t>
      </w:r>
    </w:p>
    <w:p w14:paraId="35BDA338" w14:textId="77777777" w:rsidR="00D0086A" w:rsidRDefault="00D0086A" w:rsidP="00BD0A75">
      <w:pPr>
        <w:jc w:val="both"/>
        <w:rPr>
          <w:rFonts w:eastAsiaTheme="minorEastAsia"/>
        </w:rPr>
      </w:pPr>
    </w:p>
    <w:p w14:paraId="1F078437" w14:textId="7A90870E" w:rsidR="00BE2BD7" w:rsidRDefault="00E14DD5" w:rsidP="00E14DD5">
      <w:pPr>
        <w:jc w:val="center"/>
        <w:rPr>
          <w:rFonts w:eastAsiaTheme="minorEastAsia"/>
        </w:rPr>
      </w:pPr>
      <w:r>
        <w:rPr>
          <w:rFonts w:eastAsiaTheme="minorEastAsia"/>
          <w:noProof/>
        </w:rPr>
        <w:drawing>
          <wp:inline distT="0" distB="0" distL="0" distR="0" wp14:anchorId="27E7B34B" wp14:editId="51E45DE4">
            <wp:extent cx="3552825" cy="28773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5714" cy="2887822"/>
                    </a:xfrm>
                    <a:prstGeom prst="rect">
                      <a:avLst/>
                    </a:prstGeom>
                    <a:noFill/>
                    <a:ln>
                      <a:noFill/>
                    </a:ln>
                  </pic:spPr>
                </pic:pic>
              </a:graphicData>
            </a:graphic>
          </wp:inline>
        </w:drawing>
      </w:r>
    </w:p>
    <w:p w14:paraId="6CDA9E1A" w14:textId="5E736279" w:rsidR="00E14DD5" w:rsidRDefault="00E14DD5" w:rsidP="00E14DD5">
      <w:pPr>
        <w:pStyle w:val="Caption"/>
        <w:jc w:val="both"/>
      </w:pPr>
      <w:r>
        <w:t>Figure S</w:t>
      </w:r>
      <w:r w:rsidR="00152C10">
        <w:fldChar w:fldCharType="begin"/>
      </w:r>
      <w:r w:rsidR="00152C10">
        <w:instrText xml:space="preserve"> SEQ Figure_S \* ARABIC </w:instrText>
      </w:r>
      <w:r w:rsidR="00152C10">
        <w:fldChar w:fldCharType="separate"/>
      </w:r>
      <w:r w:rsidR="00750EC3">
        <w:rPr>
          <w:noProof/>
        </w:rPr>
        <w:t>9</w:t>
      </w:r>
      <w:r w:rsidR="00152C10">
        <w:rPr>
          <w:noProof/>
        </w:rPr>
        <w:fldChar w:fldCharType="end"/>
      </w:r>
      <w:r>
        <w:t>:</w:t>
      </w:r>
      <w:r w:rsidR="006559FE">
        <w:t xml:space="preserve"> </w:t>
      </w:r>
      <w:r w:rsidR="006559FE" w:rsidRPr="006559FE">
        <w:t>Laser repetition rate-dependent PL kinetics of &lt;n&gt; = 2 slabs with exponential lifetime fits. Inset: Singlet exciton recombination rate as a function of repetition rate-dependent accumulated triplet state density fitted with an STA model.</w:t>
      </w:r>
    </w:p>
    <w:p w14:paraId="6E451F9C" w14:textId="77777777" w:rsidR="00E14DD5" w:rsidRDefault="00E14DD5" w:rsidP="00B431CA">
      <w:pPr>
        <w:jc w:val="center"/>
        <w:rPr>
          <w:rFonts w:eastAsiaTheme="minorEastAsia"/>
        </w:rPr>
      </w:pPr>
    </w:p>
    <w:p w14:paraId="72086BDC" w14:textId="77777777" w:rsidR="000D2523" w:rsidRPr="004244BB" w:rsidRDefault="00E417A4" w:rsidP="00EF5320">
      <w:pPr>
        <w:spacing w:line="480" w:lineRule="auto"/>
        <w:jc w:val="both"/>
        <w:rPr>
          <w:rFonts w:cstheme="minorHAnsi"/>
        </w:rPr>
      </w:pPr>
      <w:r w:rsidRPr="00E417A4">
        <w:rPr>
          <w:rFonts w:cstheme="minorHAnsi"/>
        </w:rPr>
        <w:t>By using the triplet lifetime of 10 μs, as determined from time-resolved PL measurements under vacuum conditions (Figure S6)</w:t>
      </w:r>
      <w:r w:rsidR="000C6A88">
        <w:rPr>
          <w:rFonts w:cstheme="minorHAnsi"/>
        </w:rPr>
        <w:t xml:space="preserve"> and </w:t>
      </w:r>
      <w:r w:rsidRPr="00E417A4">
        <w:rPr>
          <w:rFonts w:cstheme="minorHAnsi"/>
        </w:rPr>
        <w:t xml:space="preserve">an </w:t>
      </w:r>
      <m:oMath>
        <m:sSub>
          <m:sSubPr>
            <m:ctrlPr>
              <w:rPr>
                <w:rFonts w:ascii="Cambria Math" w:hAnsi="Cambria Math" w:cstheme="minorHAnsi"/>
                <w:i/>
              </w:rPr>
            </m:ctrlPr>
          </m:sSubPr>
          <m:e>
            <m:r>
              <w:rPr>
                <w:rFonts w:ascii="Cambria Math" w:hAnsi="Cambria Math" w:cstheme="minorHAnsi"/>
              </w:rPr>
              <m:t>ϕ</m:t>
            </m:r>
          </m:e>
          <m:sub>
            <m:r>
              <w:rPr>
                <w:rFonts w:ascii="Cambria Math" w:hAnsi="Cambria Math" w:cstheme="minorHAnsi"/>
              </w:rPr>
              <m:t>ST</m:t>
            </m:r>
          </m:sub>
        </m:sSub>
      </m:oMath>
      <w:r w:rsidRPr="00D0086A">
        <w:rPr>
          <w:rFonts w:cstheme="minorHAnsi"/>
        </w:rPr>
        <w:t xml:space="preserve"> </w:t>
      </w:r>
      <w:r w:rsidRPr="00E417A4">
        <w:rPr>
          <w:rFonts w:cstheme="minorHAnsi"/>
        </w:rPr>
        <w:t>of 0.75 according to spin statistics</w:t>
      </w:r>
      <w:r w:rsidR="005A4F8F">
        <w:rPr>
          <w:rFonts w:eastAsiaTheme="minorEastAsia"/>
        </w:rPr>
        <w:fldChar w:fldCharType="begin" w:fldLock="1"/>
      </w:r>
      <w:r w:rsidR="005A4F8F">
        <w:rPr>
          <w:rFonts w:eastAsiaTheme="minorEastAsia"/>
        </w:rPr>
        <w:instrText>ADDIN CSL_CITATION {"citationItems":[{"id":"ITEM-1","itemData":{"DOI":"10.1038/s41566-019-0545-9","ISSN":"17494893","abstract":"Perovskite light-emitting diodes are promising for next-generation lighting and displays because of their high colour purity and performance1. Although the management of singlet and triplet excitons is fundamental to the design of efficient organic light-emitting diodes, the nature of how excitons affect performance is still not clear in perovskite2–4 and quasi-two-dimensional (2D) perovskite-based devices5–9. Here, we show that triplet excitons are key to efficient emission in green quasi-2D perovskite devices and that quenching of triplets by the organic cation is a major loss path. Employing an organic cation with a high triplet energy level (phenylethylammonium) in a quasi-2D perovskite based on formamidinium lead bromide yields efficient harvesting of triplets. Furthermore, we show that upconversion of triplets to singlets can occur, making 100% harvesting of electrically generated excitons potentially possible. The external quantum and current efficiencies of our green (527 nm) devices reached 12.4% and 52.1 cd A−1, respectively.","author":[{"dropping-particle":"","family":"Qin","given":"Chuanjiang","non-dropping-particle":"","parse-names":false,"suffix":""},{"dropping-particle":"","family":"Matsushima","given":"Toshinori","non-dropping-particle":"","parse-names":false,"suffix":""},{"dropping-particle":"","family":"Potscavage","given":"William J.","non-dropping-particle":"","parse-names":false,"suffix":""},{"dropping-particle":"","family":"Sandanayaka","given":"Atula S.D.","non-dropping-particle":"","parse-names":false,"suffix":""},{"dropping-particle":"","family":"Leyden","given":"Matthew R.","non-dropping-particle":"","parse-names":false,"suffix":""},{"dropping-particle":"","family":"Bencheikh","given":"Fatima","non-dropping-particle":"","parse-names":false,"suffix":""},{"dropping-particle":"","family":"Goushi","given":"Kenichi","non-dropping-particle":"","parse-names":false,"suffix":""},{"dropping-particle":"","family":"Mathevet","given":"Fabrice","non-dropping-particle":"","parse-names":false,"suffix":""},{"dropping-particle":"","family":"Heinrich","given":"Benoît","non-dropping-particle":"","parse-names":false,"suffix":""},{"dropping-particle":"","family":"Yumoto","given":"Go","non-dropping-particle":"","parse-names":false,"suffix":""},{"dropping-particle":"","family":"Kanemitsu","given":"Yoshihiko","non-dropping-particle":"","parse-names":false,"suffix":""},{"dropping-particle":"","family":"Adachi","given":"Chihaya","non-dropping-particle":"","parse-names":false,"suffix":""}],"container-title":"Nature Photonics","id":"ITEM-1","issue":"2","issued":{"date-parts":[["2020","2","1"]]},"page":"70-75","publisher":"Nature Research","title":"Triplet management for efficient perovskite light-emitting diodes","type":"article-journal","volume":"14"},"uris":["http://www.mendeley.com/documents/?uuid=48ccf34e-6ff3-3bc1-838c-f1520963d2f7"]},{"id":"ITEM-2","itemData":{"DOI":"10.1038/nature25147","ISSN":"0028-0836","abstract":"The lowest-energy exciton state in caesium lead halide perovskite nanocrystals is shown to be a bright triplet state, contrary to expectations that lowest-energy excitons should always be dark.","author":[{"dropping-particle":"","family":"Becker","given":"Michael A.","non-dropping-particle":"","parse-names":false,"suffix":""},{"dropping-particle":"","family":"Vaxenburg","given":"Roman","non-dropping-particle":"","parse-names":false,"suffix":""},{"dropping-particle":"","family":"Nedelcu","given":"Georgian","non-dropping-particle":"","parse-names":false,"suffix":""},{"dropping-particle":"","family":"Sercel","given":"Peter C.","non-dropping-particle":"","parse-names":false,"suffix":""},{"dropping-particle":"","family":"Shabaev","given":"Andrew","non-dropping-particle":"","parse-names":false,"suffix":""},{"dropping-particle":"","family":"Mehl","given":"Michael J.","non-dropping-particle":"","parse-names":false,"suffix":""},{"dropping-particle":"","family":"Michopoulos","given":"John G.","non-dropping-particle":"","parse-names":false,"suffix":""},{"dropping-particle":"","family":"Lambrakos","given":"Samuel G.","non-dropping-particle":"","parse-names":false,"suffix":""},{"dropping-particle":"","family":"Bernstein","given":"Noam","non-dropping-particle":"","parse-names":false,"suffix":""},{"dropping-particle":"","family":"Lyons","given":"John L.","non-dropping-particle":"","parse-names":false,"suffix":""},{"dropping-particle":"","family":"Stöferle","given":"Thilo","non-dropping-particle":"","parse-names":false,"suffix":""},{"dropping-particle":"","family":"Mahrt","given":"Rainer F.","non-dropping-particle":"","parse-names":false,"suffix":""},{"dropping-particle":"V.","family":"Kovalenko","given":"Maksym","non-dropping-particle":"","parse-names":false,"suffix":""},{"dropping-particle":"","family":"Norris","given":"David J.","non-dropping-particle":"","parse-names":false,"suffix":""},{"dropping-particle":"","family":"Rainò","given":"Gabriele","non-dropping-particle":"","parse-names":false,"suffix":""},{"dropping-particle":"","family":"Efros","given":"Alexander L.","non-dropping-particle":"","parse-names":false,"suffix":""}],"container-title":"Nature","id":"ITEM-2","issue":"7687","issued":{"date-parts":[["2018","1","11"]]},"page":"189-193","publisher":"Nature Publishing Group","title":"Bright triplet excitons in caesium lead halide perovskites","type":"article-journal","volume":"553"},"uris":["http://www.mendeley.com/documents/?uuid=401251e1-2ce0-4371-ae11-92f1cae9d12c"]}],"mendeley":{"formattedCitation":"&lt;sup&gt;38,52&lt;/sup&gt;","plainTextFormattedCitation":"38,52","previouslyFormattedCitation":"&lt;sup&gt;37,51&lt;/sup&gt;"},"properties":{"noteIndex":0},"schema":"https://github.com/citation-style-language/schema/raw/master/csl-citation.json"}</w:instrText>
      </w:r>
      <w:r w:rsidR="005A4F8F">
        <w:rPr>
          <w:rFonts w:eastAsiaTheme="minorEastAsia"/>
        </w:rPr>
        <w:fldChar w:fldCharType="separate"/>
      </w:r>
      <w:r w:rsidR="005A4F8F" w:rsidRPr="003F1F5D">
        <w:rPr>
          <w:rFonts w:eastAsiaTheme="minorEastAsia"/>
          <w:noProof/>
          <w:vertAlign w:val="superscript"/>
        </w:rPr>
        <w:t>38,52</w:t>
      </w:r>
      <w:r w:rsidR="005A4F8F">
        <w:rPr>
          <w:rFonts w:eastAsiaTheme="minorEastAsia"/>
        </w:rPr>
        <w:fldChar w:fldCharType="end"/>
      </w:r>
      <w:r w:rsidR="000C6A88">
        <w:rPr>
          <w:rFonts w:eastAsiaTheme="minorEastAsia"/>
        </w:rPr>
        <w:t>,</w:t>
      </w:r>
      <w:r w:rsidRPr="00E417A4">
        <w:rPr>
          <w:rFonts w:cstheme="minorHAnsi"/>
        </w:rPr>
        <w:t xml:space="preserve"> we can estimate the repetition rate-dependent concentration of accumulated inorganic triplet states in the absence of a triplet exciton quencher</w:t>
      </w:r>
      <w:r w:rsidRPr="004244BB">
        <w:rPr>
          <w:rFonts w:cstheme="minorHAnsi"/>
        </w:rPr>
        <w:t>. Then, the inverse singlet lifetimes, 1/</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s</m:t>
            </m:r>
          </m:sub>
        </m:sSub>
      </m:oMath>
      <w:r w:rsidRPr="004244BB">
        <w:rPr>
          <w:rFonts w:cstheme="minorHAnsi"/>
        </w:rPr>
        <w:t xml:space="preserve">, as a function of the accumulated triplet concentration (Inset Figure </w:t>
      </w:r>
      <w:r w:rsidR="006A72FC" w:rsidRPr="004244BB">
        <w:rPr>
          <w:rFonts w:cstheme="minorHAnsi"/>
        </w:rPr>
        <w:t>S8</w:t>
      </w:r>
      <w:r w:rsidRPr="004244BB">
        <w:rPr>
          <w:rFonts w:cstheme="minorHAnsi"/>
        </w:rPr>
        <w:t xml:space="preserve">), can be fitted with Equation </w:t>
      </w:r>
      <w:r w:rsidR="006A72FC" w:rsidRPr="004244BB">
        <w:rPr>
          <w:rFonts w:cstheme="minorHAnsi"/>
        </w:rPr>
        <w:t>S9</w:t>
      </w:r>
      <w:r w:rsidRPr="004244BB">
        <w:rPr>
          <w:rFonts w:cstheme="minorHAnsi"/>
        </w:rPr>
        <w:t xml:space="preserve"> to determine</w:t>
      </w:r>
      <w:r w:rsidR="006A72FC" w:rsidRPr="004244BB">
        <w:rPr>
          <w:rFonts w:cstheme="minorHAnsi"/>
        </w:rPr>
        <w:t xml:space="preserve"> a</w:t>
      </w:r>
      <w:r w:rsidR="00AA3AAB" w:rsidRPr="004244BB">
        <w:rPr>
          <w:rFonts w:cstheme="minorHAnsi"/>
        </w:rPr>
        <w:t xml:space="preserve"> STA </w:t>
      </w:r>
      <w:r w:rsidR="0026175A" w:rsidRPr="004244BB">
        <w:rPr>
          <w:rFonts w:cstheme="minorHAnsi"/>
        </w:rPr>
        <w:t xml:space="preserve">rate of </w:t>
      </w:r>
      <m:oMath>
        <m:sSub>
          <m:sSubPr>
            <m:ctrlPr>
              <w:rPr>
                <w:rFonts w:ascii="Cambria Math" w:hAnsi="Cambria Math" w:cstheme="minorHAnsi"/>
                <w:i/>
              </w:rPr>
            </m:ctrlPr>
          </m:sSubPr>
          <m:e>
            <m:r>
              <m:rPr>
                <m:sty m:val="p"/>
              </m:rPr>
              <w:rPr>
                <w:rFonts w:ascii="Cambria Math" w:hAnsi="Cambria Math" w:cstheme="minorHAnsi"/>
              </w:rPr>
              <m:t xml:space="preserve"> </m:t>
            </m:r>
            <m:r>
              <w:rPr>
                <w:rFonts w:ascii="Cambria Math" w:hAnsi="Cambria Math" w:cstheme="minorHAnsi"/>
              </w:rPr>
              <m:t>γ</m:t>
            </m:r>
          </m:e>
          <m:sub>
            <m:r>
              <w:rPr>
                <w:rFonts w:ascii="Cambria Math" w:hAnsi="Cambria Math" w:cstheme="minorHAnsi"/>
              </w:rPr>
              <m:t>STA</m:t>
            </m:r>
          </m:sub>
        </m:sSub>
      </m:oMath>
      <w:r w:rsidR="0026175A" w:rsidRPr="004244BB">
        <w:rPr>
          <w:rFonts w:cstheme="minorHAnsi"/>
        </w:rPr>
        <w:t> = 2.8∙10</w:t>
      </w:r>
      <w:r w:rsidR="0026175A" w:rsidRPr="004244BB">
        <w:rPr>
          <w:rFonts w:cstheme="minorHAnsi"/>
          <w:vertAlign w:val="superscript"/>
        </w:rPr>
        <w:t>-7 </w:t>
      </w:r>
      <w:r w:rsidR="0026175A" w:rsidRPr="004244BB">
        <w:rPr>
          <w:rFonts w:cstheme="minorHAnsi"/>
        </w:rPr>
        <w:t>cm</w:t>
      </w:r>
      <w:r w:rsidR="0026175A" w:rsidRPr="004244BB">
        <w:rPr>
          <w:rFonts w:cstheme="minorHAnsi"/>
          <w:vertAlign w:val="superscript"/>
        </w:rPr>
        <w:t>3</w:t>
      </w:r>
      <w:r w:rsidR="0026175A" w:rsidRPr="004244BB">
        <w:rPr>
          <w:rFonts w:cstheme="minorHAnsi"/>
        </w:rPr>
        <w:t>s</w:t>
      </w:r>
      <w:r w:rsidR="0026175A" w:rsidRPr="004244BB">
        <w:rPr>
          <w:rFonts w:cstheme="minorHAnsi"/>
          <w:vertAlign w:val="superscript"/>
        </w:rPr>
        <w:t>-1</w:t>
      </w:r>
      <w:r w:rsidR="008B015F" w:rsidRPr="004244BB">
        <w:rPr>
          <w:rFonts w:cstheme="minorHAnsi"/>
        </w:rPr>
        <w:t xml:space="preserve"> assuming</w:t>
      </w:r>
      <w:r w:rsidR="00A76E7B" w:rsidRPr="004244BB">
        <w:rPr>
          <w:rFonts w:cstheme="minorHAnsi"/>
        </w:rPr>
        <w:t xml:space="preserve"> </w:t>
      </w:r>
      <w:r w:rsidR="001C4829" w:rsidRPr="004244BB">
        <w:rPr>
          <w:rFonts w:cstheme="minorHAnsi"/>
        </w:rPr>
        <w:t>all</w:t>
      </w:r>
      <w:r w:rsidR="00A76E7B" w:rsidRPr="004244BB">
        <w:rPr>
          <w:rFonts w:cstheme="minorHAnsi"/>
        </w:rPr>
        <w:t xml:space="preserve"> excitations are initially created at the &lt;n&gt; = 2 grains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 &lt;n&gt;2</m:t>
            </m:r>
          </m:sub>
        </m:sSub>
        <m:r>
          <w:rPr>
            <w:rFonts w:ascii="Cambria Math" w:eastAsiaTheme="minorEastAsia" w:hAnsi="Cambria Math"/>
          </w:rPr>
          <m:t>=</m:t>
        </m:r>
        <m:r>
          <w:rPr>
            <w:rFonts w:ascii="Cambria Math" w:eastAsiaTheme="minorEastAsia" w:hAnsi="Cambria Math"/>
          </w:rPr>
          <w:lastRenderedPageBreak/>
          <m:t xml:space="preserve"> </m:t>
        </m:r>
      </m:oMath>
      <w:r w:rsidR="00A76E7B" w:rsidRPr="004244BB">
        <w:rPr>
          <w:rFonts w:cstheme="minorHAnsi"/>
        </w:rPr>
        <w:t>1.9∙10</w:t>
      </w:r>
      <w:r w:rsidR="00A76E7B" w:rsidRPr="004244BB">
        <w:rPr>
          <w:rFonts w:cstheme="minorHAnsi"/>
          <w:vertAlign w:val="superscript"/>
        </w:rPr>
        <w:t>18</w:t>
      </w:r>
      <w:r w:rsidR="00A76E7B" w:rsidRPr="004244BB">
        <w:rPr>
          <w:rFonts w:cstheme="minorHAnsi"/>
        </w:rPr>
        <w:t xml:space="preserve"> cm</w:t>
      </w:r>
      <w:r w:rsidR="00A76E7B" w:rsidRPr="004244BB">
        <w:rPr>
          <w:rFonts w:cstheme="minorHAnsi"/>
          <w:vertAlign w:val="superscript"/>
        </w:rPr>
        <w:t>-3</w:t>
      </w:r>
      <w:r w:rsidR="00A76E7B" w:rsidRPr="004244BB">
        <w:rPr>
          <w:rFonts w:cstheme="minorHAnsi"/>
        </w:rPr>
        <w:t xml:space="preserve">). This value might </w:t>
      </w:r>
      <w:r w:rsidR="00004445" w:rsidRPr="004244BB">
        <w:rPr>
          <w:rFonts w:cstheme="minorHAnsi"/>
        </w:rPr>
        <w:t>underestimate</w:t>
      </w:r>
      <w:r w:rsidR="00355B49" w:rsidRPr="004244BB">
        <w:rPr>
          <w:rFonts w:cstheme="minorHAnsi"/>
        </w:rPr>
        <w:t xml:space="preserve"> </w:t>
      </w:r>
      <w:r w:rsidR="00004445" w:rsidRPr="004244BB">
        <w:rPr>
          <w:rFonts w:cstheme="minorHAnsi"/>
        </w:rPr>
        <w:t xml:space="preserve">the quenching potential </w:t>
      </w:r>
      <w:r w:rsidR="00A70D26" w:rsidRPr="004244BB">
        <w:rPr>
          <w:rFonts w:cstheme="minorHAnsi"/>
        </w:rPr>
        <w:t xml:space="preserve">of the accumulated triplet excitons and </w:t>
      </w:r>
      <w:r w:rsidR="001C4829" w:rsidRPr="004244BB">
        <w:rPr>
          <w:rFonts w:cstheme="minorHAnsi"/>
        </w:rPr>
        <w:t xml:space="preserve">an upper </w:t>
      </w:r>
      <w:r w:rsidR="00355B49" w:rsidRPr="004244BB">
        <w:rPr>
          <w:rFonts w:cstheme="minorHAnsi"/>
        </w:rPr>
        <w:t xml:space="preserve">value for </w:t>
      </w:r>
      <m:oMath>
        <m:sSub>
          <m:sSubPr>
            <m:ctrlPr>
              <w:rPr>
                <w:rFonts w:ascii="Cambria Math" w:hAnsi="Cambria Math" w:cstheme="minorHAnsi"/>
                <w:i/>
              </w:rPr>
            </m:ctrlPr>
          </m:sSubPr>
          <m:e>
            <m:r>
              <m:rPr>
                <m:sty m:val="p"/>
              </m:rPr>
              <w:rPr>
                <w:rFonts w:ascii="Cambria Math" w:hAnsi="Cambria Math" w:cstheme="minorHAnsi"/>
              </w:rPr>
              <m:t xml:space="preserve"> </m:t>
            </m:r>
            <m:r>
              <w:rPr>
                <w:rFonts w:ascii="Cambria Math" w:hAnsi="Cambria Math" w:cstheme="minorHAnsi"/>
              </w:rPr>
              <m:t>γ</m:t>
            </m:r>
          </m:e>
          <m:sub>
            <m:r>
              <w:rPr>
                <w:rFonts w:ascii="Cambria Math" w:hAnsi="Cambria Math" w:cstheme="minorHAnsi"/>
              </w:rPr>
              <m:t>STA</m:t>
            </m:r>
          </m:sub>
        </m:sSub>
        <m:r>
          <w:rPr>
            <w:rFonts w:ascii="Cambria Math" w:hAnsi="Cambria Math" w:cstheme="minorHAnsi"/>
          </w:rPr>
          <m:t xml:space="preserve"> </m:t>
        </m:r>
      </m:oMath>
      <w:r w:rsidR="00E1347C" w:rsidRPr="004244BB">
        <w:rPr>
          <w:rFonts w:cstheme="minorHAnsi"/>
        </w:rPr>
        <w:t xml:space="preserve">has been estimated considering only 66% of the initial absorption </w:t>
      </w:r>
      <w:r w:rsidR="00252EC2" w:rsidRPr="004244BB">
        <w:rPr>
          <w:rFonts w:cstheme="minorHAnsi"/>
        </w:rPr>
        <w:t xml:space="preserve">occurs on the &lt;n&gt; = 2 grains (according to </w:t>
      </w:r>
      <w:r w:rsidR="002520A5" w:rsidRPr="004244BB">
        <w:rPr>
          <w:rFonts w:cstheme="minorHAnsi"/>
        </w:rPr>
        <w:t xml:space="preserve">the </w:t>
      </w:r>
      <w:r w:rsidR="00603ED6" w:rsidRPr="004244BB">
        <w:rPr>
          <w:rFonts w:cstheme="minorHAnsi"/>
        </w:rPr>
        <w:t>decomposition of</w:t>
      </w:r>
      <w:r w:rsidR="002520A5" w:rsidRPr="004244BB">
        <w:rPr>
          <w:rFonts w:cstheme="minorHAnsi"/>
        </w:rPr>
        <w:t xml:space="preserve"> the</w:t>
      </w:r>
      <w:r w:rsidR="00603ED6" w:rsidRPr="004244BB">
        <w:rPr>
          <w:rFonts w:cstheme="minorHAnsi"/>
        </w:rPr>
        <w:t xml:space="preserve"> absorption spectrum in</w:t>
      </w:r>
      <w:r w:rsidR="00252EC2" w:rsidRPr="004244BB">
        <w:rPr>
          <w:rFonts w:cstheme="minorHAnsi"/>
        </w:rPr>
        <w:t xml:space="preserve"> Figure</w:t>
      </w:r>
      <w:r w:rsidR="00603ED6" w:rsidRPr="004244BB">
        <w:rPr>
          <w:rFonts w:cstheme="minorHAnsi"/>
        </w:rPr>
        <w:t> </w:t>
      </w:r>
      <w:r w:rsidR="00252EC2" w:rsidRPr="004244BB">
        <w:rPr>
          <w:rFonts w:cstheme="minorHAnsi"/>
        </w:rPr>
        <w:t>S</w:t>
      </w:r>
      <w:r w:rsidR="00603ED6" w:rsidRPr="004244BB">
        <w:rPr>
          <w:rFonts w:cstheme="minorHAnsi"/>
        </w:rPr>
        <w:t>2</w:t>
      </w:r>
      <w:r w:rsidR="00252EC2" w:rsidRPr="004244BB">
        <w:rPr>
          <w:rFonts w:cstheme="minorHAnsi"/>
        </w:rPr>
        <w:t>)</w:t>
      </w:r>
      <w:r w:rsidR="00292E67" w:rsidRPr="004244BB">
        <w:rPr>
          <w:rFonts w:cstheme="minorHAnsi"/>
        </w:rPr>
        <w:t>, which yields</w:t>
      </w:r>
      <w:r w:rsidR="00C17041" w:rsidRPr="004244BB">
        <w:rPr>
          <w:rFonts w:cstheme="minorHAnsi"/>
        </w:rPr>
        <w:t xml:space="preserve"> a STA rate</w:t>
      </w:r>
      <w:r w:rsidR="00292E67" w:rsidRPr="004244BB">
        <w:rPr>
          <w:rFonts w:cstheme="minorHAnsi"/>
        </w:rPr>
        <w:t xml:space="preserve"> </w:t>
      </w:r>
      <w:r w:rsidR="00C17041" w:rsidRPr="004244BB">
        <w:rPr>
          <w:rFonts w:cstheme="minorHAnsi"/>
        </w:rPr>
        <w:t>of</w:t>
      </w:r>
      <w:r w:rsidR="00292E67" w:rsidRPr="004244BB">
        <w:rPr>
          <w:rFonts w:cstheme="minorHAnsi"/>
        </w:rPr>
        <w:t xml:space="preserve"> </w:t>
      </w:r>
      <m:oMath>
        <m:sSub>
          <m:sSubPr>
            <m:ctrlPr>
              <w:rPr>
                <w:rFonts w:ascii="Cambria Math" w:hAnsi="Cambria Math" w:cstheme="minorHAnsi"/>
                <w:i/>
              </w:rPr>
            </m:ctrlPr>
          </m:sSubPr>
          <m:e>
            <m:r>
              <m:rPr>
                <m:sty m:val="p"/>
              </m:rPr>
              <w:rPr>
                <w:rFonts w:ascii="Cambria Math" w:hAnsi="Cambria Math" w:cstheme="minorHAnsi"/>
              </w:rPr>
              <m:t xml:space="preserve"> </m:t>
            </m:r>
            <m:r>
              <w:rPr>
                <w:rFonts w:ascii="Cambria Math" w:hAnsi="Cambria Math" w:cstheme="minorHAnsi"/>
              </w:rPr>
              <m:t>γ</m:t>
            </m:r>
          </m:e>
          <m:sub>
            <m:r>
              <w:rPr>
                <w:rFonts w:ascii="Cambria Math" w:hAnsi="Cambria Math" w:cstheme="minorHAnsi"/>
              </w:rPr>
              <m:t>STA</m:t>
            </m:r>
          </m:sub>
        </m:sSub>
        <m:r>
          <w:rPr>
            <w:rFonts w:ascii="Cambria Math" w:hAnsi="Cambria Math" w:cstheme="minorHAnsi"/>
          </w:rPr>
          <m:t> </m:t>
        </m:r>
      </m:oMath>
      <w:r w:rsidR="00C17041" w:rsidRPr="004244BB">
        <w:rPr>
          <w:rFonts w:cstheme="minorHAnsi"/>
        </w:rPr>
        <w:t>= 6.0∙10</w:t>
      </w:r>
      <w:r w:rsidR="00C17041" w:rsidRPr="004244BB">
        <w:rPr>
          <w:rFonts w:cstheme="minorHAnsi"/>
          <w:vertAlign w:val="superscript"/>
        </w:rPr>
        <w:t>-7 </w:t>
      </w:r>
      <w:r w:rsidR="00C17041" w:rsidRPr="004244BB">
        <w:rPr>
          <w:rFonts w:cstheme="minorHAnsi"/>
        </w:rPr>
        <w:t>cm</w:t>
      </w:r>
      <w:r w:rsidR="00C17041" w:rsidRPr="004244BB">
        <w:rPr>
          <w:rFonts w:cstheme="minorHAnsi"/>
          <w:vertAlign w:val="superscript"/>
        </w:rPr>
        <w:t>3</w:t>
      </w:r>
      <w:r w:rsidR="00C17041" w:rsidRPr="004244BB">
        <w:rPr>
          <w:rFonts w:cstheme="minorHAnsi"/>
        </w:rPr>
        <w:t>s</w:t>
      </w:r>
      <w:r w:rsidR="00C17041" w:rsidRPr="004244BB">
        <w:rPr>
          <w:rFonts w:cstheme="minorHAnsi"/>
          <w:vertAlign w:val="superscript"/>
        </w:rPr>
        <w:t>-1</w:t>
      </w:r>
      <w:r w:rsidR="00244B9B" w:rsidRPr="004244BB">
        <w:rPr>
          <w:rFonts w:cstheme="minorHAnsi"/>
        </w:rPr>
        <w:t>.</w:t>
      </w:r>
      <w:r w:rsidR="00486FF8" w:rsidRPr="004244BB">
        <w:rPr>
          <w:rFonts w:cstheme="minorHAnsi"/>
        </w:rPr>
        <w:t xml:space="preserve"> </w:t>
      </w:r>
    </w:p>
    <w:p w14:paraId="49953839" w14:textId="2E879C95" w:rsidR="00486FF8" w:rsidRPr="004244BB" w:rsidRDefault="00486FF8" w:rsidP="00EF5320">
      <w:pPr>
        <w:spacing w:line="480" w:lineRule="auto"/>
        <w:jc w:val="both"/>
        <w:rPr>
          <w:rFonts w:cstheme="minorHAnsi"/>
        </w:rPr>
      </w:pPr>
      <w:r w:rsidRPr="004244BB">
        <w:rPr>
          <w:rFonts w:cstheme="minorHAnsi"/>
        </w:rPr>
        <w:t>However, th</w:t>
      </w:r>
      <w:r w:rsidR="006A72FC" w:rsidRPr="004244BB">
        <w:rPr>
          <w:rFonts w:cstheme="minorHAnsi"/>
        </w:rPr>
        <w:t>e</w:t>
      </w:r>
      <w:r w:rsidRPr="004244BB">
        <w:rPr>
          <w:rFonts w:cstheme="minorHAnsi"/>
        </w:rPr>
        <w:t xml:space="preserve"> valu</w:t>
      </w:r>
      <w:r w:rsidR="00EB27EB" w:rsidRPr="004244BB">
        <w:rPr>
          <w:rFonts w:cstheme="minorHAnsi"/>
        </w:rPr>
        <w:t>e</w:t>
      </w:r>
      <w:r w:rsidRPr="004244BB">
        <w:rPr>
          <w:rFonts w:cstheme="minorHAnsi"/>
        </w:rPr>
        <w:t xml:space="preserve"> for </w:t>
      </w:r>
      <m:oMath>
        <m:sSub>
          <m:sSubPr>
            <m:ctrlPr>
              <w:rPr>
                <w:rFonts w:ascii="Cambria Math" w:hAnsi="Cambria Math" w:cstheme="minorHAnsi"/>
                <w:i/>
              </w:rPr>
            </m:ctrlPr>
          </m:sSubPr>
          <m:e>
            <m:r>
              <w:rPr>
                <w:rFonts w:ascii="Cambria Math" w:hAnsi="Cambria Math" w:cstheme="minorHAnsi"/>
              </w:rPr>
              <m:t>ϕ</m:t>
            </m:r>
          </m:e>
          <m:sub>
            <m:r>
              <w:rPr>
                <w:rFonts w:ascii="Cambria Math" w:hAnsi="Cambria Math" w:cstheme="minorHAnsi"/>
              </w:rPr>
              <m:t>ST</m:t>
            </m:r>
          </m:sub>
        </m:sSub>
        <m:r>
          <w:rPr>
            <w:rFonts w:ascii="Cambria Math" w:hAnsi="Cambria Math" w:cstheme="minorHAnsi"/>
          </w:rPr>
          <m:t xml:space="preserve"> </m:t>
        </m:r>
      </m:oMath>
      <w:r w:rsidR="00542AE2" w:rsidRPr="004244BB">
        <w:rPr>
          <w:rFonts w:cstheme="minorHAnsi"/>
        </w:rPr>
        <w:t>is</w:t>
      </w:r>
      <w:r w:rsidRPr="004244BB">
        <w:rPr>
          <w:rFonts w:cstheme="minorHAnsi"/>
        </w:rPr>
        <w:t xml:space="preserve"> only an estimation </w:t>
      </w:r>
      <w:r w:rsidR="00241D56" w:rsidRPr="004244BB">
        <w:rPr>
          <w:rFonts w:cstheme="minorHAnsi"/>
        </w:rPr>
        <w:t xml:space="preserve">since </w:t>
      </w:r>
      <w:r w:rsidR="00542AE2" w:rsidRPr="004244BB">
        <w:rPr>
          <w:rFonts w:cstheme="minorHAnsi"/>
        </w:rPr>
        <w:t xml:space="preserve">no </w:t>
      </w:r>
      <w:r w:rsidR="00241D56" w:rsidRPr="004244BB">
        <w:rPr>
          <w:rFonts w:cstheme="minorHAnsi"/>
        </w:rPr>
        <w:t xml:space="preserve">experimental data on the triplet </w:t>
      </w:r>
      <w:r w:rsidR="00542AE2" w:rsidRPr="004244BB">
        <w:rPr>
          <w:rFonts w:cstheme="minorHAnsi"/>
        </w:rPr>
        <w:t xml:space="preserve">generation quantum yield </w:t>
      </w:r>
      <w:r w:rsidR="00EB71A8" w:rsidRPr="004244BB">
        <w:rPr>
          <w:rFonts w:cstheme="minorHAnsi"/>
        </w:rPr>
        <w:t>in Q2D perovskite</w:t>
      </w:r>
      <w:r w:rsidR="005644FD" w:rsidRPr="004244BB">
        <w:rPr>
          <w:rFonts w:cstheme="minorHAnsi"/>
        </w:rPr>
        <w:t xml:space="preserve">s </w:t>
      </w:r>
      <w:r w:rsidR="00F444F9" w:rsidRPr="004244BB">
        <w:rPr>
          <w:rFonts w:cstheme="minorHAnsi"/>
        </w:rPr>
        <w:t xml:space="preserve">was available. Assuming </w:t>
      </w:r>
      <w:r w:rsidR="00BC393D" w:rsidRPr="004244BB">
        <w:rPr>
          <w:rFonts w:cstheme="minorHAnsi"/>
        </w:rPr>
        <w:t>a</w:t>
      </w:r>
      <w:r w:rsidR="00F444F9" w:rsidRPr="004244BB">
        <w:rPr>
          <w:rFonts w:cstheme="minorHAnsi"/>
        </w:rPr>
        <w:t xml:space="preserve"> lower </w:t>
      </w:r>
      <m:oMath>
        <m:sSub>
          <m:sSubPr>
            <m:ctrlPr>
              <w:rPr>
                <w:rFonts w:ascii="Cambria Math" w:hAnsi="Cambria Math" w:cstheme="minorHAnsi"/>
                <w:i/>
              </w:rPr>
            </m:ctrlPr>
          </m:sSubPr>
          <m:e>
            <m:r>
              <w:rPr>
                <w:rFonts w:ascii="Cambria Math" w:hAnsi="Cambria Math" w:cstheme="minorHAnsi"/>
              </w:rPr>
              <m:t>ϕ</m:t>
            </m:r>
          </m:e>
          <m:sub>
            <m:r>
              <w:rPr>
                <w:rFonts w:ascii="Cambria Math" w:hAnsi="Cambria Math" w:cstheme="minorHAnsi"/>
              </w:rPr>
              <m:t>ST</m:t>
            </m:r>
          </m:sub>
        </m:sSub>
      </m:oMath>
      <w:r w:rsidR="00F444F9" w:rsidRPr="004244BB">
        <w:rPr>
          <w:rFonts w:cstheme="minorHAnsi"/>
        </w:rPr>
        <w:t xml:space="preserve"> of only 0.5</w:t>
      </w:r>
      <w:r w:rsidR="00DE66AD" w:rsidRPr="004244BB">
        <w:rPr>
          <w:rFonts w:cstheme="minorHAnsi"/>
        </w:rPr>
        <w:t>,</w:t>
      </w:r>
      <w:r w:rsidR="00ED4E8E" w:rsidRPr="004244BB">
        <w:rPr>
          <w:rFonts w:cstheme="minorHAnsi"/>
        </w:rPr>
        <w:t xml:space="preserve"> </w:t>
      </w:r>
      <w:r w:rsidR="00A50EFB" w:rsidRPr="004244BB">
        <w:rPr>
          <w:rFonts w:cstheme="minorHAnsi"/>
        </w:rPr>
        <w:t xml:space="preserve">the corresponding STA rate </w:t>
      </w:r>
      <w:r w:rsidR="00F21124" w:rsidRPr="004244BB">
        <w:rPr>
          <w:rFonts w:cstheme="minorHAnsi"/>
        </w:rPr>
        <w:t>might</w:t>
      </w:r>
      <w:r w:rsidR="00FB221B" w:rsidRPr="004244BB">
        <w:rPr>
          <w:rFonts w:cstheme="minorHAnsi"/>
        </w:rPr>
        <w:t xml:space="preserve"> even be</w:t>
      </w:r>
      <w:r w:rsidR="009107D7" w:rsidRPr="004244BB">
        <w:rPr>
          <w:rFonts w:cstheme="minorHAnsi"/>
        </w:rPr>
        <w:t xml:space="preserve"> faster with </w:t>
      </w:r>
      <m:oMath>
        <m:sSub>
          <m:sSubPr>
            <m:ctrlPr>
              <w:rPr>
                <w:rFonts w:ascii="Cambria Math" w:hAnsi="Cambria Math" w:cstheme="minorHAnsi"/>
                <w:i/>
              </w:rPr>
            </m:ctrlPr>
          </m:sSubPr>
          <m:e>
            <m:r>
              <m:rPr>
                <m:sty m:val="p"/>
              </m:rPr>
              <w:rPr>
                <w:rFonts w:ascii="Cambria Math" w:hAnsi="Cambria Math" w:cstheme="minorHAnsi"/>
              </w:rPr>
              <m:t xml:space="preserve"> </m:t>
            </m:r>
            <m:r>
              <w:rPr>
                <w:rFonts w:ascii="Cambria Math" w:hAnsi="Cambria Math" w:cstheme="minorHAnsi"/>
              </w:rPr>
              <m:t>γ</m:t>
            </m:r>
          </m:e>
          <m:sub>
            <m:r>
              <w:rPr>
                <w:rFonts w:ascii="Cambria Math" w:hAnsi="Cambria Math" w:cstheme="minorHAnsi"/>
              </w:rPr>
              <m:t>STA</m:t>
            </m:r>
          </m:sub>
        </m:sSub>
      </m:oMath>
      <w:r w:rsidR="00481295" w:rsidRPr="004244BB">
        <w:rPr>
          <w:rFonts w:cstheme="minorHAnsi"/>
        </w:rPr>
        <w:t> = 5.5∙10</w:t>
      </w:r>
      <w:r w:rsidR="00481295" w:rsidRPr="004244BB">
        <w:rPr>
          <w:rFonts w:cstheme="minorHAnsi"/>
          <w:vertAlign w:val="superscript"/>
        </w:rPr>
        <w:t>-7 </w:t>
      </w:r>
      <w:r w:rsidR="00481295" w:rsidRPr="004244BB">
        <w:rPr>
          <w:rFonts w:cstheme="minorHAnsi"/>
        </w:rPr>
        <w:t>cm</w:t>
      </w:r>
      <w:r w:rsidR="00481295" w:rsidRPr="004244BB">
        <w:rPr>
          <w:rFonts w:cstheme="minorHAnsi"/>
          <w:vertAlign w:val="superscript"/>
        </w:rPr>
        <w:t>3</w:t>
      </w:r>
      <w:r w:rsidR="00481295" w:rsidRPr="004244BB">
        <w:rPr>
          <w:rFonts w:cstheme="minorHAnsi"/>
        </w:rPr>
        <w:t>s</w:t>
      </w:r>
      <w:r w:rsidR="00481295" w:rsidRPr="004244BB">
        <w:rPr>
          <w:rFonts w:cstheme="minorHAnsi"/>
          <w:vertAlign w:val="superscript"/>
        </w:rPr>
        <w:t>-1</w:t>
      </w:r>
      <w:r w:rsidR="000D2523" w:rsidRPr="004244BB">
        <w:rPr>
          <w:rFonts w:cstheme="minorHAnsi"/>
        </w:rPr>
        <w:t xml:space="preserve"> and </w:t>
      </w:r>
      <m:oMath>
        <m:sSub>
          <m:sSubPr>
            <m:ctrlPr>
              <w:rPr>
                <w:rFonts w:ascii="Cambria Math" w:hAnsi="Cambria Math" w:cstheme="minorHAnsi"/>
                <w:i/>
              </w:rPr>
            </m:ctrlPr>
          </m:sSubPr>
          <m:e>
            <m:r>
              <m:rPr>
                <m:sty m:val="p"/>
              </m:rPr>
              <w:rPr>
                <w:rFonts w:ascii="Cambria Math" w:hAnsi="Cambria Math" w:cstheme="minorHAnsi"/>
              </w:rPr>
              <m:t xml:space="preserve"> </m:t>
            </m:r>
            <m:r>
              <w:rPr>
                <w:rFonts w:ascii="Cambria Math" w:hAnsi="Cambria Math" w:cstheme="minorHAnsi"/>
              </w:rPr>
              <m:t>γ</m:t>
            </m:r>
          </m:e>
          <m:sub>
            <m:r>
              <w:rPr>
                <w:rFonts w:ascii="Cambria Math" w:hAnsi="Cambria Math" w:cstheme="minorHAnsi"/>
              </w:rPr>
              <m:t>STA</m:t>
            </m:r>
          </m:sub>
        </m:sSub>
      </m:oMath>
      <w:r w:rsidR="000D2523" w:rsidRPr="004244BB">
        <w:rPr>
          <w:rFonts w:cstheme="minorHAnsi"/>
        </w:rPr>
        <w:t> = </w:t>
      </w:r>
      <w:r w:rsidR="002924E8" w:rsidRPr="004244BB">
        <w:rPr>
          <w:rFonts w:cstheme="minorHAnsi"/>
        </w:rPr>
        <w:t>8.3</w:t>
      </w:r>
      <w:r w:rsidR="000D2523" w:rsidRPr="004244BB">
        <w:rPr>
          <w:rFonts w:cstheme="minorHAnsi"/>
        </w:rPr>
        <w:t>∙10</w:t>
      </w:r>
      <w:r w:rsidR="000D2523" w:rsidRPr="004244BB">
        <w:rPr>
          <w:rFonts w:cstheme="minorHAnsi"/>
          <w:vertAlign w:val="superscript"/>
        </w:rPr>
        <w:t>-7 </w:t>
      </w:r>
      <w:r w:rsidR="000D2523" w:rsidRPr="004244BB">
        <w:rPr>
          <w:rFonts w:cstheme="minorHAnsi"/>
        </w:rPr>
        <w:t>cm</w:t>
      </w:r>
      <w:r w:rsidR="000D2523" w:rsidRPr="004244BB">
        <w:rPr>
          <w:rFonts w:cstheme="minorHAnsi"/>
          <w:vertAlign w:val="superscript"/>
        </w:rPr>
        <w:t>3</w:t>
      </w:r>
      <w:r w:rsidR="000D2523" w:rsidRPr="004244BB">
        <w:rPr>
          <w:rFonts w:cstheme="minorHAnsi"/>
        </w:rPr>
        <w:t>s</w:t>
      </w:r>
      <w:r w:rsidR="000D2523" w:rsidRPr="004244BB">
        <w:rPr>
          <w:rFonts w:cstheme="minorHAnsi"/>
          <w:vertAlign w:val="superscript"/>
        </w:rPr>
        <w:t>-1</w:t>
      </w:r>
      <w:r w:rsidR="000D2523" w:rsidRPr="004244BB">
        <w:rPr>
          <w:rFonts w:cstheme="minorHAnsi"/>
        </w:rPr>
        <w:t>,</w:t>
      </w:r>
      <w:r w:rsidR="00FB221B" w:rsidRPr="004244BB">
        <w:rPr>
          <w:rFonts w:cstheme="minorHAnsi"/>
        </w:rPr>
        <w:t xml:space="preserve"> for </w:t>
      </w:r>
      <w:r w:rsidR="000D2523" w:rsidRPr="004244BB">
        <w:rPr>
          <w:rFonts w:cstheme="minorHAnsi"/>
        </w:rPr>
        <w:t>100% and only 66% absorption on the &lt;n&gt; = 2 grains</w:t>
      </w:r>
      <w:r w:rsidR="00315A88" w:rsidRPr="004244BB">
        <w:rPr>
          <w:rFonts w:cstheme="minorHAnsi"/>
        </w:rPr>
        <w:t>, respectively</w:t>
      </w:r>
      <w:r w:rsidR="00F21124" w:rsidRPr="004244BB">
        <w:rPr>
          <w:rFonts w:cstheme="minorHAnsi"/>
        </w:rPr>
        <w:t xml:space="preserve"> b</w:t>
      </w:r>
      <w:r w:rsidR="009107D7" w:rsidRPr="004244BB">
        <w:rPr>
          <w:rFonts w:cstheme="minorHAnsi"/>
        </w:rPr>
        <w:t xml:space="preserve">ut </w:t>
      </w:r>
      <w:r w:rsidR="00E91F8C" w:rsidRPr="004244BB">
        <w:rPr>
          <w:rFonts w:cstheme="minorHAnsi"/>
        </w:rPr>
        <w:t>still lies in the same order of magnitude</w:t>
      </w:r>
      <w:r w:rsidR="00132704" w:rsidRPr="004244BB">
        <w:rPr>
          <w:rFonts w:cstheme="minorHAnsi"/>
        </w:rPr>
        <w:t xml:space="preserve"> than the STA rate calculated</w:t>
      </w:r>
      <w:r w:rsidR="00E91F8C" w:rsidRPr="004244BB">
        <w:rPr>
          <w:rFonts w:cstheme="minorHAnsi"/>
        </w:rPr>
        <w:t xml:space="preserve"> with a</w:t>
      </w:r>
      <w:r w:rsidR="00132704" w:rsidRPr="004244BB">
        <w:rPr>
          <w:rFonts w:cstheme="minorHAnsi"/>
        </w:rPr>
        <w:t>n</w:t>
      </w:r>
      <w:r w:rsidR="00E91F8C" w:rsidRPr="004244BB">
        <w:rPr>
          <w:rFonts w:cstheme="minorHAnsi"/>
        </w:rPr>
        <w:t xml:space="preserve"> </w:t>
      </w:r>
      <m:oMath>
        <m:sSub>
          <m:sSubPr>
            <m:ctrlPr>
              <w:rPr>
                <w:rFonts w:ascii="Cambria Math" w:hAnsi="Cambria Math" w:cstheme="minorHAnsi"/>
                <w:i/>
              </w:rPr>
            </m:ctrlPr>
          </m:sSubPr>
          <m:e>
            <m:r>
              <w:rPr>
                <w:rFonts w:ascii="Cambria Math" w:hAnsi="Cambria Math" w:cstheme="minorHAnsi"/>
              </w:rPr>
              <m:t>ϕ</m:t>
            </m:r>
          </m:e>
          <m:sub>
            <m:r>
              <w:rPr>
                <w:rFonts w:ascii="Cambria Math" w:hAnsi="Cambria Math" w:cstheme="minorHAnsi"/>
              </w:rPr>
              <m:t>ST</m:t>
            </m:r>
          </m:sub>
        </m:sSub>
      </m:oMath>
      <w:r w:rsidR="00A50EFB" w:rsidRPr="004244BB">
        <w:rPr>
          <w:rFonts w:cstheme="minorHAnsi"/>
        </w:rPr>
        <w:t xml:space="preserve"> of 0.75.</w:t>
      </w:r>
    </w:p>
    <w:p w14:paraId="0703E28A" w14:textId="47D3304F" w:rsidR="00912AEC" w:rsidRPr="004244BB" w:rsidRDefault="00912AEC">
      <w:pPr>
        <w:rPr>
          <w:rFonts w:cstheme="minorHAnsi"/>
        </w:rPr>
      </w:pPr>
      <w:r w:rsidRPr="004244BB">
        <w:rPr>
          <w:rFonts w:cstheme="minorHAnsi"/>
        </w:rPr>
        <w:br w:type="page"/>
      </w:r>
    </w:p>
    <w:p w14:paraId="46FC5DF6" w14:textId="55766C21" w:rsidR="006420B9" w:rsidRPr="004244BB" w:rsidRDefault="00D94610" w:rsidP="006420B9">
      <w:pPr>
        <w:pStyle w:val="Heading1"/>
      </w:pPr>
      <w:bookmarkStart w:id="19" w:name="_Toc116033077"/>
      <w:r w:rsidRPr="004244BB">
        <w:lastRenderedPageBreak/>
        <w:t xml:space="preserve">Kinetic modelling to estimate </w:t>
      </w:r>
      <w:r w:rsidR="00E435EF" w:rsidRPr="004244BB">
        <w:t xml:space="preserve">boundaries for </w:t>
      </w:r>
      <m:oMath>
        <m:sSub>
          <m:sSubPr>
            <m:ctrlPr>
              <w:rPr>
                <w:rFonts w:ascii="Cambria Math" w:hAnsi="Cambria Math" w:cstheme="minorHAnsi"/>
                <w:i/>
              </w:rPr>
            </m:ctrlPr>
          </m:sSubPr>
          <m:e>
            <m:r>
              <m:rPr>
                <m:sty m:val="p"/>
              </m:rPr>
              <w:rPr>
                <w:rFonts w:ascii="Cambria Math" w:hAnsi="Cambria Math" w:cstheme="minorHAnsi"/>
              </w:rPr>
              <m:t xml:space="preserve"> </m:t>
            </m:r>
            <m:r>
              <w:rPr>
                <w:rFonts w:ascii="Cambria Math" w:hAnsi="Cambria Math" w:cstheme="minorHAnsi"/>
              </w:rPr>
              <m:t>γ</m:t>
            </m:r>
          </m:e>
          <m:sub>
            <m:r>
              <w:rPr>
                <w:rFonts w:ascii="Cambria Math" w:hAnsi="Cambria Math" w:cstheme="minorHAnsi"/>
              </w:rPr>
              <m:t>STA</m:t>
            </m:r>
          </m:sub>
        </m:sSub>
      </m:oMath>
      <w:r w:rsidRPr="004244BB">
        <w:t>:</w:t>
      </w:r>
      <w:bookmarkEnd w:id="19"/>
    </w:p>
    <w:p w14:paraId="6906BC0A" w14:textId="03547CD6" w:rsidR="006420B9" w:rsidRPr="004244BB" w:rsidRDefault="00B77AAC" w:rsidP="005938A7">
      <w:pPr>
        <w:spacing w:line="480" w:lineRule="auto"/>
        <w:jc w:val="both"/>
        <w:rPr>
          <w:rFonts w:cstheme="minorHAnsi"/>
        </w:rPr>
      </w:pPr>
      <w:r w:rsidRPr="004244BB">
        <w:rPr>
          <w:rFonts w:cstheme="minorHAnsi"/>
        </w:rPr>
        <w:t xml:space="preserve">In order to </w:t>
      </w:r>
      <w:r w:rsidR="009F1BC5" w:rsidRPr="004244BB">
        <w:rPr>
          <w:rFonts w:cstheme="minorHAnsi"/>
        </w:rPr>
        <w:t>simulate</w:t>
      </w:r>
      <w:r w:rsidRPr="004244BB">
        <w:rPr>
          <w:rFonts w:cstheme="minorHAnsi"/>
        </w:rPr>
        <w:t xml:space="preserve"> the ultrafast quenching potential of </w:t>
      </w:r>
      <w:r w:rsidR="001A4715" w:rsidRPr="004244BB">
        <w:rPr>
          <w:rFonts w:cstheme="minorHAnsi"/>
        </w:rPr>
        <w:t xml:space="preserve">the </w:t>
      </w:r>
      <w:r w:rsidRPr="004244BB">
        <w:rPr>
          <w:rFonts w:cstheme="minorHAnsi"/>
        </w:rPr>
        <w:t>accumulated triplet st</w:t>
      </w:r>
      <w:r w:rsidR="0064271E" w:rsidRPr="004244BB">
        <w:rPr>
          <w:rFonts w:cstheme="minorHAnsi"/>
        </w:rPr>
        <w:t>ates</w:t>
      </w:r>
      <w:r w:rsidR="009F1BC5" w:rsidRPr="004244BB">
        <w:rPr>
          <w:rFonts w:cstheme="minorHAnsi"/>
        </w:rPr>
        <w:t xml:space="preserve">, the exciton populations on the different grain sizes </w:t>
      </w:r>
      <w:r w:rsidR="001A4715" w:rsidRPr="004244BB">
        <w:rPr>
          <w:rFonts w:cstheme="minorHAnsi"/>
        </w:rPr>
        <w:t>been modelled</w:t>
      </w:r>
      <w:r w:rsidR="0065056E" w:rsidRPr="004244BB">
        <w:rPr>
          <w:rFonts w:cstheme="minorHAnsi"/>
        </w:rPr>
        <w:t xml:space="preserve">. </w:t>
      </w:r>
      <w:r w:rsidR="006853F0" w:rsidRPr="004244BB">
        <w:rPr>
          <w:rFonts w:cstheme="minorHAnsi"/>
        </w:rPr>
        <w:t xml:space="preserve"> </w:t>
      </w:r>
      <w:r w:rsidR="007A5AC6" w:rsidRPr="004244BB">
        <w:rPr>
          <w:rFonts w:cstheme="minorHAnsi"/>
        </w:rPr>
        <w:t xml:space="preserve">To do so, </w:t>
      </w:r>
      <w:r w:rsidR="00A2696C" w:rsidRPr="004244BB">
        <w:rPr>
          <w:rFonts w:cstheme="minorHAnsi"/>
        </w:rPr>
        <w:t>we solved</w:t>
      </w:r>
      <w:r w:rsidR="007A5AC6" w:rsidRPr="004244BB">
        <w:rPr>
          <w:rFonts w:cstheme="minorHAnsi"/>
        </w:rPr>
        <w:t xml:space="preserve"> </w:t>
      </w:r>
      <w:r w:rsidR="00BA1006" w:rsidRPr="004244BB">
        <w:rPr>
          <w:rFonts w:cstheme="minorHAnsi"/>
        </w:rPr>
        <w:t xml:space="preserve">coupled </w:t>
      </w:r>
      <w:r w:rsidR="000F7069" w:rsidRPr="004244BB">
        <w:rPr>
          <w:rFonts w:cstheme="minorHAnsi"/>
        </w:rPr>
        <w:t>rate equation</w:t>
      </w:r>
      <w:r w:rsidR="000F4D11" w:rsidRPr="004244BB">
        <w:rPr>
          <w:rFonts w:cstheme="minorHAnsi"/>
        </w:rPr>
        <w:t>s</w:t>
      </w:r>
      <w:r w:rsidR="000F7069" w:rsidRPr="004244BB">
        <w:rPr>
          <w:rFonts w:cstheme="minorHAnsi"/>
        </w:rPr>
        <w:t xml:space="preserve"> for</w:t>
      </w:r>
      <w:r w:rsidR="00BA1006" w:rsidRPr="004244BB">
        <w:rPr>
          <w:rFonts w:cstheme="minorHAnsi"/>
        </w:rPr>
        <w:t xml:space="preserve"> the</w:t>
      </w:r>
      <w:r w:rsidR="000F7069" w:rsidRPr="004244BB">
        <w:rPr>
          <w:rFonts w:cstheme="minorHAnsi"/>
        </w:rPr>
        <w:t xml:space="preserve"> exciton concentrations </w:t>
      </w:r>
      <w:r w:rsidR="00C34CFB" w:rsidRPr="004244BB">
        <w:rPr>
          <w:rFonts w:cstheme="minorHAnsi"/>
        </w:rPr>
        <w:t>on &lt;n&gt; = 8 and &lt;n&gt; = 2</w:t>
      </w:r>
      <w:r w:rsidR="000F4D11" w:rsidRPr="004244BB">
        <w:rPr>
          <w:rFonts w:cstheme="minorHAnsi"/>
        </w:rPr>
        <w:t xml:space="preserve"> grains</w:t>
      </w:r>
      <w:r w:rsidR="00C34CFB" w:rsidRPr="004244BB">
        <w:rPr>
          <w:rFonts w:cstheme="minorHAnsi"/>
        </w:rPr>
        <w:t xml:space="preserve"> </w:t>
      </w:r>
      <w:r w:rsidR="00A2696C" w:rsidRPr="004244BB">
        <w:rPr>
          <w:rFonts w:cstheme="minorHAnsi"/>
        </w:rPr>
        <w:t>by</w:t>
      </w:r>
      <w:r w:rsidR="0058548B" w:rsidRPr="004244BB">
        <w:rPr>
          <w:rFonts w:cstheme="minorHAnsi"/>
        </w:rPr>
        <w:t xml:space="preserve"> MATLAB </w:t>
      </w:r>
      <w:r w:rsidR="009F0620" w:rsidRPr="004244BB">
        <w:rPr>
          <w:rFonts w:cstheme="minorHAnsi"/>
        </w:rPr>
        <w:t>using the ODE45</w:t>
      </w:r>
      <w:r w:rsidR="00733CDB" w:rsidRPr="004244BB">
        <w:rPr>
          <w:rFonts w:cstheme="minorHAnsi"/>
        </w:rPr>
        <w:t xml:space="preserve"> </w:t>
      </w:r>
      <w:r w:rsidR="009F0620" w:rsidRPr="004244BB">
        <w:rPr>
          <w:rFonts w:cstheme="minorHAnsi"/>
        </w:rPr>
        <w:t>solver</w:t>
      </w:r>
      <w:r w:rsidR="00397169" w:rsidRPr="004244BB">
        <w:rPr>
          <w:rFonts w:cstheme="minorHAnsi"/>
        </w:rPr>
        <w:t xml:space="preserve"> and convoluted with a Gaussian function </w:t>
      </w:r>
      <w:r w:rsidR="00F64512" w:rsidRPr="004244BB">
        <w:rPr>
          <w:rFonts w:cstheme="minorHAnsi"/>
        </w:rPr>
        <w:t>t</w:t>
      </w:r>
      <w:r w:rsidR="00397169" w:rsidRPr="004244BB">
        <w:rPr>
          <w:rFonts w:cstheme="minorHAnsi"/>
        </w:rPr>
        <w:t>o account for the</w:t>
      </w:r>
      <w:r w:rsidR="001C0359" w:rsidRPr="004244BB">
        <w:rPr>
          <w:rFonts w:cstheme="minorHAnsi"/>
        </w:rPr>
        <w:t xml:space="preserve"> instantaneous response function</w:t>
      </w:r>
      <w:r w:rsidR="00397169" w:rsidRPr="004244BB">
        <w:rPr>
          <w:rFonts w:cstheme="minorHAnsi"/>
        </w:rPr>
        <w:t xml:space="preserve"> </w:t>
      </w:r>
      <m:oMath>
        <m:r>
          <w:rPr>
            <w:rFonts w:ascii="Cambria Math" w:hAnsi="Cambria Math"/>
          </w:rPr>
          <m:t>IRF</m:t>
        </m:r>
      </m:oMath>
      <w:r w:rsidR="001C0359" w:rsidRPr="004244BB">
        <w:rPr>
          <w:rFonts w:cstheme="minorHAnsi"/>
        </w:rPr>
        <w:t xml:space="preserve"> </w:t>
      </w:r>
      <w:r w:rsidR="00EA0026" w:rsidRPr="004244BB">
        <w:rPr>
          <w:rFonts w:cstheme="minorHAnsi"/>
        </w:rPr>
        <w:t>of the system</w:t>
      </w:r>
      <w:r w:rsidR="006D0C06" w:rsidRPr="004244BB">
        <w:rPr>
          <w:rFonts w:cstheme="minorHAnsi"/>
        </w:rPr>
        <w:t xml:space="preserve"> according to</w:t>
      </w:r>
    </w:p>
    <w:tbl>
      <w:tblPr>
        <w:tblpPr w:leftFromText="180" w:rightFromText="180" w:vertAnchor="text" w:horzAnchor="margin" w:tblpY="90"/>
        <w:tblW w:w="9016" w:type="dxa"/>
        <w:tblLayout w:type="fixed"/>
        <w:tblLook w:val="0400" w:firstRow="0" w:lastRow="0" w:firstColumn="0" w:lastColumn="0" w:noHBand="0" w:noVBand="1"/>
      </w:tblPr>
      <w:tblGrid>
        <w:gridCol w:w="1413"/>
        <w:gridCol w:w="6237"/>
        <w:gridCol w:w="1366"/>
      </w:tblGrid>
      <w:tr w:rsidR="00C26B21" w:rsidRPr="004244BB" w14:paraId="5E2312BE" w14:textId="77777777" w:rsidTr="00BB139C">
        <w:trPr>
          <w:trHeight w:val="680"/>
        </w:trPr>
        <w:tc>
          <w:tcPr>
            <w:tcW w:w="1413" w:type="dxa"/>
          </w:tcPr>
          <w:p w14:paraId="3591C3CB" w14:textId="77777777" w:rsidR="00C26B21" w:rsidRPr="004244BB" w:rsidRDefault="00C26B21" w:rsidP="00BB139C"/>
        </w:tc>
        <w:tc>
          <w:tcPr>
            <w:tcW w:w="6237" w:type="dxa"/>
          </w:tcPr>
          <w:p w14:paraId="341120A2" w14:textId="6477BEF8" w:rsidR="00C26B21" w:rsidRPr="004244BB" w:rsidRDefault="00152C10" w:rsidP="00BB139C">
            <w:pPr>
              <w:jc w:val="center"/>
              <w:rPr>
                <w:rFonts w:ascii="Cambria Math" w:eastAsia="Cambria Math" w:hAnsi="Cambria Math" w:cs="Cambria Math"/>
                <w:color w:val="000000"/>
                <w:szCs w:val="24"/>
              </w:rPr>
            </w:pPr>
            <m:oMathPara>
              <m:oMath>
                <m:sSub>
                  <m:sSubPr>
                    <m:ctrlPr>
                      <w:rPr>
                        <w:rFonts w:ascii="Cambria Math" w:hAnsi="Cambria Math"/>
                        <w:i/>
                      </w:rPr>
                    </m:ctrlPr>
                  </m:sSubPr>
                  <m:e>
                    <m:r>
                      <w:rPr>
                        <w:rFonts w:ascii="Cambria Math" w:hAnsi="Cambria Math"/>
                      </w:rPr>
                      <m:t>I</m:t>
                    </m:r>
                  </m:e>
                  <m:sub>
                    <m:r>
                      <w:rPr>
                        <w:rFonts w:ascii="Cambria Math" w:hAnsi="Cambria Math"/>
                      </w:rPr>
                      <m:t>P</m:t>
                    </m:r>
                    <m:sSub>
                      <m:sSubPr>
                        <m:ctrlPr>
                          <w:rPr>
                            <w:rFonts w:ascii="Cambria Math" w:hAnsi="Cambria Math"/>
                            <w:i/>
                          </w:rPr>
                        </m:ctrlPr>
                      </m:sSubPr>
                      <m:e>
                        <m:r>
                          <w:rPr>
                            <w:rFonts w:ascii="Cambria Math" w:hAnsi="Cambria Math"/>
                          </w:rPr>
                          <m:t>L</m:t>
                        </m:r>
                      </m:e>
                      <m:sub>
                        <m:r>
                          <w:rPr>
                            <w:rFonts w:ascii="Cambria Math" w:hAnsi="Cambria Math"/>
                          </w:rPr>
                          <m:t>&lt;n&gt; x</m:t>
                        </m:r>
                      </m:sub>
                    </m:sSub>
                  </m:sub>
                </m:sSub>
                <m:r>
                  <w:rPr>
                    <w:rFonts w:ascii="Cambria Math" w:hAnsi="Cambria Math"/>
                  </w:rPr>
                  <m:t>(t)=conv</m:t>
                </m:r>
                <m:d>
                  <m:dPr>
                    <m:begChr m:val="["/>
                    <m:endChr m:val="]"/>
                    <m:ctrlPr>
                      <w:rPr>
                        <w:rFonts w:ascii="Cambria Math" w:eastAsia="Times New Roman" w:hAnsi="Cambria Math" w:cs="Times New Roman"/>
                        <w:i/>
                        <w:sz w:val="24"/>
                        <w:szCs w:val="20"/>
                        <w:lang w:val="en-US"/>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&lt;n&gt;x</m:t>
                        </m:r>
                      </m:sub>
                    </m:sSub>
                    <m:r>
                      <w:rPr>
                        <w:rFonts w:ascii="Cambria Math" w:hAnsi="Cambria Math"/>
                      </w:rPr>
                      <m:t>(t)∙IRF</m:t>
                    </m:r>
                  </m:e>
                </m:d>
              </m:oMath>
            </m:oMathPara>
          </w:p>
        </w:tc>
        <w:tc>
          <w:tcPr>
            <w:tcW w:w="1366" w:type="dxa"/>
            <w:vAlign w:val="center"/>
          </w:tcPr>
          <w:p w14:paraId="101DB12F" w14:textId="43348CC1" w:rsidR="00C26B21" w:rsidRPr="004244BB" w:rsidRDefault="00AA5245" w:rsidP="00BB139C">
            <w:pPr>
              <w:pBdr>
                <w:top w:val="nil"/>
                <w:left w:val="nil"/>
                <w:bottom w:val="nil"/>
                <w:right w:val="nil"/>
                <w:between w:val="nil"/>
              </w:pBdr>
              <w:spacing w:after="0" w:line="480" w:lineRule="auto"/>
              <w:ind w:firstLine="202"/>
              <w:rPr>
                <w:rFonts w:eastAsia="Times" w:cs="Times"/>
                <w:color w:val="000000"/>
                <w:szCs w:val="24"/>
              </w:rPr>
            </w:pPr>
            <w:r w:rsidRPr="004244BB">
              <w:t>(S</w:t>
            </w:r>
            <w:r w:rsidR="00152C10">
              <w:fldChar w:fldCharType="begin"/>
            </w:r>
            <w:r w:rsidR="00152C10">
              <w:instrText xml:space="preserve"> SEQ Equation \* ARABIC </w:instrText>
            </w:r>
            <w:r w:rsidR="00152C10">
              <w:fldChar w:fldCharType="separate"/>
            </w:r>
            <w:r w:rsidRPr="004244BB">
              <w:rPr>
                <w:noProof/>
              </w:rPr>
              <w:t>13</w:t>
            </w:r>
            <w:r w:rsidR="00152C10">
              <w:rPr>
                <w:noProof/>
              </w:rPr>
              <w:fldChar w:fldCharType="end"/>
            </w:r>
            <w:r w:rsidRPr="004244BB">
              <w:t>)</w:t>
            </w:r>
          </w:p>
        </w:tc>
      </w:tr>
    </w:tbl>
    <w:p w14:paraId="019AEB41" w14:textId="67238BAA" w:rsidR="00EA0026" w:rsidRPr="004244BB" w:rsidRDefault="00033DB3" w:rsidP="005938A7">
      <w:pPr>
        <w:spacing w:line="480" w:lineRule="auto"/>
        <w:jc w:val="both"/>
        <w:rPr>
          <w:rFonts w:cstheme="minorHAnsi"/>
        </w:rPr>
      </w:pPr>
      <w:r w:rsidRPr="004244BB">
        <w:t xml:space="preserve">where </w:t>
      </w:r>
      <m:oMath>
        <m:sSub>
          <m:sSubPr>
            <m:ctrlPr>
              <w:rPr>
                <w:rFonts w:ascii="Cambria Math" w:hAnsi="Cambria Math"/>
                <w:i/>
              </w:rPr>
            </m:ctrlPr>
          </m:sSubPr>
          <m:e>
            <m:r>
              <w:rPr>
                <w:rFonts w:ascii="Cambria Math" w:hAnsi="Cambria Math"/>
              </w:rPr>
              <m:t>I</m:t>
            </m:r>
          </m:e>
          <m:sub>
            <m:r>
              <w:rPr>
                <w:rFonts w:ascii="Cambria Math" w:hAnsi="Cambria Math"/>
              </w:rPr>
              <m:t>P</m:t>
            </m:r>
            <m:sSub>
              <m:sSubPr>
                <m:ctrlPr>
                  <w:rPr>
                    <w:rFonts w:ascii="Cambria Math" w:hAnsi="Cambria Math"/>
                    <w:i/>
                  </w:rPr>
                </m:ctrlPr>
              </m:sSubPr>
              <m:e>
                <m:r>
                  <w:rPr>
                    <w:rFonts w:ascii="Cambria Math" w:hAnsi="Cambria Math"/>
                  </w:rPr>
                  <m:t>L</m:t>
                </m:r>
              </m:e>
              <m:sub>
                <m:r>
                  <w:rPr>
                    <w:rFonts w:ascii="Cambria Math" w:hAnsi="Cambria Math"/>
                  </w:rPr>
                  <m:t>&lt;n&gt; x</m:t>
                </m:r>
              </m:sub>
            </m:sSub>
          </m:sub>
        </m:sSub>
        <m:r>
          <w:rPr>
            <w:rFonts w:ascii="Cambria Math" w:hAnsi="Cambria Math"/>
          </w:rPr>
          <m:t>(t)</m:t>
        </m:r>
      </m:oMath>
      <w:r w:rsidRPr="004244BB">
        <w:t xml:space="preserve"> corresponds to the modelled experimental kinetics</w:t>
      </w:r>
      <w:r w:rsidR="003A7D78" w:rsidRPr="004244BB">
        <w:t xml:space="preserve"> </w:t>
      </w:r>
      <w:r w:rsidR="00CB0943" w:rsidRPr="004244BB">
        <w:t>from the different grain sizes</w:t>
      </w:r>
      <w:r w:rsidRPr="004244BB">
        <w:t>,</w:t>
      </w:r>
      <w:r w:rsidR="004C73E0" w:rsidRPr="004244BB">
        <w:t xml:space="preserve"> </w:t>
      </w:r>
      <m:oMath>
        <m:r>
          <w:rPr>
            <w:rFonts w:ascii="Cambria Math" w:hAnsi="Cambria Math"/>
          </w:rPr>
          <m:t>IRF=</m:t>
        </m:r>
        <m:f>
          <m:fPr>
            <m:type m:val="lin"/>
            <m:ctrlPr>
              <w:rPr>
                <w:rFonts w:ascii="Cambria Math" w:hAnsi="Cambria Math"/>
                <w:i/>
              </w:rPr>
            </m:ctrlPr>
          </m:fPr>
          <m:num>
            <m:r>
              <w:rPr>
                <w:rFonts w:ascii="Cambria Math" w:hAnsi="Cambria Math"/>
              </w:rPr>
              <m:t>A</m:t>
            </m:r>
          </m:num>
          <m:den>
            <m:rad>
              <m:radPr>
                <m:degHide m:val="1"/>
                <m:ctrlPr>
                  <w:rPr>
                    <w:rFonts w:ascii="Cambria Math" w:hAnsi="Cambria Math"/>
                    <w:i/>
                  </w:rPr>
                </m:ctrlPr>
              </m:radPr>
              <m:deg/>
              <m:e>
                <m:r>
                  <w:rPr>
                    <w:rFonts w:ascii="Cambria Math" w:hAnsi="Cambria Math"/>
                  </w:rPr>
                  <m:t>2π</m:t>
                </m:r>
                <m:sSup>
                  <m:sSupPr>
                    <m:ctrlPr>
                      <w:rPr>
                        <w:rFonts w:ascii="Cambria Math" w:hAnsi="Cambria Math"/>
                        <w:i/>
                      </w:rPr>
                    </m:ctrlPr>
                  </m:sSupPr>
                  <m:e>
                    <m:r>
                      <w:rPr>
                        <w:rFonts w:ascii="Cambria Math" w:hAnsi="Cambria Math"/>
                      </w:rPr>
                      <m:t>σ</m:t>
                    </m:r>
                  </m:e>
                  <m:sup>
                    <m:r>
                      <w:rPr>
                        <w:rFonts w:ascii="Cambria Math" w:hAnsi="Cambria Math"/>
                      </w:rPr>
                      <m:t>2</m:t>
                    </m:r>
                  </m:sup>
                </m:sSup>
              </m:e>
            </m:ra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e>
                  <m:sup>
                    <m:r>
                      <w:rPr>
                        <w:rFonts w:ascii="Cambria Math" w:hAnsi="Cambria Math"/>
                      </w:rPr>
                      <m:t>2</m:t>
                    </m:r>
                  </m:sup>
                </m:sSup>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sup>
            </m:sSup>
          </m:den>
        </m:f>
      </m:oMath>
      <w:r w:rsidR="003A7D78" w:rsidRPr="004244BB">
        <w:t xml:space="preserve"> is the instantaneous response function of the photoluminescence setup described by a Gaussian function with a width </w:t>
      </w:r>
      <m:oMath>
        <m:r>
          <w:rPr>
            <w:rFonts w:ascii="Cambria Math" w:hAnsi="Cambria Math"/>
          </w:rPr>
          <m:t>σ</m:t>
        </m:r>
      </m:oMath>
      <w:r w:rsidR="003A7D78" w:rsidRPr="004244BB">
        <w:t xml:space="preserve"> of </w:t>
      </w:r>
      <m:oMath>
        <m:f>
          <m:fPr>
            <m:type m:val="lin"/>
            <m:ctrlPr>
              <w:rPr>
                <w:rFonts w:ascii="Cambria Math" w:hAnsi="Cambria Math"/>
                <w:i/>
              </w:rPr>
            </m:ctrlPr>
          </m:fPr>
          <m:num>
            <m:r>
              <m:rPr>
                <m:sty m:val="p"/>
              </m:rPr>
              <w:rPr>
                <w:rFonts w:ascii="Cambria Math" w:hAnsi="Cambria Math"/>
              </w:rPr>
              <m:t>160fs</m:t>
            </m:r>
          </m:num>
          <m:den>
            <m:rad>
              <m:radPr>
                <m:degHide m:val="1"/>
                <m:ctrlPr>
                  <w:rPr>
                    <w:rFonts w:ascii="Cambria Math" w:hAnsi="Cambria Math"/>
                    <w:i/>
                  </w:rPr>
                </m:ctrlPr>
              </m:radPr>
              <m:deg/>
              <m:e>
                <m:r>
                  <m:rPr>
                    <m:sty m:val="p"/>
                  </m:rPr>
                  <w:rPr>
                    <w:rFonts w:ascii="Cambria Math" w:hAnsi="Cambria Math"/>
                  </w:rPr>
                  <m:t>ln⁡</m:t>
                </m:r>
                <m:r>
                  <w:rPr>
                    <w:rFonts w:ascii="Cambria Math" w:hAnsi="Cambria Math"/>
                  </w:rPr>
                  <m:t>(4)</m:t>
                </m:r>
              </m:e>
            </m:rad>
          </m:den>
        </m:f>
      </m:oMath>
      <w:r w:rsidR="000E7BC5" w:rsidRPr="004244BB">
        <w:t xml:space="preserve">, and </w:t>
      </w:r>
      <m:oMath>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&lt;n&gt;x</m:t>
            </m:r>
          </m:sub>
        </m:sSub>
      </m:oMath>
      <w:r w:rsidR="000E7BC5" w:rsidRPr="004244BB">
        <w:rPr>
          <w:rFonts w:cstheme="minorHAnsi"/>
        </w:rPr>
        <w:t xml:space="preserve"> is </w:t>
      </w:r>
      <w:r w:rsidR="000E7BC5" w:rsidRPr="004244BB">
        <w:t xml:space="preserve">the </w:t>
      </w:r>
      <w:r w:rsidR="000E7BC5" w:rsidRPr="004244BB">
        <w:rPr>
          <w:rFonts w:cstheme="minorHAnsi"/>
        </w:rPr>
        <w:t>time-dependent</w:t>
      </w:r>
      <w:r w:rsidR="00CA5EE2" w:rsidRPr="004244BB">
        <w:rPr>
          <w:rFonts w:cstheme="minorHAnsi"/>
        </w:rPr>
        <w:t xml:space="preserve"> exciton</w:t>
      </w:r>
      <w:r w:rsidR="000E7BC5" w:rsidRPr="004244BB">
        <w:rPr>
          <w:rFonts w:cstheme="minorHAnsi"/>
        </w:rPr>
        <w:t xml:space="preserve"> population on the specific grain</w:t>
      </w:r>
      <w:r w:rsidR="00CA5EE2" w:rsidRPr="004244BB">
        <w:rPr>
          <w:rFonts w:cstheme="minorHAnsi"/>
        </w:rPr>
        <w:t xml:space="preserve">s </w:t>
      </w:r>
      <w:r w:rsidR="00EE1D39" w:rsidRPr="004244BB">
        <w:rPr>
          <w:rFonts w:cstheme="minorHAnsi"/>
        </w:rPr>
        <w:t>described by the rate equations:</w:t>
      </w:r>
    </w:p>
    <w:tbl>
      <w:tblPr>
        <w:tblpPr w:leftFromText="180" w:rightFromText="180" w:vertAnchor="text" w:horzAnchor="margin" w:tblpY="90"/>
        <w:tblW w:w="9016" w:type="dxa"/>
        <w:tblLayout w:type="fixed"/>
        <w:tblLook w:val="0400" w:firstRow="0" w:lastRow="0" w:firstColumn="0" w:lastColumn="0" w:noHBand="0" w:noVBand="1"/>
      </w:tblPr>
      <w:tblGrid>
        <w:gridCol w:w="704"/>
        <w:gridCol w:w="7371"/>
        <w:gridCol w:w="941"/>
      </w:tblGrid>
      <w:tr w:rsidR="007A1858" w:rsidRPr="004244BB" w14:paraId="2C7DF4E0" w14:textId="77777777" w:rsidTr="00E50838">
        <w:tc>
          <w:tcPr>
            <w:tcW w:w="704" w:type="dxa"/>
          </w:tcPr>
          <w:p w14:paraId="3AEE0400" w14:textId="77777777" w:rsidR="007A1858" w:rsidRPr="004244BB" w:rsidRDefault="007A1858" w:rsidP="00E50838"/>
        </w:tc>
        <w:tc>
          <w:tcPr>
            <w:tcW w:w="7371" w:type="dxa"/>
          </w:tcPr>
          <w:p w14:paraId="581C39D5" w14:textId="2387FD96" w:rsidR="007A1858" w:rsidRPr="004244BB" w:rsidRDefault="00152C10" w:rsidP="00E50838">
            <w:pPr>
              <w:jc w:val="center"/>
              <w:rPr>
                <w:rFonts w:ascii="Cambria Math" w:eastAsia="Cambria Math" w:hAnsi="Cambria Math" w:cs="Cambria Math"/>
                <w:color w:val="000000"/>
                <w:szCs w:val="24"/>
              </w:rPr>
            </w:pPr>
            <m:oMathPara>
              <m:oMath>
                <m:f>
                  <m:fPr>
                    <m:ctrlPr>
                      <w:rPr>
                        <w:rFonts w:ascii="Cambria Math" w:hAnsi="Cambria Math"/>
                        <w:i/>
                      </w:rPr>
                    </m:ctrlPr>
                  </m:fPr>
                  <m:num>
                    <m:r>
                      <w:rPr>
                        <w:rFonts w:ascii="Cambria Math" w:hAnsi="Cambria Math"/>
                      </w:rPr>
                      <m:t xml:space="preserve">d </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&lt;n&gt;2</m:t>
                        </m:r>
                      </m:sub>
                    </m:sSub>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&lt;n&gt;2</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&lt;n&gt;2</m:t>
                    </m:r>
                  </m:sub>
                </m:sSub>
                <m:r>
                  <w:rPr>
                    <w:rFonts w:ascii="Cambria Math" w:hAnsi="Cambria Math"/>
                  </w:rPr>
                  <m:t>(t)-</m:t>
                </m:r>
                <m:sSub>
                  <m:sSubPr>
                    <m:ctrlPr>
                      <w:rPr>
                        <w:rFonts w:ascii="Cambria Math" w:hAnsi="Cambria Math"/>
                        <w:i/>
                      </w:rPr>
                    </m:ctrlPr>
                  </m:sSubPr>
                  <m:e>
                    <m:r>
                      <w:rPr>
                        <w:rFonts w:ascii="Cambria Math" w:hAnsi="Cambria Math"/>
                      </w:rPr>
                      <m:t>k</m:t>
                    </m:r>
                  </m:e>
                  <m:sub>
                    <m:r>
                      <w:rPr>
                        <w:rFonts w:ascii="Cambria Math" w:hAnsi="Cambria Math"/>
                      </w:rPr>
                      <m:t>SSA</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&lt;n&gt;2</m:t>
                    </m:r>
                  </m:sub>
                </m:sSub>
                <m:r>
                  <w:rPr>
                    <w:rFonts w:ascii="Cambria Math" w:hAnsi="Cambria Math"/>
                  </w:rPr>
                  <m:t>(t)∙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&lt;n&gt;2</m:t>
                    </m:r>
                  </m:sub>
                </m:sSub>
                <m:r>
                  <w:rPr>
                    <w:rFonts w:ascii="Cambria Math" w:hAnsi="Cambria Math"/>
                  </w:rPr>
                  <m:t>(t)-</m:t>
                </m:r>
                <m:sSub>
                  <m:sSubPr>
                    <m:ctrlPr>
                      <w:rPr>
                        <w:rFonts w:ascii="Cambria Math" w:hAnsi="Cambria Math"/>
                        <w:i/>
                      </w:rPr>
                    </m:ctrlPr>
                  </m:sSubPr>
                  <m:e>
                    <m:r>
                      <w:rPr>
                        <w:rFonts w:ascii="Cambria Math" w:hAnsi="Cambria Math"/>
                      </w:rPr>
                      <m:t>k</m:t>
                    </m:r>
                  </m:e>
                  <m:sub>
                    <m:r>
                      <w:rPr>
                        <w:rFonts w:ascii="Cambria Math" w:hAnsi="Cambria Math"/>
                      </w:rPr>
                      <m:t>STA</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&lt;n&gt;2</m:t>
                    </m:r>
                  </m:sub>
                </m:sSub>
                <m:r>
                  <w:rPr>
                    <w:rFonts w:ascii="Cambria Math" w:hAnsi="Cambria Math"/>
                  </w:rPr>
                  <m:t>(t)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oMath>
            </m:oMathPara>
          </w:p>
        </w:tc>
        <w:tc>
          <w:tcPr>
            <w:tcW w:w="941" w:type="dxa"/>
            <w:vAlign w:val="center"/>
          </w:tcPr>
          <w:p w14:paraId="4DE3854F" w14:textId="04919541" w:rsidR="007A1858" w:rsidRPr="004244BB" w:rsidRDefault="00AA5245" w:rsidP="00E50838">
            <w:pPr>
              <w:pBdr>
                <w:top w:val="nil"/>
                <w:left w:val="nil"/>
                <w:bottom w:val="nil"/>
                <w:right w:val="nil"/>
                <w:between w:val="nil"/>
              </w:pBdr>
              <w:spacing w:after="0" w:line="480" w:lineRule="auto"/>
              <w:ind w:firstLine="202"/>
              <w:rPr>
                <w:rFonts w:eastAsia="Times" w:cs="Times"/>
                <w:color w:val="000000"/>
                <w:szCs w:val="24"/>
              </w:rPr>
            </w:pPr>
            <w:r w:rsidRPr="004244BB">
              <w:t>(S</w:t>
            </w:r>
            <w:r w:rsidR="00152C10">
              <w:fldChar w:fldCharType="begin"/>
            </w:r>
            <w:r w:rsidR="00152C10">
              <w:instrText xml:space="preserve"> SEQ Equation \* ARABIC </w:instrText>
            </w:r>
            <w:r w:rsidR="00152C10">
              <w:fldChar w:fldCharType="separate"/>
            </w:r>
            <w:r w:rsidRPr="004244BB">
              <w:rPr>
                <w:noProof/>
              </w:rPr>
              <w:t>14</w:t>
            </w:r>
            <w:r w:rsidR="00152C10">
              <w:rPr>
                <w:noProof/>
              </w:rPr>
              <w:fldChar w:fldCharType="end"/>
            </w:r>
            <w:r w:rsidRPr="004244BB">
              <w:t>)</w:t>
            </w:r>
          </w:p>
        </w:tc>
      </w:tr>
      <w:tr w:rsidR="007A1858" w:rsidRPr="004244BB" w14:paraId="2BE3E901" w14:textId="77777777" w:rsidTr="00E50838">
        <w:trPr>
          <w:trHeight w:val="1134"/>
        </w:trPr>
        <w:tc>
          <w:tcPr>
            <w:tcW w:w="704" w:type="dxa"/>
          </w:tcPr>
          <w:p w14:paraId="772812A8" w14:textId="77777777" w:rsidR="007A1858" w:rsidRPr="004244BB" w:rsidRDefault="007A1858" w:rsidP="00E50838"/>
        </w:tc>
        <w:tc>
          <w:tcPr>
            <w:tcW w:w="7371" w:type="dxa"/>
          </w:tcPr>
          <w:p w14:paraId="5760BCB4" w14:textId="38275ACD" w:rsidR="007A1858" w:rsidRPr="004244BB" w:rsidRDefault="00152C10" w:rsidP="008B1A30">
            <w:pPr>
              <w:spacing w:after="120" w:line="480" w:lineRule="auto"/>
              <w:jc w:val="center"/>
              <w:rPr>
                <w:rFonts w:ascii="Cambria Math" w:eastAsia="Cambria Math" w:hAnsi="Cambria Math" w:cs="Cambria Math"/>
                <w:color w:val="000000"/>
                <w:szCs w:val="24"/>
              </w:rPr>
            </w:pPr>
            <m:oMathPara>
              <m:oMath>
                <m:f>
                  <m:fPr>
                    <m:ctrlPr>
                      <w:rPr>
                        <w:rFonts w:ascii="Cambria Math" w:hAnsi="Cambria Math"/>
                        <w:i/>
                      </w:rPr>
                    </m:ctrlPr>
                  </m:fPr>
                  <m:num>
                    <m:r>
                      <w:rPr>
                        <w:rFonts w:ascii="Cambria Math" w:hAnsi="Cambria Math"/>
                      </w:rPr>
                      <m:t xml:space="preserve">d </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&lt;n&gt;8</m:t>
                        </m:r>
                      </m:sub>
                    </m:sSub>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&lt;n&gt;8</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&lt;n&gt;8</m:t>
                    </m:r>
                  </m:sub>
                </m:sSub>
                <m:r>
                  <w:rPr>
                    <w:rFonts w:ascii="Cambria Math" w:hAnsi="Cambria Math"/>
                  </w:rPr>
                  <m:t>(t)-</m:t>
                </m:r>
                <m:sSub>
                  <m:sSubPr>
                    <m:ctrlPr>
                      <w:rPr>
                        <w:rFonts w:ascii="Cambria Math" w:hAnsi="Cambria Math"/>
                        <w:i/>
                      </w:rPr>
                    </m:ctrlPr>
                  </m:sSubPr>
                  <m:e>
                    <m:r>
                      <w:rPr>
                        <w:rFonts w:ascii="Cambria Math" w:hAnsi="Cambria Math"/>
                      </w:rPr>
                      <m:t>k</m:t>
                    </m:r>
                  </m:e>
                  <m:sub>
                    <m:r>
                      <w:rPr>
                        <w:rFonts w:ascii="Cambria Math" w:hAnsi="Cambria Math"/>
                      </w:rPr>
                      <m:t>SSA</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&lt;n&gt;8</m:t>
                    </m:r>
                  </m:sub>
                </m:sSub>
                <m:r>
                  <w:rPr>
                    <w:rFonts w:ascii="Cambria Math" w:hAnsi="Cambria Math"/>
                  </w:rPr>
                  <m:t>(t)∙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&lt;n&gt;8</m:t>
                    </m:r>
                  </m:sub>
                </m:sSub>
                <m:r>
                  <w:rPr>
                    <w:rFonts w:ascii="Cambria Math" w:hAnsi="Cambria Math"/>
                  </w:rPr>
                  <m:t>(t)+</m:t>
                </m:r>
                <m:sSub>
                  <m:sSubPr>
                    <m:ctrlPr>
                      <w:rPr>
                        <w:rFonts w:ascii="Cambria Math" w:hAnsi="Cambria Math"/>
                        <w:i/>
                      </w:rPr>
                    </m:ctrlPr>
                  </m:sSubPr>
                  <m:e>
                    <m:r>
                      <w:rPr>
                        <w:rFonts w:ascii="Cambria Math" w:hAnsi="Cambria Math"/>
                      </w:rPr>
                      <m:t>k</m:t>
                    </m:r>
                  </m:e>
                  <m:sub>
                    <m:r>
                      <w:rPr>
                        <w:rFonts w:ascii="Cambria Math" w:hAnsi="Cambria Math"/>
                      </w:rPr>
                      <m:t>&lt;n&gt;2</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&lt;n&gt;2</m:t>
                    </m:r>
                  </m:sub>
                </m:sSub>
                <m:r>
                  <w:rPr>
                    <w:rFonts w:ascii="Cambria Math" w:hAnsi="Cambria Math"/>
                  </w:rPr>
                  <m:t>(t)+</m:t>
                </m:r>
                <m:sSub>
                  <m:sSubPr>
                    <m:ctrlPr>
                      <w:rPr>
                        <w:rFonts w:ascii="Cambria Math" w:hAnsi="Cambria Math"/>
                        <w:i/>
                      </w:rPr>
                    </m:ctrlPr>
                  </m:sSubPr>
                  <m:e>
                    <m:r>
                      <w:rPr>
                        <w:rFonts w:ascii="Cambria Math" w:hAnsi="Cambria Math"/>
                      </w:rPr>
                      <m:t>k</m:t>
                    </m:r>
                  </m:e>
                  <m:sub>
                    <m:r>
                      <w:rPr>
                        <w:rFonts w:ascii="Cambria Math" w:hAnsi="Cambria Math"/>
                      </w:rPr>
                      <m:t>SSA</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&lt;n&gt;2</m:t>
                    </m:r>
                  </m:sub>
                </m:sSub>
                <m:r>
                  <w:rPr>
                    <w:rFonts w:ascii="Cambria Math" w:hAnsi="Cambria Math"/>
                  </w:rPr>
                  <m:t>(t)∙</m:t>
                </m:r>
                <m:sSub>
                  <m:sSubPr>
                    <m:ctrlPr>
                      <w:rPr>
                        <w:rFonts w:ascii="Cambria Math" w:hAnsi="Cambria Math"/>
                        <w:i/>
                      </w:rPr>
                    </m:ctrlPr>
                  </m:sSubPr>
                  <m:e>
                    <m:sSub>
                      <m:sSubPr>
                        <m:ctrlPr>
                          <w:rPr>
                            <w:rFonts w:ascii="Cambria Math" w:hAnsi="Cambria Math"/>
                            <w:i/>
                          </w:rPr>
                        </m:ctrlPr>
                      </m:sSubPr>
                      <m:e>
                        <m:r>
                          <w:rPr>
                            <w:rFonts w:ascii="Cambria Math" w:hAnsi="Cambria Math"/>
                          </w:rPr>
                          <m:t>n</m:t>
                        </m:r>
                      </m:e>
                      <m:sub>
                        <m:r>
                          <w:rPr>
                            <w:rFonts w:ascii="Cambria Math" w:hAnsi="Cambria Math"/>
                          </w:rPr>
                          <m:t>c</m:t>
                        </m:r>
                      </m:sub>
                    </m:sSub>
                  </m:e>
                  <m:sub>
                    <m:r>
                      <w:rPr>
                        <w:rFonts w:ascii="Cambria Math" w:hAnsi="Cambria Math"/>
                      </w:rPr>
                      <m:t>&lt;n&gt;2</m:t>
                    </m:r>
                  </m:sub>
                </m:sSub>
                <m:r>
                  <w:rPr>
                    <w:rFonts w:ascii="Cambria Math" w:hAnsi="Cambria Math"/>
                  </w:rPr>
                  <m:t>(t)</m:t>
                </m:r>
              </m:oMath>
            </m:oMathPara>
          </w:p>
        </w:tc>
        <w:tc>
          <w:tcPr>
            <w:tcW w:w="941" w:type="dxa"/>
            <w:vAlign w:val="center"/>
          </w:tcPr>
          <w:p w14:paraId="35342107" w14:textId="47F9E8C8" w:rsidR="007A1858" w:rsidRPr="004244BB" w:rsidRDefault="00AA5245" w:rsidP="00E50838">
            <w:pPr>
              <w:pBdr>
                <w:top w:val="nil"/>
                <w:left w:val="nil"/>
                <w:bottom w:val="nil"/>
                <w:right w:val="nil"/>
                <w:between w:val="nil"/>
              </w:pBdr>
              <w:spacing w:after="0" w:line="480" w:lineRule="auto"/>
              <w:ind w:firstLine="202"/>
              <w:rPr>
                <w:rFonts w:eastAsia="Times" w:cs="Times"/>
                <w:color w:val="000000"/>
                <w:szCs w:val="24"/>
              </w:rPr>
            </w:pPr>
            <w:r w:rsidRPr="004244BB">
              <w:t>(S</w:t>
            </w:r>
            <w:r w:rsidR="00152C10">
              <w:fldChar w:fldCharType="begin"/>
            </w:r>
            <w:r w:rsidR="00152C10">
              <w:instrText xml:space="preserve"> SEQ Equation \* ARABIC </w:instrText>
            </w:r>
            <w:r w:rsidR="00152C10">
              <w:fldChar w:fldCharType="separate"/>
            </w:r>
            <w:r w:rsidRPr="004244BB">
              <w:rPr>
                <w:noProof/>
              </w:rPr>
              <w:t>15</w:t>
            </w:r>
            <w:r w:rsidR="00152C10">
              <w:rPr>
                <w:noProof/>
              </w:rPr>
              <w:fldChar w:fldCharType="end"/>
            </w:r>
            <w:r w:rsidRPr="004244BB">
              <w:t>)</w:t>
            </w:r>
          </w:p>
        </w:tc>
      </w:tr>
    </w:tbl>
    <w:p w14:paraId="643607A5" w14:textId="4334A7B8" w:rsidR="004D7CB9" w:rsidRPr="004244BB" w:rsidRDefault="00F42A5F" w:rsidP="00956029">
      <w:pPr>
        <w:spacing w:line="480" w:lineRule="auto"/>
        <w:jc w:val="both"/>
        <w:rPr>
          <w:rFonts w:cstheme="minorHAnsi"/>
        </w:rPr>
      </w:pPr>
      <w:r w:rsidRPr="004244BB">
        <w:rPr>
          <w:rFonts w:cstheme="minorHAnsi"/>
        </w:rPr>
        <w:t xml:space="preserve">where </w:t>
      </w:r>
      <m:oMath>
        <m:sSub>
          <m:sSubPr>
            <m:ctrlPr>
              <w:rPr>
                <w:rFonts w:ascii="Cambria Math" w:hAnsi="Cambria Math"/>
                <w:i/>
              </w:rPr>
            </m:ctrlPr>
          </m:sSubPr>
          <m:e>
            <m:r>
              <w:rPr>
                <w:rFonts w:ascii="Cambria Math" w:hAnsi="Cambria Math"/>
              </w:rPr>
              <m:t>k</m:t>
            </m:r>
          </m:e>
          <m:sub>
            <m:r>
              <w:rPr>
                <w:rFonts w:ascii="Cambria Math" w:hAnsi="Cambria Math"/>
              </w:rPr>
              <m:t>&lt;n&gt;x</m:t>
            </m:r>
          </m:sub>
        </m:sSub>
      </m:oMath>
      <w:r w:rsidR="00207465" w:rsidRPr="004244BB">
        <w:rPr>
          <w:rFonts w:cstheme="minorHAnsi"/>
        </w:rPr>
        <w:t xml:space="preserve"> is the </w:t>
      </w:r>
      <w:r w:rsidR="00A9015F" w:rsidRPr="004244BB">
        <w:rPr>
          <w:rFonts w:cstheme="minorHAnsi"/>
        </w:rPr>
        <w:t xml:space="preserve">singlet exciton </w:t>
      </w:r>
      <w:r w:rsidR="0083611A" w:rsidRPr="004244BB">
        <w:rPr>
          <w:rFonts w:cstheme="minorHAnsi"/>
        </w:rPr>
        <w:t>decay rate.</w:t>
      </w:r>
    </w:p>
    <w:p w14:paraId="0AF2BD51" w14:textId="63D5C7CF" w:rsidR="00C4043F" w:rsidRDefault="0026266F" w:rsidP="00C4043F">
      <w:pPr>
        <w:spacing w:line="480" w:lineRule="auto"/>
        <w:jc w:val="both"/>
        <w:rPr>
          <w:rFonts w:cstheme="minorHAnsi"/>
        </w:rPr>
      </w:pPr>
      <w:r w:rsidRPr="004244BB">
        <w:rPr>
          <w:rFonts w:cstheme="minorHAnsi"/>
        </w:rPr>
        <w:t>T</w:t>
      </w:r>
      <w:r w:rsidR="007E0345" w:rsidRPr="004244BB">
        <w:rPr>
          <w:rFonts w:cstheme="minorHAnsi"/>
        </w:rPr>
        <w:t>he</w:t>
      </w:r>
      <w:r w:rsidRPr="004244BB">
        <w:rPr>
          <w:rFonts w:cstheme="minorHAnsi"/>
        </w:rPr>
        <w:t xml:space="preserve"> simulation of the </w:t>
      </w:r>
      <w:r w:rsidR="00FA43C2" w:rsidRPr="004244BB">
        <w:rPr>
          <w:rFonts w:cstheme="minorHAnsi"/>
        </w:rPr>
        <w:t xml:space="preserve">theoretical quenching potential </w:t>
      </w:r>
      <w:r w:rsidR="00256E80" w:rsidRPr="004244BB">
        <w:rPr>
          <w:rFonts w:cstheme="minorHAnsi"/>
        </w:rPr>
        <w:t xml:space="preserve">using the </w:t>
      </w:r>
      <w:r w:rsidRPr="004244BB">
        <w:rPr>
          <w:rFonts w:cstheme="minorHAnsi"/>
        </w:rPr>
        <w:t xml:space="preserve">experimental </w:t>
      </w:r>
      <w:r w:rsidR="00256E80" w:rsidRPr="004244BB">
        <w:rPr>
          <w:rFonts w:cstheme="minorHAnsi"/>
        </w:rPr>
        <w:t xml:space="preserve">determined values </w:t>
      </w:r>
      <w:r w:rsidR="00FA169B" w:rsidRPr="004244BB">
        <w:rPr>
          <w:rFonts w:cstheme="minorHAnsi"/>
        </w:rPr>
        <w:t>of</w:t>
      </w:r>
      <w:r w:rsidR="004D4505" w:rsidRPr="004244BB">
        <w:rPr>
          <w:rFonts w:cstheme="minorHAnsi"/>
        </w:rPr>
        <w:t xml:space="preserve"> </w:t>
      </w:r>
      <m:oMath>
        <m:sSub>
          <m:sSubPr>
            <m:ctrlPr>
              <w:rPr>
                <w:rFonts w:ascii="Cambria Math" w:hAnsi="Cambria Math" w:cstheme="minorHAnsi"/>
                <w:i/>
              </w:rPr>
            </m:ctrlPr>
          </m:sSubPr>
          <m:e>
            <m:r>
              <m:rPr>
                <m:sty m:val="p"/>
              </m:rPr>
              <w:rPr>
                <w:rFonts w:ascii="Cambria Math" w:hAnsi="Cambria Math" w:cstheme="minorHAnsi"/>
              </w:rPr>
              <m:t xml:space="preserve"> </m:t>
            </m:r>
            <m:r>
              <w:rPr>
                <w:rFonts w:ascii="Cambria Math" w:hAnsi="Cambria Math" w:cstheme="minorHAnsi"/>
              </w:rPr>
              <m:t>γ</m:t>
            </m:r>
          </m:e>
          <m:sub>
            <m:r>
              <w:rPr>
                <w:rFonts w:ascii="Cambria Math" w:hAnsi="Cambria Math" w:cstheme="minorHAnsi"/>
              </w:rPr>
              <m:t>SSA</m:t>
            </m:r>
          </m:sub>
        </m:sSub>
      </m:oMath>
      <w:r w:rsidR="004D4505" w:rsidRPr="004244BB">
        <w:rPr>
          <w:rFonts w:cstheme="minorHAnsi"/>
        </w:rPr>
        <w:t> = </w:t>
      </w:r>
      <w:r w:rsidR="00FA169B" w:rsidRPr="004244BB">
        <w:rPr>
          <w:rFonts w:cstheme="minorHAnsi"/>
        </w:rPr>
        <w:t>1.7</w:t>
      </w:r>
      <w:r w:rsidR="004D4505" w:rsidRPr="004244BB">
        <w:rPr>
          <w:rFonts w:cstheme="minorHAnsi"/>
        </w:rPr>
        <w:t>∙10</w:t>
      </w:r>
      <w:r w:rsidR="004D4505" w:rsidRPr="004244BB">
        <w:rPr>
          <w:rFonts w:cstheme="minorHAnsi"/>
          <w:vertAlign w:val="superscript"/>
        </w:rPr>
        <w:t>-</w:t>
      </w:r>
      <w:r w:rsidR="00FA169B" w:rsidRPr="004244BB">
        <w:rPr>
          <w:rFonts w:cstheme="minorHAnsi"/>
          <w:vertAlign w:val="superscript"/>
        </w:rPr>
        <w:t>8</w:t>
      </w:r>
      <w:r w:rsidR="004D4505" w:rsidRPr="004244BB">
        <w:rPr>
          <w:rFonts w:cstheme="minorHAnsi"/>
          <w:vertAlign w:val="superscript"/>
        </w:rPr>
        <w:t> </w:t>
      </w:r>
      <w:r w:rsidR="004D4505" w:rsidRPr="004244BB">
        <w:rPr>
          <w:rFonts w:cstheme="minorHAnsi"/>
        </w:rPr>
        <w:t>cm</w:t>
      </w:r>
      <w:r w:rsidR="004D4505" w:rsidRPr="004244BB">
        <w:rPr>
          <w:rFonts w:cstheme="minorHAnsi"/>
          <w:vertAlign w:val="superscript"/>
        </w:rPr>
        <w:t>3</w:t>
      </w:r>
      <w:r w:rsidR="004D4505" w:rsidRPr="004244BB">
        <w:rPr>
          <w:rFonts w:cstheme="minorHAnsi"/>
        </w:rPr>
        <w:t>s</w:t>
      </w:r>
      <w:r w:rsidR="004D4505" w:rsidRPr="004244BB">
        <w:rPr>
          <w:rFonts w:cstheme="minorHAnsi"/>
          <w:vertAlign w:val="superscript"/>
        </w:rPr>
        <w:t>-1</w:t>
      </w:r>
      <w:r w:rsidR="004D4505" w:rsidRPr="004244BB">
        <w:rPr>
          <w:rFonts w:cstheme="minorHAnsi"/>
        </w:rPr>
        <w:t xml:space="preserve"> and </w:t>
      </w:r>
      <m:oMath>
        <m:sSub>
          <m:sSubPr>
            <m:ctrlPr>
              <w:rPr>
                <w:rFonts w:ascii="Cambria Math" w:hAnsi="Cambria Math" w:cstheme="minorHAnsi"/>
                <w:i/>
              </w:rPr>
            </m:ctrlPr>
          </m:sSubPr>
          <m:e>
            <m:r>
              <m:rPr>
                <m:sty m:val="p"/>
              </m:rPr>
              <w:rPr>
                <w:rFonts w:ascii="Cambria Math" w:hAnsi="Cambria Math" w:cstheme="minorHAnsi"/>
              </w:rPr>
              <m:t xml:space="preserve"> </m:t>
            </m:r>
            <m:r>
              <w:rPr>
                <w:rFonts w:ascii="Cambria Math" w:hAnsi="Cambria Math" w:cstheme="minorHAnsi"/>
              </w:rPr>
              <m:t>γ</m:t>
            </m:r>
          </m:e>
          <m:sub>
            <m:r>
              <w:rPr>
                <w:rFonts w:ascii="Cambria Math" w:hAnsi="Cambria Math" w:cstheme="minorHAnsi"/>
              </w:rPr>
              <m:t>STA</m:t>
            </m:r>
          </m:sub>
        </m:sSub>
      </m:oMath>
      <w:r w:rsidR="004D4505" w:rsidRPr="004244BB">
        <w:rPr>
          <w:rFonts w:cstheme="minorHAnsi"/>
        </w:rPr>
        <w:t> = </w:t>
      </w:r>
      <w:r w:rsidR="00FA169B" w:rsidRPr="004244BB">
        <w:rPr>
          <w:rFonts w:cstheme="minorHAnsi"/>
        </w:rPr>
        <w:t>6.0</w:t>
      </w:r>
      <w:r w:rsidR="004D4505" w:rsidRPr="004244BB">
        <w:rPr>
          <w:rFonts w:cstheme="minorHAnsi"/>
        </w:rPr>
        <w:t>∙10</w:t>
      </w:r>
      <w:r w:rsidR="004D4505" w:rsidRPr="004244BB">
        <w:rPr>
          <w:rFonts w:cstheme="minorHAnsi"/>
          <w:vertAlign w:val="superscript"/>
        </w:rPr>
        <w:t>-7 </w:t>
      </w:r>
      <w:r w:rsidR="004D4505" w:rsidRPr="004244BB">
        <w:rPr>
          <w:rFonts w:cstheme="minorHAnsi"/>
        </w:rPr>
        <w:t>cm</w:t>
      </w:r>
      <w:r w:rsidR="004D4505" w:rsidRPr="004244BB">
        <w:rPr>
          <w:rFonts w:cstheme="minorHAnsi"/>
          <w:vertAlign w:val="superscript"/>
        </w:rPr>
        <w:t>3</w:t>
      </w:r>
      <w:r w:rsidR="004D4505" w:rsidRPr="004244BB">
        <w:rPr>
          <w:rFonts w:cstheme="minorHAnsi"/>
        </w:rPr>
        <w:t>s</w:t>
      </w:r>
      <w:r w:rsidR="004D4505" w:rsidRPr="004244BB">
        <w:rPr>
          <w:rFonts w:cstheme="minorHAnsi"/>
          <w:vertAlign w:val="superscript"/>
        </w:rPr>
        <w:t>-1</w:t>
      </w:r>
      <w:r w:rsidR="00FA169B" w:rsidRPr="004244BB">
        <w:rPr>
          <w:rFonts w:cstheme="minorHAnsi"/>
        </w:rPr>
        <w:t xml:space="preserve"> </w:t>
      </w:r>
      <w:r w:rsidR="00476F0E" w:rsidRPr="004244BB">
        <w:rPr>
          <w:rFonts w:cstheme="minorHAnsi"/>
        </w:rPr>
        <w:t>in Figure S10 (green</w:t>
      </w:r>
      <w:r w:rsidR="00F16FAF" w:rsidRPr="004244BB">
        <w:rPr>
          <w:rFonts w:cstheme="minorHAnsi"/>
        </w:rPr>
        <w:t>,</w:t>
      </w:r>
      <w:r w:rsidR="00476F0E" w:rsidRPr="004244BB">
        <w:rPr>
          <w:rFonts w:cstheme="minorHAnsi"/>
        </w:rPr>
        <w:t xml:space="preserve"> solid) </w:t>
      </w:r>
      <w:r w:rsidR="00393976" w:rsidRPr="004244BB">
        <w:rPr>
          <w:rFonts w:cstheme="minorHAnsi"/>
        </w:rPr>
        <w:t xml:space="preserve">shows that the </w:t>
      </w:r>
      <w:r w:rsidR="00C355AF" w:rsidRPr="004244BB">
        <w:rPr>
          <w:rFonts w:cstheme="minorHAnsi"/>
        </w:rPr>
        <w:t xml:space="preserve">determined </w:t>
      </w:r>
      <w:r w:rsidR="004C099A" w:rsidRPr="004244BB">
        <w:rPr>
          <w:rFonts w:cstheme="minorHAnsi"/>
        </w:rPr>
        <w:t>STA is still to</w:t>
      </w:r>
      <w:r w:rsidR="00D9035D" w:rsidRPr="004244BB">
        <w:rPr>
          <w:rFonts w:cstheme="minorHAnsi"/>
        </w:rPr>
        <w:t>o</w:t>
      </w:r>
      <w:r w:rsidR="004C099A" w:rsidRPr="004244BB">
        <w:rPr>
          <w:rFonts w:cstheme="minorHAnsi"/>
        </w:rPr>
        <w:t xml:space="preserve"> slow to account for the </w:t>
      </w:r>
      <w:r w:rsidR="002B7C27" w:rsidRPr="004244BB">
        <w:rPr>
          <w:rFonts w:cstheme="minorHAnsi"/>
        </w:rPr>
        <w:t xml:space="preserve">observed PL quenching </w:t>
      </w:r>
      <w:r w:rsidR="00067022" w:rsidRPr="004244BB">
        <w:rPr>
          <w:rFonts w:cstheme="minorHAnsi"/>
        </w:rPr>
        <w:t>intensity in Figure </w:t>
      </w:r>
      <w:r w:rsidR="00434167" w:rsidRPr="004244BB">
        <w:rPr>
          <w:rFonts w:cstheme="minorHAnsi"/>
        </w:rPr>
        <w:t>3b. Instead,</w:t>
      </w:r>
      <w:r w:rsidR="00E17272" w:rsidRPr="004244BB">
        <w:rPr>
          <w:rFonts w:cstheme="minorHAnsi"/>
        </w:rPr>
        <w:t xml:space="preserve"> a</w:t>
      </w:r>
      <w:r w:rsidR="00434167" w:rsidRPr="004244BB">
        <w:rPr>
          <w:rFonts w:cstheme="minorHAnsi"/>
        </w:rPr>
        <w:t xml:space="preserve"> STA</w:t>
      </w:r>
      <w:r w:rsidR="00E14C01" w:rsidRPr="004244BB">
        <w:rPr>
          <w:rFonts w:cstheme="minorHAnsi"/>
        </w:rPr>
        <w:t xml:space="preserve"> rate</w:t>
      </w:r>
      <w:r w:rsidR="00434167" w:rsidRPr="004244BB">
        <w:rPr>
          <w:rFonts w:cstheme="minorHAnsi"/>
        </w:rPr>
        <w:t xml:space="preserve"> of </w:t>
      </w:r>
      <w:r w:rsidR="00D9035D" w:rsidRPr="004244BB">
        <w:t>9</w:t>
      </w:r>
      <w:r w:rsidR="00D9035D" w:rsidRPr="004244BB">
        <w:rPr>
          <w:rFonts w:cstheme="minorHAnsi"/>
        </w:rPr>
        <w:t>∙</w:t>
      </w:r>
      <w:r w:rsidR="00D9035D" w:rsidRPr="004244BB">
        <w:t>10</w:t>
      </w:r>
      <w:r w:rsidR="00D9035D" w:rsidRPr="004244BB">
        <w:rPr>
          <w:vertAlign w:val="superscript"/>
        </w:rPr>
        <w:t xml:space="preserve">-6 </w:t>
      </w:r>
      <w:r w:rsidR="00D9035D" w:rsidRPr="004244BB">
        <w:t>cm</w:t>
      </w:r>
      <w:r w:rsidR="00D9035D" w:rsidRPr="004244BB">
        <w:rPr>
          <w:vertAlign w:val="superscript"/>
        </w:rPr>
        <w:t>3</w:t>
      </w:r>
      <w:r w:rsidR="00D9035D" w:rsidRPr="004244BB">
        <w:t>s</w:t>
      </w:r>
      <w:r w:rsidR="00D9035D" w:rsidRPr="004244BB">
        <w:rPr>
          <w:vertAlign w:val="superscript"/>
        </w:rPr>
        <w:t>-1</w:t>
      </w:r>
      <w:r w:rsidR="007E0345" w:rsidRPr="004244BB">
        <w:rPr>
          <w:rFonts w:cstheme="minorHAnsi"/>
        </w:rPr>
        <w:t xml:space="preserve"> </w:t>
      </w:r>
      <w:r w:rsidR="008C3528" w:rsidRPr="004244BB">
        <w:rPr>
          <w:rFonts w:cstheme="minorHAnsi"/>
        </w:rPr>
        <w:t xml:space="preserve">(blue, solid) </w:t>
      </w:r>
      <w:r w:rsidR="00E14C01" w:rsidRPr="004244BB">
        <w:rPr>
          <w:rFonts w:cstheme="minorHAnsi"/>
        </w:rPr>
        <w:t xml:space="preserve">matches </w:t>
      </w:r>
      <w:r w:rsidR="00C4043F" w:rsidRPr="004244BB">
        <w:rPr>
          <w:rFonts w:cstheme="minorHAnsi"/>
        </w:rPr>
        <w:t>better with the observed emission quenching ratio 250 fs after photoexcitation on the &lt;n&gt; = 8 grains due to accumulated triplet excitons.</w:t>
      </w:r>
      <w:r w:rsidR="00C4043F">
        <w:rPr>
          <w:rFonts w:cstheme="minorHAnsi"/>
        </w:rPr>
        <w:t xml:space="preserve"> </w:t>
      </w:r>
    </w:p>
    <w:p w14:paraId="5795FE7B" w14:textId="1D55884C" w:rsidR="007248CA" w:rsidRDefault="007248CA" w:rsidP="00956029">
      <w:pPr>
        <w:spacing w:line="480" w:lineRule="auto"/>
        <w:jc w:val="both"/>
        <w:rPr>
          <w:rFonts w:cstheme="minorHAnsi"/>
          <w:highlight w:val="cyan"/>
        </w:rPr>
      </w:pPr>
    </w:p>
    <w:p w14:paraId="2A9376DF" w14:textId="7672285A" w:rsidR="00127CE1" w:rsidRPr="00D0086A" w:rsidRDefault="00340A29" w:rsidP="00D14CE1">
      <w:pPr>
        <w:spacing w:line="276" w:lineRule="auto"/>
        <w:jc w:val="center"/>
        <w:rPr>
          <w:rFonts w:cstheme="minorHAnsi"/>
        </w:rPr>
      </w:pPr>
      <w:r>
        <w:rPr>
          <w:noProof/>
        </w:rPr>
        <w:lastRenderedPageBreak/>
        <w:drawing>
          <wp:inline distT="0" distB="0" distL="0" distR="0" wp14:anchorId="1482F9E3" wp14:editId="0EEBD948">
            <wp:extent cx="3752453" cy="29051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2847" cy="2913172"/>
                    </a:xfrm>
                    <a:prstGeom prst="rect">
                      <a:avLst/>
                    </a:prstGeom>
                    <a:noFill/>
                    <a:ln>
                      <a:noFill/>
                    </a:ln>
                  </pic:spPr>
                </pic:pic>
              </a:graphicData>
            </a:graphic>
          </wp:inline>
        </w:drawing>
      </w:r>
    </w:p>
    <w:p w14:paraId="129C67E3" w14:textId="455B29B1" w:rsidR="00802BCB" w:rsidRDefault="009F6299" w:rsidP="00BD0A75">
      <w:pPr>
        <w:jc w:val="both"/>
      </w:pPr>
      <w:r w:rsidRPr="004244BB">
        <w:t>Figure S</w:t>
      </w:r>
      <w:r w:rsidR="00152C10">
        <w:fldChar w:fldCharType="begin"/>
      </w:r>
      <w:r w:rsidR="00152C10">
        <w:instrText xml:space="preserve"> SEQ Figure_S \* ARABIC </w:instrText>
      </w:r>
      <w:r w:rsidR="00152C10">
        <w:fldChar w:fldCharType="separate"/>
      </w:r>
      <w:r w:rsidR="00750EC3" w:rsidRPr="004244BB">
        <w:rPr>
          <w:noProof/>
        </w:rPr>
        <w:t>10</w:t>
      </w:r>
      <w:r w:rsidR="00152C10">
        <w:rPr>
          <w:noProof/>
        </w:rPr>
        <w:fldChar w:fldCharType="end"/>
      </w:r>
      <w:r w:rsidRPr="004244BB">
        <w:t xml:space="preserve">: </w:t>
      </w:r>
      <w:r w:rsidR="00821179" w:rsidRPr="004244BB">
        <w:t xml:space="preserve">Modelling of </w:t>
      </w:r>
      <w:r w:rsidR="00630EAD" w:rsidRPr="004244BB">
        <w:t>emission</w:t>
      </w:r>
      <w:r w:rsidR="005B2088" w:rsidRPr="004244BB">
        <w:t xml:space="preserve"> quenching on &lt;n&gt;</w:t>
      </w:r>
      <w:r w:rsidR="00FD222B" w:rsidRPr="004244BB">
        <w:t> = 8 grains in the presence</w:t>
      </w:r>
      <w:r w:rsidR="00DB6476" w:rsidRPr="004244BB">
        <w:t xml:space="preserve"> </w:t>
      </w:r>
      <w:r w:rsidR="00FD222B" w:rsidRPr="004244BB">
        <w:t>of accumulated triplet excitons</w:t>
      </w:r>
      <w:r w:rsidR="00503B06" w:rsidRPr="004244BB">
        <w:t xml:space="preserve"> using the above model and the experimental determined values for </w:t>
      </w:r>
      <m:oMath>
        <m:sSub>
          <m:sSubPr>
            <m:ctrlPr>
              <w:rPr>
                <w:rFonts w:ascii="Cambria Math" w:hAnsi="Cambria Math"/>
                <w:i/>
              </w:rPr>
            </m:ctrlPr>
          </m:sSubPr>
          <m:e>
            <m:r>
              <w:rPr>
                <w:rFonts w:ascii="Cambria Math" w:hAnsi="Cambria Math"/>
              </w:rPr>
              <m:t>k</m:t>
            </m:r>
          </m:e>
          <m:sub>
            <m:r>
              <w:rPr>
                <w:rFonts w:ascii="Cambria Math" w:hAnsi="Cambria Math"/>
              </w:rPr>
              <m:t>&lt;n&gt;2</m:t>
            </m:r>
          </m:sub>
        </m:sSub>
      </m:oMath>
      <w:r w:rsidR="00503B06" w:rsidRPr="004244BB">
        <w:t> = 1.25</w:t>
      </w:r>
      <w:r w:rsidR="00503B06" w:rsidRPr="004244BB">
        <w:rPr>
          <w:rFonts w:cstheme="minorHAnsi"/>
        </w:rPr>
        <w:t>·</w:t>
      </w:r>
      <w:r w:rsidR="00503B06" w:rsidRPr="004244BB">
        <w:t>10</w:t>
      </w:r>
      <w:r w:rsidR="00FB53FC" w:rsidRPr="004244BB">
        <w:rPr>
          <w:vertAlign w:val="superscript"/>
        </w:rPr>
        <w:t>-1</w:t>
      </w:r>
      <w:r w:rsidR="00503B06" w:rsidRPr="004244BB">
        <w:rPr>
          <w:vertAlign w:val="superscript"/>
        </w:rPr>
        <w:t xml:space="preserve">1 </w:t>
      </w:r>
      <w:r w:rsidR="00503B06" w:rsidRPr="004244BB">
        <w:t>s</w:t>
      </w:r>
      <w:r w:rsidR="00503B06" w:rsidRPr="004244BB">
        <w:rPr>
          <w:vertAlign w:val="superscript"/>
        </w:rPr>
        <w:t>-1</w:t>
      </w:r>
      <w:r w:rsidR="00503B06" w:rsidRPr="004244BB">
        <w:t xml:space="preserve">, </w:t>
      </w:r>
      <m:oMath>
        <m:sSub>
          <m:sSubPr>
            <m:ctrlPr>
              <w:rPr>
                <w:rFonts w:ascii="Cambria Math" w:hAnsi="Cambria Math"/>
                <w:i/>
              </w:rPr>
            </m:ctrlPr>
          </m:sSubPr>
          <m:e>
            <m:r>
              <w:rPr>
                <w:rFonts w:ascii="Cambria Math" w:hAnsi="Cambria Math"/>
              </w:rPr>
              <m:t>k</m:t>
            </m:r>
          </m:e>
          <m:sub>
            <m:r>
              <w:rPr>
                <w:rFonts w:ascii="Cambria Math" w:hAnsi="Cambria Math"/>
              </w:rPr>
              <m:t>&lt;n&gt;8</m:t>
            </m:r>
          </m:sub>
        </m:sSub>
      </m:oMath>
      <w:r w:rsidR="00503B06" w:rsidRPr="004244BB">
        <w:t> = 1.53</w:t>
      </w:r>
      <w:r w:rsidR="00503B06" w:rsidRPr="004244BB">
        <w:rPr>
          <w:rFonts w:cstheme="minorHAnsi"/>
        </w:rPr>
        <w:t>·</w:t>
      </w:r>
      <w:r w:rsidR="00503B06" w:rsidRPr="004244BB">
        <w:t>10</w:t>
      </w:r>
      <w:r w:rsidR="00FB53FC" w:rsidRPr="004244BB">
        <w:rPr>
          <w:vertAlign w:val="superscript"/>
        </w:rPr>
        <w:t>-1</w:t>
      </w:r>
      <w:r w:rsidR="00503B06" w:rsidRPr="004244BB">
        <w:rPr>
          <w:vertAlign w:val="superscript"/>
        </w:rPr>
        <w:t xml:space="preserve">0 </w:t>
      </w:r>
      <w:r w:rsidR="00503B06" w:rsidRPr="004244BB">
        <w:t>s</w:t>
      </w:r>
      <w:r w:rsidR="00503B06" w:rsidRPr="004244BB">
        <w:rPr>
          <w:vertAlign w:val="superscript"/>
        </w:rPr>
        <w:t>-1</w:t>
      </w:r>
      <w:r w:rsidR="00503B06" w:rsidRPr="004244BB">
        <w:t xml:space="preserve"> and </w:t>
      </w:r>
      <m:oMath>
        <m:sSub>
          <m:sSubPr>
            <m:ctrlPr>
              <w:rPr>
                <w:rFonts w:ascii="Cambria Math" w:hAnsi="Cambria Math"/>
                <w:i/>
              </w:rPr>
            </m:ctrlPr>
          </m:sSubPr>
          <m:e>
            <m:r>
              <w:rPr>
                <w:rFonts w:ascii="Cambria Math" w:hAnsi="Cambria Math"/>
              </w:rPr>
              <m:t>k</m:t>
            </m:r>
          </m:e>
          <m:sub>
            <m:r>
              <w:rPr>
                <w:rFonts w:ascii="Cambria Math" w:hAnsi="Cambria Math"/>
              </w:rPr>
              <m:t>SSA</m:t>
            </m:r>
          </m:sub>
        </m:sSub>
      </m:oMath>
      <w:r w:rsidR="00503B06" w:rsidRPr="004244BB">
        <w:t> = 1.7</w:t>
      </w:r>
      <w:r w:rsidR="00503B06" w:rsidRPr="004244BB">
        <w:rPr>
          <w:rFonts w:cstheme="minorHAnsi"/>
        </w:rPr>
        <w:t>·</w:t>
      </w:r>
      <w:r w:rsidR="00503B06" w:rsidRPr="004244BB">
        <w:t>10</w:t>
      </w:r>
      <w:r w:rsidR="00FB53FC" w:rsidRPr="004244BB">
        <w:rPr>
          <w:vertAlign w:val="superscript"/>
        </w:rPr>
        <w:t>-8</w:t>
      </w:r>
      <w:r w:rsidR="00503B06" w:rsidRPr="004244BB">
        <w:rPr>
          <w:vertAlign w:val="superscript"/>
        </w:rPr>
        <w:t xml:space="preserve"> </w:t>
      </w:r>
      <w:r w:rsidR="00503B06" w:rsidRPr="004244BB">
        <w:t>cm</w:t>
      </w:r>
      <w:r w:rsidR="00503B06" w:rsidRPr="004244BB">
        <w:rPr>
          <w:vertAlign w:val="superscript"/>
        </w:rPr>
        <w:t>3</w:t>
      </w:r>
      <w:r w:rsidR="00503B06" w:rsidRPr="004244BB">
        <w:t>s</w:t>
      </w:r>
      <w:r w:rsidR="00503B06" w:rsidRPr="004244BB">
        <w:rPr>
          <w:vertAlign w:val="superscript"/>
        </w:rPr>
        <w:t>-1</w:t>
      </w:r>
      <w:r w:rsidR="00503B06" w:rsidRPr="004244BB">
        <w:t xml:space="preserve"> . </w:t>
      </w:r>
      <w:r w:rsidR="00630EAD" w:rsidRPr="004244BB">
        <w:t xml:space="preserve">Simulation considering the experimental determined </w:t>
      </w:r>
      <m:oMath>
        <m:sSub>
          <m:sSubPr>
            <m:ctrlPr>
              <w:rPr>
                <w:rFonts w:ascii="Cambria Math" w:hAnsi="Cambria Math"/>
                <w:i/>
              </w:rPr>
            </m:ctrlPr>
          </m:sSubPr>
          <m:e>
            <m:r>
              <w:rPr>
                <w:rFonts w:ascii="Cambria Math" w:hAnsi="Cambria Math"/>
              </w:rPr>
              <m:t>k</m:t>
            </m:r>
          </m:e>
          <m:sub>
            <m:r>
              <w:rPr>
                <w:rFonts w:ascii="Cambria Math" w:hAnsi="Cambria Math"/>
              </w:rPr>
              <m:t>STA</m:t>
            </m:r>
          </m:sub>
        </m:sSub>
      </m:oMath>
      <w:r w:rsidR="00630EAD" w:rsidRPr="004244BB">
        <w:t> = 6.0</w:t>
      </w:r>
      <w:r w:rsidR="00630EAD" w:rsidRPr="004244BB">
        <w:rPr>
          <w:rFonts w:cstheme="minorHAnsi"/>
        </w:rPr>
        <w:t>∙</w:t>
      </w:r>
      <w:r w:rsidR="00630EAD" w:rsidRPr="004244BB">
        <w:t>10</w:t>
      </w:r>
      <w:r w:rsidR="00630EAD" w:rsidRPr="004244BB">
        <w:rPr>
          <w:vertAlign w:val="superscript"/>
        </w:rPr>
        <w:t xml:space="preserve">-7 </w:t>
      </w:r>
      <w:r w:rsidR="00630EAD" w:rsidRPr="004244BB">
        <w:t>cm</w:t>
      </w:r>
      <w:r w:rsidR="00630EAD" w:rsidRPr="004244BB">
        <w:rPr>
          <w:vertAlign w:val="superscript"/>
        </w:rPr>
        <w:t>3</w:t>
      </w:r>
      <w:r w:rsidR="00630EAD" w:rsidRPr="004244BB">
        <w:t>s</w:t>
      </w:r>
      <w:r w:rsidR="00630EAD" w:rsidRPr="004244BB">
        <w:rPr>
          <w:vertAlign w:val="superscript"/>
        </w:rPr>
        <w:t>-1</w:t>
      </w:r>
      <w:r w:rsidR="00630EAD" w:rsidRPr="004244BB">
        <w:t xml:space="preserve"> (green, solid) and a faster annihilation rate of </w:t>
      </w:r>
      <m:oMath>
        <m:sSub>
          <m:sSubPr>
            <m:ctrlPr>
              <w:rPr>
                <w:rFonts w:ascii="Cambria Math" w:hAnsi="Cambria Math"/>
                <w:i/>
              </w:rPr>
            </m:ctrlPr>
          </m:sSubPr>
          <m:e>
            <m:r>
              <w:rPr>
                <w:rFonts w:ascii="Cambria Math" w:hAnsi="Cambria Math"/>
              </w:rPr>
              <m:t>k</m:t>
            </m:r>
          </m:e>
          <m:sub>
            <m:r>
              <w:rPr>
                <w:rFonts w:ascii="Cambria Math" w:hAnsi="Cambria Math"/>
              </w:rPr>
              <m:t>STA</m:t>
            </m:r>
          </m:sub>
        </m:sSub>
      </m:oMath>
      <w:r w:rsidR="00630EAD" w:rsidRPr="004244BB">
        <w:t> = 9</w:t>
      </w:r>
      <w:r w:rsidR="00630EAD" w:rsidRPr="004244BB">
        <w:rPr>
          <w:rFonts w:cstheme="minorHAnsi"/>
        </w:rPr>
        <w:t>∙</w:t>
      </w:r>
      <w:r w:rsidR="00630EAD" w:rsidRPr="004244BB">
        <w:t>10</w:t>
      </w:r>
      <w:r w:rsidR="00630EAD" w:rsidRPr="004244BB">
        <w:rPr>
          <w:vertAlign w:val="superscript"/>
        </w:rPr>
        <w:t xml:space="preserve">-6 </w:t>
      </w:r>
      <w:r w:rsidR="00630EAD" w:rsidRPr="004244BB">
        <w:t>cm</w:t>
      </w:r>
      <w:r w:rsidR="00630EAD" w:rsidRPr="004244BB">
        <w:rPr>
          <w:vertAlign w:val="superscript"/>
        </w:rPr>
        <w:t>3</w:t>
      </w:r>
      <w:r w:rsidR="00630EAD" w:rsidRPr="004244BB">
        <w:t>s</w:t>
      </w:r>
      <w:r w:rsidR="00630EAD" w:rsidRPr="004244BB">
        <w:rPr>
          <w:vertAlign w:val="superscript"/>
        </w:rPr>
        <w:t>-1</w:t>
      </w:r>
      <w:r w:rsidR="00630EAD" w:rsidRPr="004244BB">
        <w:t> (blue, solid) accounting for a 60% PL quench at 250 fs after photoexcitation.</w:t>
      </w:r>
    </w:p>
    <w:p w14:paraId="4849EDDF" w14:textId="774C2E50" w:rsidR="00802BCB" w:rsidRDefault="00802BCB">
      <w:r>
        <w:br w:type="page"/>
      </w:r>
    </w:p>
    <w:p w14:paraId="0F66B885" w14:textId="10FEB3E3" w:rsidR="009365DC" w:rsidRDefault="009365DC" w:rsidP="009365DC">
      <w:pPr>
        <w:pStyle w:val="Heading1"/>
      </w:pPr>
      <w:bookmarkStart w:id="20" w:name="_Toc116033078"/>
      <w:r w:rsidRPr="008E74EB">
        <w:lastRenderedPageBreak/>
        <w:t>Comparison of hot carrier relaxation dynamics in an oxygen containing and free environment</w:t>
      </w:r>
      <w:bookmarkEnd w:id="20"/>
    </w:p>
    <w:p w14:paraId="72C178AA" w14:textId="3BFE92EE" w:rsidR="009365DC" w:rsidRDefault="00F21F04" w:rsidP="00552C65">
      <w:pPr>
        <w:jc w:val="center"/>
      </w:pPr>
      <w:r>
        <w:rPr>
          <w:noProof/>
        </w:rPr>
        <w:drawing>
          <wp:inline distT="0" distB="0" distL="0" distR="0" wp14:anchorId="72FFE7B0" wp14:editId="31F39658">
            <wp:extent cx="3792772" cy="3594015"/>
            <wp:effectExtent l="0" t="0" r="0" b="6985"/>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22"/>
                    <a:stretch>
                      <a:fillRect/>
                    </a:stretch>
                  </pic:blipFill>
                  <pic:spPr>
                    <a:xfrm>
                      <a:off x="0" y="0"/>
                      <a:ext cx="3805301" cy="3605888"/>
                    </a:xfrm>
                    <a:prstGeom prst="rect">
                      <a:avLst/>
                    </a:prstGeom>
                  </pic:spPr>
                </pic:pic>
              </a:graphicData>
            </a:graphic>
          </wp:inline>
        </w:drawing>
      </w:r>
    </w:p>
    <w:p w14:paraId="40A05E22" w14:textId="77777777" w:rsidR="00861679" w:rsidRDefault="009365DC" w:rsidP="00861679">
      <w:pPr>
        <w:pStyle w:val="Caption"/>
        <w:jc w:val="both"/>
      </w:pPr>
      <w:r>
        <w:t>Figure S</w:t>
      </w:r>
      <w:r w:rsidR="00152C10">
        <w:fldChar w:fldCharType="begin"/>
      </w:r>
      <w:r w:rsidR="00152C10">
        <w:instrText xml:space="preserve"> SEQ Figure_S \* ARABIC </w:instrText>
      </w:r>
      <w:r w:rsidR="00152C10">
        <w:fldChar w:fldCharType="separate"/>
      </w:r>
      <w:r w:rsidR="009F6299">
        <w:rPr>
          <w:noProof/>
        </w:rPr>
        <w:t>11</w:t>
      </w:r>
      <w:r w:rsidR="00152C10">
        <w:rPr>
          <w:noProof/>
        </w:rPr>
        <w:fldChar w:fldCharType="end"/>
      </w:r>
      <w:r>
        <w:t xml:space="preserve">: Carrier temperature evolution under ambient conditions (dots) and in an oxygen free (triangles) environment </w:t>
      </w:r>
      <w:r w:rsidR="00E83A3D">
        <w:t xml:space="preserve">demonstrate </w:t>
      </w:r>
      <w:r>
        <w:t>similar relaxation dynamics</w:t>
      </w:r>
      <w:r w:rsidR="00E83A3D">
        <w:t>. This</w:t>
      </w:r>
      <w:r w:rsidR="002A4560">
        <w:t xml:space="preserve"> </w:t>
      </w:r>
      <w:r w:rsidR="0041646C">
        <w:t xml:space="preserve">confirms that the absence of ASE does not relate to </w:t>
      </w:r>
      <w:r w:rsidR="00AB4311">
        <w:t>a change in</w:t>
      </w:r>
      <w:r w:rsidR="0041646C">
        <w:t xml:space="preserve"> carrier temperature </w:t>
      </w:r>
      <w:r w:rsidR="00574C5B">
        <w:t>relaxation in the absence of oxygen.</w:t>
      </w:r>
    </w:p>
    <w:p w14:paraId="376B2D2D" w14:textId="0804F10E" w:rsidR="00AB7389" w:rsidRPr="00861679" w:rsidRDefault="00AB7389" w:rsidP="00861679">
      <w:pPr>
        <w:pStyle w:val="Caption"/>
        <w:jc w:val="both"/>
      </w:pPr>
      <w:r>
        <w:rPr>
          <w:rFonts w:eastAsiaTheme="minorEastAsia"/>
        </w:rPr>
        <w:br w:type="page"/>
      </w:r>
    </w:p>
    <w:p w14:paraId="102C4776" w14:textId="2A7503CD" w:rsidR="00ED3442" w:rsidRPr="005369D4" w:rsidRDefault="00ED3442" w:rsidP="00ED3442">
      <w:pPr>
        <w:pStyle w:val="Heading1"/>
        <w:rPr>
          <w:i/>
          <w:iCs/>
        </w:rPr>
      </w:pPr>
      <w:bookmarkStart w:id="21" w:name="_Toc116033079"/>
      <w:r>
        <w:lastRenderedPageBreak/>
        <w:t>Deposition</w:t>
      </w:r>
      <w:r w:rsidRPr="005369D4">
        <w:t xml:space="preserve"> and characterisation of Q2D </w:t>
      </w:r>
      <w:r w:rsidR="00812864">
        <w:t>and MAPbI</w:t>
      </w:r>
      <w:r w:rsidR="00812864">
        <w:rPr>
          <w:vertAlign w:val="subscript"/>
        </w:rPr>
        <w:t>3</w:t>
      </w:r>
      <w:r w:rsidR="00812864">
        <w:t xml:space="preserve"> </w:t>
      </w:r>
      <w:r w:rsidR="00AF5AC9">
        <w:t xml:space="preserve">perovskite </w:t>
      </w:r>
      <w:r w:rsidRPr="005369D4">
        <w:t>films</w:t>
      </w:r>
      <w:bookmarkEnd w:id="21"/>
    </w:p>
    <w:p w14:paraId="0DBE23FB" w14:textId="77777777" w:rsidR="00ED3442" w:rsidRPr="00AE6284" w:rsidRDefault="00ED3442" w:rsidP="00ED3442">
      <w:pPr>
        <w:rPr>
          <w:sz w:val="24"/>
          <w:szCs w:val="24"/>
          <w:u w:val="single"/>
        </w:rPr>
      </w:pPr>
      <w:r w:rsidRPr="00AE6284">
        <w:rPr>
          <w:sz w:val="24"/>
          <w:szCs w:val="24"/>
          <w:u w:val="single"/>
        </w:rPr>
        <w:t>Materials</w:t>
      </w:r>
    </w:p>
    <w:p w14:paraId="52770ACE" w14:textId="7A3316B8" w:rsidR="00ED3442" w:rsidRPr="004C5AB1" w:rsidRDefault="00ED3442" w:rsidP="00EF5320">
      <w:pPr>
        <w:spacing w:line="480" w:lineRule="auto"/>
        <w:jc w:val="both"/>
        <w:rPr>
          <w:rFonts w:cstheme="minorHAnsi"/>
        </w:rPr>
      </w:pPr>
      <w:r w:rsidRPr="004C5AB1">
        <w:rPr>
          <w:rFonts w:cstheme="minorHAnsi"/>
        </w:rPr>
        <w:t>PEABr (≥98%) was obtained from Sigma Aldrich, FABr (&gt;99.5%) was obtained from Ossila, PbBr</w:t>
      </w:r>
      <w:r w:rsidRPr="004C5AB1">
        <w:rPr>
          <w:rFonts w:cstheme="minorHAnsi"/>
          <w:vertAlign w:val="subscript"/>
        </w:rPr>
        <w:t>2</w:t>
      </w:r>
      <w:r w:rsidRPr="004C5AB1">
        <w:rPr>
          <w:rFonts w:cstheme="minorHAnsi"/>
        </w:rPr>
        <w:t xml:space="preserve"> (99.998%) was obtained from Alfa Aesar.</w:t>
      </w:r>
      <w:r w:rsidR="0066651B" w:rsidRPr="004C5AB1">
        <w:rPr>
          <w:rFonts w:cstheme="minorHAnsi"/>
        </w:rPr>
        <w:t xml:space="preserve"> </w:t>
      </w:r>
      <w:r w:rsidR="0066651B" w:rsidRPr="004C5AB1">
        <w:rPr>
          <w:rFonts w:cstheme="minorHAnsi"/>
          <w:lang w:eastAsia="zh-TW"/>
        </w:rPr>
        <w:t>CH</w:t>
      </w:r>
      <w:r w:rsidR="0066651B" w:rsidRPr="004C5AB1">
        <w:rPr>
          <w:rFonts w:cstheme="minorHAnsi"/>
          <w:vertAlign w:val="subscript"/>
          <w:lang w:eastAsia="zh-TW"/>
        </w:rPr>
        <w:t>3</w:t>
      </w:r>
      <w:r w:rsidR="0066651B" w:rsidRPr="004C5AB1">
        <w:rPr>
          <w:rFonts w:cstheme="minorHAnsi"/>
          <w:lang w:eastAsia="zh-TW"/>
        </w:rPr>
        <w:t>NH</w:t>
      </w:r>
      <w:r w:rsidR="0066651B" w:rsidRPr="004C5AB1">
        <w:rPr>
          <w:rFonts w:cstheme="minorHAnsi"/>
          <w:vertAlign w:val="subscript"/>
          <w:lang w:eastAsia="zh-TW"/>
        </w:rPr>
        <w:t>3</w:t>
      </w:r>
      <w:r w:rsidR="0066651B" w:rsidRPr="004C5AB1">
        <w:rPr>
          <w:rFonts w:cstheme="minorHAnsi"/>
          <w:lang w:eastAsia="zh-TW"/>
        </w:rPr>
        <w:t>I (MAI) powder was obtained from Lumtec. PbI</w:t>
      </w:r>
      <w:r w:rsidR="0066651B" w:rsidRPr="004C5AB1">
        <w:rPr>
          <w:rFonts w:cstheme="minorHAnsi"/>
          <w:vertAlign w:val="subscript"/>
          <w:lang w:eastAsia="zh-TW"/>
        </w:rPr>
        <w:t>2</w:t>
      </w:r>
      <w:r w:rsidR="0066651B" w:rsidRPr="004C5AB1">
        <w:rPr>
          <w:rFonts w:cstheme="minorHAnsi"/>
          <w:lang w:eastAsia="zh-TW"/>
        </w:rPr>
        <w:t xml:space="preserve"> (99.995%) was obtained from Sigma Aldrich. </w:t>
      </w:r>
      <w:r w:rsidR="0066651B" w:rsidRPr="00355596">
        <w:rPr>
          <w:rFonts w:cstheme="minorHAnsi"/>
          <w:lang w:eastAsia="zh-TW"/>
        </w:rPr>
        <w:t>Meth</w:t>
      </w:r>
      <w:r w:rsidR="00355596" w:rsidRPr="00355596">
        <w:rPr>
          <w:rFonts w:cstheme="minorHAnsi"/>
          <w:lang w:eastAsia="zh-TW"/>
        </w:rPr>
        <w:t>a</w:t>
      </w:r>
      <w:r w:rsidR="0066651B" w:rsidRPr="00355596">
        <w:rPr>
          <w:rFonts w:cstheme="minorHAnsi"/>
          <w:lang w:eastAsia="zh-TW"/>
        </w:rPr>
        <w:t>n</w:t>
      </w:r>
      <w:r w:rsidR="00355596" w:rsidRPr="00355596">
        <w:rPr>
          <w:rFonts w:cstheme="minorHAnsi"/>
          <w:lang w:eastAsia="zh-TW"/>
        </w:rPr>
        <w:t>o</w:t>
      </w:r>
      <w:r w:rsidR="0066651B" w:rsidRPr="00355596">
        <w:rPr>
          <w:rFonts w:cstheme="minorHAnsi"/>
          <w:lang w:eastAsia="zh-TW"/>
        </w:rPr>
        <w:t>l</w:t>
      </w:r>
      <w:r w:rsidR="0066651B" w:rsidRPr="004C5AB1">
        <w:rPr>
          <w:rFonts w:cstheme="minorHAnsi"/>
          <w:lang w:eastAsia="zh-TW"/>
        </w:rPr>
        <w:t xml:space="preserve">, diethyl ether, dimethylformamide (DMF), dimethylsulfoxide (DMSO) and chlorobenzene (CB) were obtained from ECHO Chemical Co., LTD. </w:t>
      </w:r>
      <w:r w:rsidR="0066651B" w:rsidRPr="004C5AB1">
        <w:rPr>
          <w:rFonts w:cstheme="minorHAnsi"/>
        </w:rPr>
        <w:t xml:space="preserve">All materials except of MAI were used without further purification. The MAI powder was purified using a </w:t>
      </w:r>
      <w:r w:rsidR="0066651B" w:rsidRPr="004C5AB1">
        <w:rPr>
          <w:rFonts w:cstheme="minorHAnsi"/>
          <w:lang w:eastAsia="zh-TW"/>
        </w:rPr>
        <w:t>methanol/diethyl ether purification process to obtain high-quality MAI crystals.</w:t>
      </w:r>
      <w:r w:rsidRPr="004C5AB1">
        <w:rPr>
          <w:rFonts w:cstheme="minorHAnsi"/>
        </w:rPr>
        <w:t xml:space="preserve"> The dry DMF that was used to make the precursor solutions, and the dry toluene that was used for anti-solvent dripping were obtained from a solvent purification system (MBRAUN SPS-800).</w:t>
      </w:r>
    </w:p>
    <w:p w14:paraId="3BE66AA3" w14:textId="11818041" w:rsidR="00ED3442" w:rsidRPr="00926B7B" w:rsidRDefault="00926B7B" w:rsidP="00ED3442">
      <w:pPr>
        <w:jc w:val="both"/>
        <w:rPr>
          <w:sz w:val="24"/>
          <w:szCs w:val="24"/>
          <w:u w:val="single"/>
        </w:rPr>
      </w:pPr>
      <w:r w:rsidRPr="00926B7B">
        <w:rPr>
          <w:sz w:val="24"/>
          <w:szCs w:val="24"/>
          <w:u w:val="single"/>
        </w:rPr>
        <w:t>Q2D film preparation</w:t>
      </w:r>
    </w:p>
    <w:p w14:paraId="1195B4FA" w14:textId="45B37816" w:rsidR="00ED3442" w:rsidRPr="00A820B9" w:rsidRDefault="00C1489A" w:rsidP="00EF5320">
      <w:pPr>
        <w:spacing w:line="480" w:lineRule="auto"/>
        <w:jc w:val="both"/>
      </w:pPr>
      <w:r>
        <w:t xml:space="preserve">For the Q2D film, </w:t>
      </w:r>
      <w:r w:rsidR="00ED3442" w:rsidRPr="00371FE5">
        <w:t xml:space="preserve">precursor solutions were prepared by dissolving 20.2 mg </w:t>
      </w:r>
      <w:r w:rsidR="00ED3442">
        <w:t xml:space="preserve">of </w:t>
      </w:r>
      <w:r w:rsidR="00ED3442" w:rsidRPr="00371FE5">
        <w:t xml:space="preserve">PEABr, 50 mg </w:t>
      </w:r>
      <w:r w:rsidR="00ED3442">
        <w:t xml:space="preserve">of </w:t>
      </w:r>
      <w:r w:rsidR="00ED3442" w:rsidRPr="00371FE5">
        <w:t xml:space="preserve">FABr and 146.8 mg </w:t>
      </w:r>
      <w:r w:rsidR="00ED3442">
        <w:t xml:space="preserve">of </w:t>
      </w:r>
      <w:r w:rsidR="00ED3442" w:rsidRPr="00371FE5">
        <w:t>PbBr</w:t>
      </w:r>
      <w:r w:rsidR="00ED3442" w:rsidRPr="00371FE5">
        <w:rPr>
          <w:vertAlign w:val="subscript"/>
        </w:rPr>
        <w:t xml:space="preserve">2 </w:t>
      </w:r>
      <w:r w:rsidR="00ED3442" w:rsidRPr="00371FE5">
        <w:t xml:space="preserve">in 1 ml </w:t>
      </w:r>
      <w:r w:rsidR="00ED3442">
        <w:t xml:space="preserve">of </w:t>
      </w:r>
      <w:r w:rsidR="00ED3442" w:rsidRPr="00371FE5">
        <w:t>DMF by stirring at 60 °C for 12h</w:t>
      </w:r>
      <w:r w:rsidR="00ED3442" w:rsidRPr="00A820B9">
        <w:t>. All precursor solutions were filtered through a PTFE syringe filter (0.45 μm mash) before use. Quartz substrates were cleaned through successive sonication steps in the following order of solvents (detergent water, deionized water, acetone, and isopropanol; 15 min for each step), followed by a UV-ozone treatment of 15 min. The precursor solutions were deposited as thin films on quartz substrates by spin coating at 4500 rpm for 30 s, using an acceleration of 2000 rpm/s. During spinning, 0.3 ml of toluene was dropped onto the perovskite precursor layer. The films were subsequently annealed on a hotplate at 70 °C for 15 min, followed by 100 °C for 5 min, in a glove box under a nitrogen atmosphere (&lt; 1 ppm O</w:t>
      </w:r>
      <w:r w:rsidR="00ED3442" w:rsidRPr="00A820B9">
        <w:rPr>
          <w:vertAlign w:val="subscript"/>
        </w:rPr>
        <w:t>2</w:t>
      </w:r>
      <w:r w:rsidR="00ED3442" w:rsidRPr="00A820B9">
        <w:t>, &lt; 1 ppm H</w:t>
      </w:r>
      <w:r w:rsidR="00ED3442" w:rsidRPr="00A820B9">
        <w:rPr>
          <w:vertAlign w:val="subscript"/>
        </w:rPr>
        <w:t>2</w:t>
      </w:r>
      <w:r w:rsidR="00ED3442" w:rsidRPr="00A820B9">
        <w:t>O).</w:t>
      </w:r>
    </w:p>
    <w:p w14:paraId="77D66A21" w14:textId="39A750B3" w:rsidR="00856591" w:rsidRPr="007B73AA" w:rsidRDefault="00E80667" w:rsidP="00ED3442">
      <w:pPr>
        <w:jc w:val="both"/>
        <w:rPr>
          <w:sz w:val="24"/>
          <w:szCs w:val="24"/>
          <w:u w:val="single"/>
        </w:rPr>
      </w:pPr>
      <w:r w:rsidRPr="007B73AA">
        <w:rPr>
          <w:sz w:val="24"/>
          <w:szCs w:val="24"/>
          <w:u w:val="single"/>
        </w:rPr>
        <w:t>MAPbI</w:t>
      </w:r>
      <w:r w:rsidRPr="007B73AA">
        <w:rPr>
          <w:sz w:val="24"/>
          <w:szCs w:val="24"/>
          <w:u w:val="single"/>
          <w:vertAlign w:val="subscript"/>
        </w:rPr>
        <w:t>3</w:t>
      </w:r>
      <w:r w:rsidRPr="007B73AA">
        <w:rPr>
          <w:sz w:val="24"/>
          <w:szCs w:val="24"/>
          <w:u w:val="single"/>
        </w:rPr>
        <w:t xml:space="preserve"> film</w:t>
      </w:r>
      <w:r w:rsidR="00566038" w:rsidRPr="007B73AA">
        <w:rPr>
          <w:sz w:val="24"/>
          <w:szCs w:val="24"/>
          <w:u w:val="single"/>
        </w:rPr>
        <w:t xml:space="preserve"> preparation</w:t>
      </w:r>
    </w:p>
    <w:p w14:paraId="112A8805" w14:textId="5C7015DB" w:rsidR="00E82CEC" w:rsidRPr="007B73AA" w:rsidRDefault="00566038" w:rsidP="00EF5320">
      <w:pPr>
        <w:spacing w:line="480" w:lineRule="auto"/>
        <w:jc w:val="both"/>
      </w:pPr>
      <w:r w:rsidRPr="007B73AA">
        <w:t xml:space="preserve">The </w:t>
      </w:r>
      <w:r w:rsidR="00E82CEC" w:rsidRPr="007B73AA">
        <w:t xml:space="preserve">fused silica substrate </w:t>
      </w:r>
      <w:r w:rsidRPr="007B73AA">
        <w:t>was</w:t>
      </w:r>
      <w:r w:rsidR="00E82CEC" w:rsidRPr="007B73AA">
        <w:t xml:space="preserve"> treated by using a UV Ozone cleaner for 40 min to remove organic residuals from the surface. A 1.5 M MAPbI</w:t>
      </w:r>
      <w:r w:rsidR="00E82CEC" w:rsidRPr="007B73AA">
        <w:rPr>
          <w:vertAlign w:val="subscript"/>
        </w:rPr>
        <w:t>3</w:t>
      </w:r>
      <w:r w:rsidR="00E82CEC" w:rsidRPr="007B73AA">
        <w:t xml:space="preserve"> perovskite precursor solution is prepared by mixing 119 mg MAI and 345 mg PbI</w:t>
      </w:r>
      <w:r w:rsidR="00E82CEC" w:rsidRPr="007B73AA">
        <w:rPr>
          <w:vertAlign w:val="subscript"/>
        </w:rPr>
        <w:t>2</w:t>
      </w:r>
      <w:r w:rsidR="00E82CEC" w:rsidRPr="007B73AA">
        <w:t xml:space="preserve"> in a 0.5 mL mixture (9:1 v/v) of </w:t>
      </w:r>
      <w:r w:rsidR="00E82CEC" w:rsidRPr="007B73AA">
        <w:rPr>
          <w:rFonts w:hint="eastAsia"/>
          <w:lang w:eastAsia="zh-TW"/>
        </w:rPr>
        <w:t>DMF</w:t>
      </w:r>
      <w:r w:rsidR="00E82CEC" w:rsidRPr="007B73AA">
        <w:t xml:space="preserve"> and </w:t>
      </w:r>
      <w:r w:rsidR="00E82CEC" w:rsidRPr="007B73AA">
        <w:rPr>
          <w:rFonts w:hint="eastAsia"/>
          <w:lang w:eastAsia="zh-TW"/>
        </w:rPr>
        <w:t>DMSO</w:t>
      </w:r>
      <w:r w:rsidR="00E82CEC" w:rsidRPr="007B73AA">
        <w:t>. To form a uniform precursor, the solution is continuously stirred at 40</w:t>
      </w:r>
      <w:r w:rsidR="007D52B8" w:rsidRPr="007B73AA">
        <w:t> </w:t>
      </w:r>
      <w:r w:rsidR="007D52B8" w:rsidRPr="007B73AA">
        <w:rPr>
          <w:rFonts w:cstheme="minorHAnsi"/>
        </w:rPr>
        <w:t>°</w:t>
      </w:r>
      <w:r w:rsidR="007D52B8" w:rsidRPr="007B73AA">
        <w:t xml:space="preserve">C </w:t>
      </w:r>
      <w:r w:rsidR="00E82CEC" w:rsidRPr="007B73AA">
        <w:t xml:space="preserve">and 600 rpm for 4 hrs. Before the spin coating process, the </w:t>
      </w:r>
      <w:r w:rsidR="00E82CEC" w:rsidRPr="007B73AA">
        <w:rPr>
          <w:rFonts w:hint="eastAsia"/>
          <w:lang w:eastAsia="zh-TW"/>
        </w:rPr>
        <w:t>fused silica</w:t>
      </w:r>
      <w:r w:rsidR="00E82CEC" w:rsidRPr="007B73AA">
        <w:t xml:space="preserve"> substrate is preheated at 100</w:t>
      </w:r>
      <w:r w:rsidR="00D567CD" w:rsidRPr="007B73AA">
        <w:t xml:space="preserve"> </w:t>
      </w:r>
      <w:r w:rsidR="00D567CD" w:rsidRPr="007B73AA">
        <w:rPr>
          <w:rFonts w:cstheme="minorHAnsi"/>
        </w:rPr>
        <w:t>°</w:t>
      </w:r>
      <w:r w:rsidR="00D567CD" w:rsidRPr="007B73AA">
        <w:t xml:space="preserve">C </w:t>
      </w:r>
      <w:r w:rsidR="00E82CEC" w:rsidRPr="007B73AA">
        <w:t xml:space="preserve">for 20 min in a nitrogen-filled glove box to minimize </w:t>
      </w:r>
      <w:r w:rsidR="00E82CEC" w:rsidRPr="007B73AA">
        <w:lastRenderedPageBreak/>
        <w:t>residual moisture. The MAPbI</w:t>
      </w:r>
      <w:r w:rsidR="00E82CEC" w:rsidRPr="007B73AA">
        <w:rPr>
          <w:vertAlign w:val="subscript"/>
        </w:rPr>
        <w:t>3</w:t>
      </w:r>
      <w:r w:rsidR="00E82CEC" w:rsidRPr="007B73AA">
        <w:t xml:space="preserve"> solution is deposited on top of the </w:t>
      </w:r>
      <w:r w:rsidR="00E82CEC" w:rsidRPr="007B73AA">
        <w:rPr>
          <w:rFonts w:hint="eastAsia"/>
          <w:lang w:eastAsia="zh-TW"/>
        </w:rPr>
        <w:t>fused silica</w:t>
      </w:r>
      <w:r w:rsidR="00E82CEC" w:rsidRPr="007B73AA">
        <w:t xml:space="preserve"> substrate by using a spin coater with the washing-enhanced nucleation process</w:t>
      </w:r>
      <w:r w:rsidR="001F2E36" w:rsidRPr="007B73AA">
        <w:fldChar w:fldCharType="begin" w:fldLock="1"/>
      </w:r>
      <w:r w:rsidR="001F2E36" w:rsidRPr="007B73AA">
        <w:instrText>ADDIN CSL_CITATION {"citationItems":[{"id":"ITEM-1","itemData":{"DOI":"10.1016/J.JALLCOM.2019.151723","ISSN":"0925-8388","abstract":"CH3NH3PbI3 (MAPbI3) perovskite thin films were fabricated by using the one-step spin-coating method with a washing-enhanced nucleation (WEN) process under various dropping times, and the resultant thin films were characterized through the reflected-type optical microscope, atomic force microscope, transmittance spectrometer, X-ray diffractometer, photoluminescence spectrometer and water droplet contact-angle imaging system. The experimental results show that the dropping time for the WEN process strongly influences the surface morphology, surface wettability, crystallinity and refractive index of the resultant MAPbI3 thin films, which dominates the contact at the hydrophilic MAPbI3/hydrophobic 6,6-phenyl C61 butyric acid methyl ester (PCBM) interface and thereby determines the photovoltaic performance. In addition, this investigation helps further understand the effects of the WEN process on the formation of a closely-packed MAPbI3 thin film.","author":[{"dropping-particle":"","family":"Chang","given":"Sheng Hsiung","non-dropping-particle":"","parse-names":false,"suffix":""},{"dropping-particle":"De","family":"Wong","given":"Sheng","non-dropping-particle":"","parse-names":false,"suffix":""},{"dropping-particle":"","family":"Huang","given":"Hsiu Ying","non-dropping-particle":"","parse-names":false,"suffix":""},{"dropping-particle":"","family":"Yuan","given":"Chi Tsu","non-dropping-particle":"","parse-names":false,"suffix":""},{"dropping-particle":"","family":"Wu","given":"Jia Ren","non-dropping-particle":"","parse-names":false,"suffix":""},{"dropping-particle":"","family":"Chiang","given":"Shou En","non-dropping-particle":"","parse-names":false,"suffix":""},{"dropping-particle":"","family":"Tseng","given":"Zong Liang","non-dropping-particle":"","parse-names":false,"suffix":""},{"dropping-particle":"","family":"Chen","given":"Sheng Hui","non-dropping-particle":"","parse-names":false,"suffix":""}],"container-title":"Journal of Alloys and Compounds","id":"ITEM-1","issued":{"date-parts":[["2019","11","5"]]},"page":"151723","publisher":"Elsevier","title":"Effects of the washing-enhanced nucleation process on the material properties and performance of perovskite solar cells","type":"article-journal","volume":"808"},"uris":["http://www.mendeley.com/documents/?uuid=be924041-b707-3909-a9d8-24d218e5d3b2"]}],"mendeley":{"formattedCitation":"&lt;sup&gt;11&lt;/sup&gt;","plainTextFormattedCitation":"11"},"properties":{"noteIndex":0},"schema":"https://github.com/citation-style-language/schema/raw/master/csl-citation.json"}</w:instrText>
      </w:r>
      <w:r w:rsidR="001F2E36" w:rsidRPr="007B73AA">
        <w:fldChar w:fldCharType="separate"/>
      </w:r>
      <w:r w:rsidR="001F2E36" w:rsidRPr="007B73AA">
        <w:rPr>
          <w:noProof/>
          <w:vertAlign w:val="superscript"/>
        </w:rPr>
        <w:t>11</w:t>
      </w:r>
      <w:r w:rsidR="001F2E36" w:rsidRPr="007B73AA">
        <w:fldChar w:fldCharType="end"/>
      </w:r>
      <w:r w:rsidR="00E82CEC" w:rsidRPr="007B73AA">
        <w:t xml:space="preserve">. During the spin coating, a 0.3 mL </w:t>
      </w:r>
      <w:r w:rsidR="00E82CEC" w:rsidRPr="007B73AA">
        <w:rPr>
          <w:rFonts w:hint="eastAsia"/>
          <w:lang w:eastAsia="zh-TW"/>
        </w:rPr>
        <w:t xml:space="preserve">CB </w:t>
      </w:r>
      <w:r w:rsidR="00E82CEC" w:rsidRPr="007B73AA">
        <w:t xml:space="preserve">is dropped onto the </w:t>
      </w:r>
      <w:r w:rsidR="00E82CEC" w:rsidRPr="007B73AA">
        <w:rPr>
          <w:rFonts w:hint="eastAsia"/>
          <w:lang w:eastAsia="zh-TW"/>
        </w:rPr>
        <w:t>fused silica</w:t>
      </w:r>
      <w:r w:rsidR="00E82CEC" w:rsidRPr="007B73AA">
        <w:t xml:space="preserve"> substrate at the last 23 s as the washing solvent. After the spin coating, the sample is heated at 100</w:t>
      </w:r>
      <w:r w:rsidR="00C824E7" w:rsidRPr="007B73AA">
        <w:t> </w:t>
      </w:r>
      <w:r w:rsidR="00C824E7" w:rsidRPr="007B73AA">
        <w:rPr>
          <w:rFonts w:cstheme="minorHAnsi"/>
        </w:rPr>
        <w:t>°</w:t>
      </w:r>
      <w:r w:rsidR="00C824E7" w:rsidRPr="007B73AA">
        <w:t>C</w:t>
      </w:r>
      <w:r w:rsidR="00E82CEC" w:rsidRPr="007B73AA">
        <w:t xml:space="preserve"> for 20 min. Then, the MAPbI3/</w:t>
      </w:r>
      <w:r w:rsidR="00E82CEC" w:rsidRPr="007B73AA">
        <w:rPr>
          <w:rFonts w:hint="eastAsia"/>
          <w:lang w:eastAsia="zh-TW"/>
        </w:rPr>
        <w:t>fused silica</w:t>
      </w:r>
      <w:r w:rsidR="00E82CEC" w:rsidRPr="007B73AA">
        <w:t xml:space="preserve"> sample is cooled down to room temperatures in a glass petri dish.</w:t>
      </w:r>
    </w:p>
    <w:p w14:paraId="0F99E42C" w14:textId="77777777" w:rsidR="00ED3442" w:rsidRPr="00BC5D29" w:rsidRDefault="00ED3442" w:rsidP="00ED3442">
      <w:pPr>
        <w:jc w:val="both"/>
        <w:rPr>
          <w:sz w:val="24"/>
          <w:szCs w:val="24"/>
          <w:u w:val="single"/>
        </w:rPr>
      </w:pPr>
      <w:r w:rsidRPr="00B45FDB">
        <w:rPr>
          <w:sz w:val="24"/>
          <w:szCs w:val="24"/>
          <w:u w:val="single"/>
        </w:rPr>
        <w:t>X-ray diffraction pattern of the Q2D film</w:t>
      </w:r>
    </w:p>
    <w:p w14:paraId="1DD32289" w14:textId="1E7C091A" w:rsidR="00ED3442" w:rsidRDefault="00ED3442" w:rsidP="00EF5320">
      <w:pPr>
        <w:spacing w:line="480" w:lineRule="auto"/>
        <w:jc w:val="both"/>
        <w:rPr>
          <w:rFonts w:eastAsiaTheme="majorEastAsia" w:cstheme="majorBidi"/>
        </w:rPr>
      </w:pPr>
      <w:r w:rsidRPr="00AA584B">
        <w:rPr>
          <w:rFonts w:eastAsiaTheme="majorEastAsia" w:cstheme="majorBidi"/>
        </w:rPr>
        <w:t>X-ray diffraction measurements on thin films were performed at room temperature in ambient atmosphere on a Bruker D8 Discover diffractometer with a parallel beam geometry using a Göbel mirror and CuK</w:t>
      </w:r>
      <w:r w:rsidRPr="00371FE5">
        <w:rPr>
          <w:rFonts w:eastAsiaTheme="majorEastAsia" w:cstheme="majorBidi"/>
          <w:vertAlign w:val="subscript"/>
        </w:rPr>
        <w:t>α</w:t>
      </w:r>
      <w:r w:rsidRPr="00AA584B">
        <w:rPr>
          <w:rFonts w:eastAsiaTheme="majorEastAsia" w:cstheme="majorBidi"/>
        </w:rPr>
        <w:t xml:space="preserve"> radiation, with a one-dimensional detector (Lynxeye).</w:t>
      </w:r>
    </w:p>
    <w:p w14:paraId="47E09E3D" w14:textId="763CFE71" w:rsidR="00ED3442" w:rsidRPr="00531049" w:rsidRDefault="00ED3442" w:rsidP="00EF5320">
      <w:pPr>
        <w:spacing w:line="480" w:lineRule="auto"/>
        <w:jc w:val="both"/>
        <w:rPr>
          <w:rFonts w:eastAsiaTheme="majorEastAsia" w:cstheme="majorBidi"/>
        </w:rPr>
      </w:pPr>
      <w:r>
        <w:rPr>
          <w:rFonts w:eastAsiaTheme="majorEastAsia" w:cstheme="majorBidi"/>
        </w:rPr>
        <w:t>Based on the absorption spectrum of the film at low temperature (</w:t>
      </w:r>
      <w:r w:rsidR="00926B7B">
        <w:rPr>
          <w:rFonts w:eastAsiaTheme="majorEastAsia" w:cstheme="majorBidi"/>
        </w:rPr>
        <w:t xml:space="preserve">80K; </w:t>
      </w:r>
      <w:r>
        <w:rPr>
          <w:rFonts w:eastAsiaTheme="majorEastAsia" w:cstheme="majorBidi"/>
        </w:rPr>
        <w:t>Figure S1), the film is composed of a mixture of Q2D phases with a different number of inorganic layers (</w:t>
      </w:r>
      <w:r w:rsidR="004128D1">
        <w:rPr>
          <w:rFonts w:eastAsiaTheme="majorEastAsia" w:cstheme="majorBidi"/>
        </w:rPr>
        <w:t>&lt;</w:t>
      </w:r>
      <w:r>
        <w:rPr>
          <w:rFonts w:eastAsiaTheme="majorEastAsia" w:cstheme="majorBidi"/>
          <w:i/>
          <w:iCs/>
        </w:rPr>
        <w:t>n</w:t>
      </w:r>
      <w:r w:rsidR="004128D1">
        <w:rPr>
          <w:rFonts w:eastAsiaTheme="majorEastAsia" w:cstheme="majorBidi"/>
          <w:i/>
          <w:iCs/>
        </w:rPr>
        <w:t>&gt;</w:t>
      </w:r>
      <w:r>
        <w:rPr>
          <w:rFonts w:eastAsiaTheme="majorEastAsia" w:cstheme="majorBidi"/>
        </w:rPr>
        <w:t xml:space="preserve">) up to 8, resulting in a complex XRD pattern containing reflections related to phases of different </w:t>
      </w:r>
      <w:r w:rsidR="004128D1">
        <w:rPr>
          <w:rFonts w:eastAsiaTheme="majorEastAsia" w:cstheme="majorBidi"/>
        </w:rPr>
        <w:t>&lt;</w:t>
      </w:r>
      <w:r>
        <w:rPr>
          <w:rFonts w:eastAsiaTheme="majorEastAsia" w:cstheme="majorBidi"/>
          <w:i/>
          <w:iCs/>
        </w:rPr>
        <w:t>n</w:t>
      </w:r>
      <w:r w:rsidR="004128D1">
        <w:rPr>
          <w:rFonts w:eastAsiaTheme="majorEastAsia" w:cstheme="majorBidi"/>
          <w:i/>
          <w:iCs/>
        </w:rPr>
        <w:t>&gt;</w:t>
      </w:r>
      <w:r>
        <w:rPr>
          <w:rFonts w:eastAsiaTheme="majorEastAsia" w:cstheme="majorBidi"/>
        </w:rPr>
        <w:t xml:space="preserve">-values. The main reflections are tentatively assigned to phases of a certain </w:t>
      </w:r>
      <w:r w:rsidR="001A3694">
        <w:rPr>
          <w:rFonts w:eastAsiaTheme="majorEastAsia" w:cstheme="majorBidi"/>
        </w:rPr>
        <w:t>&lt;</w:t>
      </w:r>
      <w:r>
        <w:rPr>
          <w:rFonts w:eastAsiaTheme="majorEastAsia" w:cstheme="majorBidi"/>
          <w:i/>
          <w:iCs/>
        </w:rPr>
        <w:t>n</w:t>
      </w:r>
      <w:r w:rsidR="001A3694">
        <w:rPr>
          <w:rFonts w:eastAsiaTheme="majorEastAsia" w:cstheme="majorBidi"/>
          <w:i/>
          <w:iCs/>
        </w:rPr>
        <w:t>&gt;</w:t>
      </w:r>
      <w:r>
        <w:rPr>
          <w:rFonts w:eastAsiaTheme="majorEastAsia" w:cstheme="majorBidi"/>
        </w:rPr>
        <w:t>-value, based on the literature o</w:t>
      </w:r>
      <w:r w:rsidR="00DB2BC6">
        <w:rPr>
          <w:rFonts w:eastAsiaTheme="majorEastAsia" w:cstheme="majorBidi"/>
        </w:rPr>
        <w:t>n</w:t>
      </w:r>
      <w:r>
        <w:rPr>
          <w:rFonts w:eastAsiaTheme="majorEastAsia" w:cstheme="majorBidi"/>
        </w:rPr>
        <w:t xml:space="preserve"> </w:t>
      </w:r>
      <w:r w:rsidRPr="000744EB">
        <w:rPr>
          <w:lang w:val="en-US"/>
        </w:rPr>
        <w:t>PEA</w:t>
      </w:r>
      <w:r w:rsidRPr="000744EB">
        <w:rPr>
          <w:vertAlign w:val="subscript"/>
          <w:lang w:val="en-US"/>
        </w:rPr>
        <w:t>2</w:t>
      </w:r>
      <w:r w:rsidRPr="000744EB">
        <w:rPr>
          <w:lang w:val="en-US"/>
        </w:rPr>
        <w:t>FA</w:t>
      </w:r>
      <w:r w:rsidRPr="000744EB">
        <w:rPr>
          <w:vertAlign w:val="subscript"/>
          <w:lang w:val="en-US"/>
        </w:rPr>
        <w:t>n-1</w:t>
      </w:r>
      <w:r w:rsidRPr="000744EB">
        <w:rPr>
          <w:lang w:val="en-US"/>
        </w:rPr>
        <w:t>Pb</w:t>
      </w:r>
      <w:r w:rsidRPr="000744EB">
        <w:rPr>
          <w:vertAlign w:val="subscript"/>
          <w:lang w:val="en-US"/>
        </w:rPr>
        <w:t>n</w:t>
      </w:r>
      <w:r w:rsidRPr="000744EB">
        <w:rPr>
          <w:lang w:val="en-US"/>
        </w:rPr>
        <w:t>Br</w:t>
      </w:r>
      <w:r w:rsidRPr="000744EB">
        <w:rPr>
          <w:vertAlign w:val="subscript"/>
          <w:lang w:val="en-US"/>
        </w:rPr>
        <w:t>3n+1</w:t>
      </w:r>
      <w:r>
        <w:rPr>
          <w:lang w:val="en-US"/>
        </w:rPr>
        <w:t xml:space="preserve"> </w:t>
      </w:r>
      <w:r w:rsidR="00255FC2">
        <w:rPr>
          <w:lang w:val="en-US"/>
        </w:rPr>
        <w:t xml:space="preserve">thin </w:t>
      </w:r>
      <w:r>
        <w:rPr>
          <w:lang w:val="en-US"/>
        </w:rPr>
        <w:t>films</w:t>
      </w:r>
      <w:r w:rsidR="00DF0715">
        <w:rPr>
          <w:rFonts w:eastAsiaTheme="majorEastAsia" w:cstheme="majorBidi"/>
        </w:rPr>
        <w:fldChar w:fldCharType="begin" w:fldLock="1"/>
      </w:r>
      <w:r w:rsidR="001F2E36">
        <w:rPr>
          <w:rFonts w:eastAsiaTheme="majorEastAsia" w:cstheme="majorBidi"/>
        </w:rPr>
        <w:instrText>ADDIN CSL_CITATION {"citationItems":[{"id":"ITEM-1","itemData":{"DOI":"10.1002/adpr.202000164","ISSN":"2699-9293","abstract":"Quasi-2D-layered perovskites have more exotic optical properties than their 3D halide perovskites congener, such as prominent excitonic features, higher photoluminescence (PL) yield, and composition-induced energy transfer among different phases. However, there are known challenges in quasi-2D perovskite where by default one gets a mixture of various phases (n?=?1, 2, 3?.3D) in one composition. Energy transfer processes occur among various phases, and optimization is needed to ensure one can get the best optical properties by targeting optimal phase purity. Herein, a detailed analysis of structural and optical properties of different perovskites (2D perovskite, quasi-2D perovskite, and 3D perovskite) of (PEA)2(FAPbBr3)n?1PbBr4 series is done. The n?=?3 composition with the least phase impurity is prepared, which provides a higher PL emission intensity than members of this series. Hence, the n?=?3 composition (emissive layer) based perovskite light-emitting diode (PeLED) is fabricated. Poly(9-vinyl carbazole) (PVK) as an additional hole-injection layer with poly(3,4-ethylene dioxythiophene) polystyrene sulfonate (PEDOT:PSS) helps to suppress (1) the leakage current (effective blocking of electrons) and (2) the non-radiative channels at the interface. Optimized thickness of emissive layer in PeLED (100 nm) gives a luminance efficiency of 15.4 cd A?1 and external quantum efficiency (EQE) of 4.32%.","author":[{"dropping-particle":"","family":"Laxmi","given":"","non-dropping-particle":"","parse-names":false,"suffix":""},{"dropping-particle":"","family":"Kabra","given":"Dinesh","non-dropping-particle":"","parse-names":false,"suffix":""}]</w:instrText>
      </w:r>
      <w:r w:rsidR="001F2E36">
        <w:rPr>
          <w:rFonts w:eastAsiaTheme="majorEastAsia" w:cstheme="majorBidi" w:hint="eastAsia"/>
        </w:rPr>
        <w:instrText>,"container-title":"Advanced Photonics Research","id":"ITEM-1","issue":"6","issued":{"date-parts":[["2021","6","1"]]},"page":"2000164","publisher":"John Wiley &amp; Sons, Ltd","title":"Optimization of Composition with Reduced Phase Impurity in Quasi</w:instrText>
      </w:r>
      <w:r w:rsidR="001F2E36">
        <w:rPr>
          <w:rFonts w:eastAsiaTheme="majorEastAsia" w:cstheme="majorBidi" w:hint="eastAsia"/>
        </w:rPr>
        <w:instrText>‐</w:instrText>
      </w:r>
      <w:r w:rsidR="001F2E36">
        <w:rPr>
          <w:rFonts w:eastAsiaTheme="majorEastAsia" w:cstheme="majorBidi" w:hint="eastAsia"/>
        </w:rPr>
        <w:instrText>2D Perovs</w:instrText>
      </w:r>
      <w:r w:rsidR="001F2E36">
        <w:rPr>
          <w:rFonts w:eastAsiaTheme="majorEastAsia" w:cstheme="majorBidi"/>
        </w:rPr>
        <w:instrText>kite for Electroluminescence","type":"article-journal","volume":"2"},"uris":["http://www.mendeley.com/documents/?uuid=c11bde50-1443-3a47-8665-776e90ada9f6"]},{"id":"ITEM-2","itemData":{"DOI":"10.1038/s41586-020-2621-1","ISSN":"14764687","PMID":"32879501","abstract":"Organic–inorganic lead halide quasi-two-dimensional (2D) perovskites are promising gain media for lasing applications because of their low cost, tunable colour, excellent stability and solution processability1–3. Optically pumped continuous-wave (CW) lasing is highly desired for practical applications in high-density integrated optoelectronics devices and constitutes a key step towards electrically pumped lasers4–6. However, CW lasing has not yet been realized at room temperature because of the ‘lasing death’ phenomenon (the abrupt termination of lasing under CW optical pumping), the cause of which remains unknown. Here we study lead halide-based quasi-2D perovskite films with different organic cations and observe that long-lived triplet excitons considerably impede population inversion during amplified spontaneous emission and optically pumped pulsed and CW lasing. Our results indicate that singlet–triplet exciton annihilation is a possible intrinsic mechanism causing lasing death. By using a distributed-feedback cavity with a high quality factor and applying triplet management strategies, we achieve stable green quasi-2D perovskite lasers under CW optical pumping in air at room temperature. We expect that our findings will pave the way to the realization of future current-injection perovskite lasers.","author":[{"dropping-particle":"","family":"Qin","given":"Chuanjiang","non-dropping-particle":"","parse-names":false,"suffix":""},{"dropping-particle":"","family":"Sandanayaka","given":"Atula S.D.","non-dropping-particle":"","parse-names":false,"suffix":""},{"dropping-particle":"","family":"Zhao","given":"Chenyang","non-dropping-particle":"","parse-names":false,"suffix":""},{"dropping-particle":"","family":"Matsushima","given":"Toshinori","non-dropping-particle":"","parse-names":false,"suffix":""},{"dropping-particle":"","family":"Zhang","given":"Dezhong","non-dropping-particle":"","parse-names":false,"suffix":""},{"dropping-particle":"","family":"Fujihara","given":"Takashi","non-dropping-particle":"","parse-names":false,"suffix":""},{"dropping-particle":"","family":"Adachi","given":"Chihaya","non-dropping-particle":"","parse-names":false,"suffix":""}],"container-title":"Nature","id":"ITEM-2","issue":"7823","issued":{"date-parts":[["2020","9","3"]]},"page":"53-57","publisher":"Nature Research","title":"Stable room-temperature continuous-wave lasing in quasi-2D perovskite films","type":"article-journal","volume":"585"},"uris":["http://www.mendeley.com/documents/?uuid=1f38d8a6-f0ed-31cf-a2d5-4f385b3c992e"]}],"mendeley":{"formattedCitation":"&lt;sup&gt;12,13&lt;/sup&gt;","plainTextFormattedCitation":"12,13","previouslyFormattedCitation":"&lt;sup&gt;11,12&lt;/sup&gt;"},"properties":{"noteIndex":0},"schema":"https://github.com/citation-style-language/schema/raw/master/csl-citation.json"}</w:instrText>
      </w:r>
      <w:r w:rsidR="00DF0715">
        <w:rPr>
          <w:rFonts w:eastAsiaTheme="majorEastAsia" w:cstheme="majorBidi"/>
        </w:rPr>
        <w:fldChar w:fldCharType="separate"/>
      </w:r>
      <w:r w:rsidR="001F2E36" w:rsidRPr="001F2E36">
        <w:rPr>
          <w:rFonts w:eastAsiaTheme="majorEastAsia" w:cstheme="majorBidi"/>
          <w:noProof/>
          <w:vertAlign w:val="superscript"/>
        </w:rPr>
        <w:t>12,13</w:t>
      </w:r>
      <w:r w:rsidR="00DF0715">
        <w:rPr>
          <w:rFonts w:eastAsiaTheme="majorEastAsia" w:cstheme="majorBidi"/>
        </w:rPr>
        <w:fldChar w:fldCharType="end"/>
      </w:r>
    </w:p>
    <w:p w14:paraId="0F23540B" w14:textId="77777777" w:rsidR="00ED3442" w:rsidRDefault="00ED3442" w:rsidP="00ED3442">
      <w:pPr>
        <w:jc w:val="center"/>
        <w:rPr>
          <w:rFonts w:ascii="Arial" w:eastAsiaTheme="majorEastAsia" w:hAnsi="Arial" w:cs="Arial"/>
        </w:rPr>
      </w:pPr>
      <w:r>
        <w:rPr>
          <w:rFonts w:ascii="Arial" w:eastAsiaTheme="majorEastAsia" w:hAnsi="Arial" w:cs="Arial"/>
          <w:noProof/>
        </w:rPr>
        <w:drawing>
          <wp:inline distT="0" distB="0" distL="0" distR="0" wp14:anchorId="34DBF62A" wp14:editId="757F7468">
            <wp:extent cx="3044952" cy="2395728"/>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44952" cy="2395728"/>
                    </a:xfrm>
                    <a:prstGeom prst="rect">
                      <a:avLst/>
                    </a:prstGeom>
                  </pic:spPr>
                </pic:pic>
              </a:graphicData>
            </a:graphic>
          </wp:inline>
        </w:drawing>
      </w:r>
    </w:p>
    <w:p w14:paraId="595BE138" w14:textId="2022B1AB" w:rsidR="00ED3442" w:rsidRDefault="00ED3442" w:rsidP="00B45FDB">
      <w:pPr>
        <w:pStyle w:val="Caption"/>
        <w:jc w:val="both"/>
      </w:pPr>
      <w:r>
        <w:t xml:space="preserve">Figure </w:t>
      </w:r>
      <w:r w:rsidR="00AA5245">
        <w:t>S</w:t>
      </w:r>
      <w:r w:rsidR="00152C10">
        <w:fldChar w:fldCharType="begin"/>
      </w:r>
      <w:r w:rsidR="00152C10">
        <w:instrText xml:space="preserve"> SEQ Figure_S \* ARABIC </w:instrText>
      </w:r>
      <w:r w:rsidR="00152C10">
        <w:fldChar w:fldCharType="separate"/>
      </w:r>
      <w:r w:rsidR="00D14CE1">
        <w:rPr>
          <w:noProof/>
        </w:rPr>
        <w:t>12</w:t>
      </w:r>
      <w:r w:rsidR="00152C10">
        <w:rPr>
          <w:noProof/>
        </w:rPr>
        <w:fldChar w:fldCharType="end"/>
      </w:r>
      <w:r w:rsidR="00AA5245">
        <w:t>:</w:t>
      </w:r>
      <w:r>
        <w:t xml:space="preserve"> X-ray diffraction pattern of the mixed Q2D film. The numbers above the reflections indicate that they correspond to</w:t>
      </w:r>
      <w:r w:rsidR="00862100">
        <w:t xml:space="preserve"> diffraction from grains with</w:t>
      </w:r>
      <w:r>
        <w:t xml:space="preserve"> a certain </w:t>
      </w:r>
      <w:r w:rsidR="001A3694">
        <w:t>&lt;</w:t>
      </w:r>
      <w:r>
        <w:rPr>
          <w:i/>
          <w:iCs w:val="0"/>
        </w:rPr>
        <w:t>n</w:t>
      </w:r>
      <w:r w:rsidR="001A3694">
        <w:rPr>
          <w:i/>
          <w:iCs w:val="0"/>
        </w:rPr>
        <w:t>&gt;</w:t>
      </w:r>
      <w:r>
        <w:t xml:space="preserve">-value. </w:t>
      </w:r>
    </w:p>
    <w:p w14:paraId="0731E963" w14:textId="20D32647" w:rsidR="00103B7F" w:rsidRDefault="00103B7F" w:rsidP="00103B7F"/>
    <w:p w14:paraId="49A6C47B" w14:textId="325076F3" w:rsidR="00377F75" w:rsidRPr="00B94A22" w:rsidRDefault="00377F75">
      <w:pPr>
        <w:rPr>
          <w:sz w:val="24"/>
          <w:szCs w:val="24"/>
          <w:u w:val="single"/>
        </w:rPr>
      </w:pPr>
      <w:r>
        <w:rPr>
          <w:sz w:val="24"/>
          <w:szCs w:val="24"/>
          <w:u w:val="single"/>
        </w:rPr>
        <w:br w:type="page"/>
      </w:r>
    </w:p>
    <w:p w14:paraId="59A5B88A" w14:textId="623B15CD" w:rsidR="001F2E36" w:rsidRPr="001F2E36" w:rsidRDefault="00377F75" w:rsidP="001F2E36">
      <w:pPr>
        <w:widowControl w:val="0"/>
        <w:autoSpaceDE w:val="0"/>
        <w:autoSpaceDN w:val="0"/>
        <w:adjustRightInd w:val="0"/>
        <w:spacing w:line="240" w:lineRule="auto"/>
        <w:ind w:left="640" w:hanging="640"/>
        <w:rPr>
          <w:rFonts w:ascii="Calibri" w:hAnsi="Calibri" w:cs="Calibri"/>
          <w:noProof/>
          <w:szCs w:val="24"/>
        </w:rPr>
      </w:pPr>
      <w:r>
        <w:lastRenderedPageBreak/>
        <w:fldChar w:fldCharType="begin" w:fldLock="1"/>
      </w:r>
      <w:r>
        <w:instrText xml:space="preserve">ADDIN Mendeley Bibliography CSL_BIBLIOGRAPHY </w:instrText>
      </w:r>
      <w:r>
        <w:fldChar w:fldCharType="separate"/>
      </w:r>
      <w:r w:rsidR="001F2E36" w:rsidRPr="001F2E36">
        <w:rPr>
          <w:rFonts w:ascii="Calibri" w:hAnsi="Calibri" w:cs="Calibri"/>
          <w:noProof/>
          <w:szCs w:val="24"/>
        </w:rPr>
        <w:t>1.</w:t>
      </w:r>
      <w:r w:rsidR="001F2E36" w:rsidRPr="001F2E36">
        <w:rPr>
          <w:rFonts w:ascii="Calibri" w:hAnsi="Calibri" w:cs="Calibri"/>
          <w:noProof/>
          <w:szCs w:val="24"/>
        </w:rPr>
        <w:tab/>
        <w:t xml:space="preserve">Lee, S. M. </w:t>
      </w:r>
      <w:r w:rsidR="001F2E36" w:rsidRPr="001F2E36">
        <w:rPr>
          <w:rFonts w:ascii="Calibri" w:hAnsi="Calibri" w:cs="Calibri"/>
          <w:i/>
          <w:iCs/>
          <w:noProof/>
          <w:szCs w:val="24"/>
        </w:rPr>
        <w:t>et al.</w:t>
      </w:r>
      <w:r w:rsidR="001F2E36" w:rsidRPr="001F2E36">
        <w:rPr>
          <w:rFonts w:ascii="Calibri" w:hAnsi="Calibri" w:cs="Calibri"/>
          <w:noProof/>
          <w:szCs w:val="24"/>
        </w:rPr>
        <w:t xml:space="preserve"> Temperature-Dependent Photoluminescence of Cesium Lead Halide Perovskite Quantum Dots: Splitting of the Photoluminescence Peaks of CsPbBr3 and CsPb(Br/I)3 Quantum Dots at Low Temperature. </w:t>
      </w:r>
      <w:r w:rsidR="001F2E36" w:rsidRPr="001F2E36">
        <w:rPr>
          <w:rFonts w:ascii="Calibri" w:hAnsi="Calibri" w:cs="Calibri"/>
          <w:i/>
          <w:iCs/>
          <w:noProof/>
          <w:szCs w:val="24"/>
        </w:rPr>
        <w:t>J. Phys. Chem. C</w:t>
      </w:r>
      <w:r w:rsidR="001F2E36" w:rsidRPr="001F2E36">
        <w:rPr>
          <w:rFonts w:ascii="Calibri" w:hAnsi="Calibri" w:cs="Calibri"/>
          <w:noProof/>
          <w:szCs w:val="24"/>
        </w:rPr>
        <w:t xml:space="preserve"> </w:t>
      </w:r>
      <w:r w:rsidR="001F2E36" w:rsidRPr="001F2E36">
        <w:rPr>
          <w:rFonts w:ascii="Calibri" w:hAnsi="Calibri" w:cs="Calibri"/>
          <w:b/>
          <w:bCs/>
          <w:noProof/>
          <w:szCs w:val="24"/>
        </w:rPr>
        <w:t>121</w:t>
      </w:r>
      <w:r w:rsidR="001F2E36" w:rsidRPr="001F2E36">
        <w:rPr>
          <w:rFonts w:ascii="Calibri" w:hAnsi="Calibri" w:cs="Calibri"/>
          <w:noProof/>
          <w:szCs w:val="24"/>
        </w:rPr>
        <w:t>, 26054–26062 (2017).</w:t>
      </w:r>
    </w:p>
    <w:p w14:paraId="45A57673"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2.</w:t>
      </w:r>
      <w:r w:rsidRPr="001F2E36">
        <w:rPr>
          <w:rFonts w:ascii="Calibri" w:hAnsi="Calibri" w:cs="Calibri"/>
          <w:noProof/>
          <w:szCs w:val="24"/>
        </w:rPr>
        <w:tab/>
        <w:t xml:space="preserve">Galkowski, K. </w:t>
      </w:r>
      <w:r w:rsidRPr="001F2E36">
        <w:rPr>
          <w:rFonts w:ascii="Calibri" w:hAnsi="Calibri" w:cs="Calibri"/>
          <w:i/>
          <w:iCs/>
          <w:noProof/>
          <w:szCs w:val="24"/>
        </w:rPr>
        <w:t>et al.</w:t>
      </w:r>
      <w:r w:rsidRPr="001F2E36">
        <w:rPr>
          <w:rFonts w:ascii="Calibri" w:hAnsi="Calibri" w:cs="Calibri"/>
          <w:noProof/>
          <w:szCs w:val="24"/>
        </w:rPr>
        <w:t xml:space="preserve"> Determination of the exciton binding energy and effective masses for methylammonium and formamidinium lead tri-halide perovskite semiconductors. </w:t>
      </w:r>
      <w:r w:rsidRPr="001F2E36">
        <w:rPr>
          <w:rFonts w:ascii="Calibri" w:hAnsi="Calibri" w:cs="Calibri"/>
          <w:i/>
          <w:iCs/>
          <w:noProof/>
          <w:szCs w:val="24"/>
        </w:rPr>
        <w:t>Energy Environ. Sci.</w:t>
      </w:r>
      <w:r w:rsidRPr="001F2E36">
        <w:rPr>
          <w:rFonts w:ascii="Calibri" w:hAnsi="Calibri" w:cs="Calibri"/>
          <w:noProof/>
          <w:szCs w:val="24"/>
        </w:rPr>
        <w:t xml:space="preserve"> </w:t>
      </w:r>
      <w:r w:rsidRPr="001F2E36">
        <w:rPr>
          <w:rFonts w:ascii="Calibri" w:hAnsi="Calibri" w:cs="Calibri"/>
          <w:b/>
          <w:bCs/>
          <w:noProof/>
          <w:szCs w:val="24"/>
        </w:rPr>
        <w:t>9</w:t>
      </w:r>
      <w:r w:rsidRPr="001F2E36">
        <w:rPr>
          <w:rFonts w:ascii="Calibri" w:hAnsi="Calibri" w:cs="Calibri"/>
          <w:noProof/>
          <w:szCs w:val="24"/>
        </w:rPr>
        <w:t>, 962–970 (2016).</w:t>
      </w:r>
    </w:p>
    <w:p w14:paraId="77BDFE54"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3.</w:t>
      </w:r>
      <w:r w:rsidRPr="001F2E36">
        <w:rPr>
          <w:rFonts w:ascii="Calibri" w:hAnsi="Calibri" w:cs="Calibri"/>
          <w:noProof/>
          <w:szCs w:val="24"/>
        </w:rPr>
        <w:tab/>
        <w:t xml:space="preserve">Price, M. B. </w:t>
      </w:r>
      <w:r w:rsidRPr="001F2E36">
        <w:rPr>
          <w:rFonts w:ascii="Calibri" w:hAnsi="Calibri" w:cs="Calibri"/>
          <w:i/>
          <w:iCs/>
          <w:noProof/>
          <w:szCs w:val="24"/>
        </w:rPr>
        <w:t>et al.</w:t>
      </w:r>
      <w:r w:rsidRPr="001F2E36">
        <w:rPr>
          <w:rFonts w:ascii="Calibri" w:hAnsi="Calibri" w:cs="Calibri"/>
          <w:noProof/>
          <w:szCs w:val="24"/>
        </w:rPr>
        <w:t xml:space="preserve"> Hot-carrier cooling and photoinduced refractive index changes in organic-inorganic lead halide perovskites. </w:t>
      </w:r>
      <w:r w:rsidRPr="001F2E36">
        <w:rPr>
          <w:rFonts w:ascii="Calibri" w:hAnsi="Calibri" w:cs="Calibri"/>
          <w:i/>
          <w:iCs/>
          <w:noProof/>
          <w:szCs w:val="24"/>
        </w:rPr>
        <w:t>Nat. Commun.</w:t>
      </w:r>
      <w:r w:rsidRPr="001F2E36">
        <w:rPr>
          <w:rFonts w:ascii="Calibri" w:hAnsi="Calibri" w:cs="Calibri"/>
          <w:noProof/>
          <w:szCs w:val="24"/>
        </w:rPr>
        <w:t xml:space="preserve"> </w:t>
      </w:r>
      <w:r w:rsidRPr="001F2E36">
        <w:rPr>
          <w:rFonts w:ascii="Calibri" w:hAnsi="Calibri" w:cs="Calibri"/>
          <w:b/>
          <w:bCs/>
          <w:noProof/>
          <w:szCs w:val="24"/>
        </w:rPr>
        <w:t>6</w:t>
      </w:r>
      <w:r w:rsidRPr="001F2E36">
        <w:rPr>
          <w:rFonts w:ascii="Calibri" w:hAnsi="Calibri" w:cs="Calibri"/>
          <w:noProof/>
          <w:szCs w:val="24"/>
        </w:rPr>
        <w:t>, 1–8 (2015).</w:t>
      </w:r>
    </w:p>
    <w:p w14:paraId="4ED2D393"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4.</w:t>
      </w:r>
      <w:r w:rsidRPr="001F2E36">
        <w:rPr>
          <w:rFonts w:ascii="Calibri" w:hAnsi="Calibri" w:cs="Calibri"/>
          <w:noProof/>
          <w:szCs w:val="24"/>
        </w:rPr>
        <w:tab/>
        <w:t xml:space="preserve">Geiregat, P. </w:t>
      </w:r>
      <w:r w:rsidRPr="001F2E36">
        <w:rPr>
          <w:rFonts w:ascii="Calibri" w:hAnsi="Calibri" w:cs="Calibri"/>
          <w:i/>
          <w:iCs/>
          <w:noProof/>
          <w:szCs w:val="24"/>
        </w:rPr>
        <w:t>et al.</w:t>
      </w:r>
      <w:r w:rsidRPr="001F2E36">
        <w:rPr>
          <w:rFonts w:ascii="Calibri" w:hAnsi="Calibri" w:cs="Calibri"/>
          <w:noProof/>
          <w:szCs w:val="24"/>
        </w:rPr>
        <w:t xml:space="preserve"> Using Bulk-like Nanocrystals To Probe Intrinsic Optical Gain Characteristics of Inorganic Lead Halide Perovskites. </w:t>
      </w:r>
      <w:r w:rsidRPr="001F2E36">
        <w:rPr>
          <w:rFonts w:ascii="Calibri" w:hAnsi="Calibri" w:cs="Calibri"/>
          <w:i/>
          <w:iCs/>
          <w:noProof/>
          <w:szCs w:val="24"/>
        </w:rPr>
        <w:t>ACS Nano</w:t>
      </w:r>
      <w:r w:rsidRPr="001F2E36">
        <w:rPr>
          <w:rFonts w:ascii="Calibri" w:hAnsi="Calibri" w:cs="Calibri"/>
          <w:noProof/>
          <w:szCs w:val="24"/>
        </w:rPr>
        <w:t xml:space="preserve"> </w:t>
      </w:r>
      <w:r w:rsidRPr="001F2E36">
        <w:rPr>
          <w:rFonts w:ascii="Calibri" w:hAnsi="Calibri" w:cs="Calibri"/>
          <w:b/>
          <w:bCs/>
          <w:noProof/>
          <w:szCs w:val="24"/>
        </w:rPr>
        <w:t>12</w:t>
      </w:r>
      <w:r w:rsidRPr="001F2E36">
        <w:rPr>
          <w:rFonts w:ascii="Calibri" w:hAnsi="Calibri" w:cs="Calibri"/>
          <w:noProof/>
          <w:szCs w:val="24"/>
        </w:rPr>
        <w:t>, 10178–10188 (2018).</w:t>
      </w:r>
    </w:p>
    <w:p w14:paraId="090BA05F"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5.</w:t>
      </w:r>
      <w:r w:rsidRPr="001F2E36">
        <w:rPr>
          <w:rFonts w:ascii="Calibri" w:hAnsi="Calibri" w:cs="Calibri"/>
          <w:noProof/>
          <w:szCs w:val="24"/>
        </w:rPr>
        <w:tab/>
        <w:t xml:space="preserve">Lim, J. W. M. </w:t>
      </w:r>
      <w:r w:rsidRPr="001F2E36">
        <w:rPr>
          <w:rFonts w:ascii="Calibri" w:hAnsi="Calibri" w:cs="Calibri"/>
          <w:i/>
          <w:iCs/>
          <w:noProof/>
          <w:szCs w:val="24"/>
        </w:rPr>
        <w:t>et al.</w:t>
      </w:r>
      <w:r w:rsidRPr="001F2E36">
        <w:rPr>
          <w:rFonts w:ascii="Calibri" w:hAnsi="Calibri" w:cs="Calibri"/>
          <w:noProof/>
          <w:szCs w:val="24"/>
        </w:rPr>
        <w:t xml:space="preserve"> Hot Carriers in Halide Perovskites: How Hot Truly? </w:t>
      </w:r>
      <w:r w:rsidRPr="001F2E36">
        <w:rPr>
          <w:rFonts w:ascii="Calibri" w:hAnsi="Calibri" w:cs="Calibri"/>
          <w:i/>
          <w:iCs/>
          <w:noProof/>
          <w:szCs w:val="24"/>
        </w:rPr>
        <w:t>J. Phys. Chem. Lett.</w:t>
      </w:r>
      <w:r w:rsidRPr="001F2E36">
        <w:rPr>
          <w:rFonts w:ascii="Calibri" w:hAnsi="Calibri" w:cs="Calibri"/>
          <w:noProof/>
          <w:szCs w:val="24"/>
        </w:rPr>
        <w:t xml:space="preserve"> </w:t>
      </w:r>
      <w:r w:rsidRPr="001F2E36">
        <w:rPr>
          <w:rFonts w:ascii="Calibri" w:hAnsi="Calibri" w:cs="Calibri"/>
          <w:b/>
          <w:bCs/>
          <w:noProof/>
          <w:szCs w:val="24"/>
        </w:rPr>
        <w:t>11</w:t>
      </w:r>
      <w:r w:rsidRPr="001F2E36">
        <w:rPr>
          <w:rFonts w:ascii="Calibri" w:hAnsi="Calibri" w:cs="Calibri"/>
          <w:noProof/>
          <w:szCs w:val="24"/>
        </w:rPr>
        <w:t>, 2743–2750 (2020).</w:t>
      </w:r>
    </w:p>
    <w:p w14:paraId="1E141A8E"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6.</w:t>
      </w:r>
      <w:r w:rsidRPr="001F2E36">
        <w:rPr>
          <w:rFonts w:ascii="Calibri" w:hAnsi="Calibri" w:cs="Calibri"/>
          <w:noProof/>
          <w:szCs w:val="24"/>
        </w:rPr>
        <w:tab/>
        <w:t xml:space="preserve">Chen, K., Barker, A. J., Morgan, F. L. C., Halpert, J. E. &amp; Hodgkiss, J. M. Effect of carrier thermalization dynamics on light emission and amplification in organometal halide perovskites. </w:t>
      </w:r>
      <w:r w:rsidRPr="001F2E36">
        <w:rPr>
          <w:rFonts w:ascii="Calibri" w:hAnsi="Calibri" w:cs="Calibri"/>
          <w:i/>
          <w:iCs/>
          <w:noProof/>
          <w:szCs w:val="24"/>
        </w:rPr>
        <w:t>J. Phys. Chem. Lett.</w:t>
      </w:r>
      <w:r w:rsidRPr="001F2E36">
        <w:rPr>
          <w:rFonts w:ascii="Calibri" w:hAnsi="Calibri" w:cs="Calibri"/>
          <w:noProof/>
          <w:szCs w:val="24"/>
        </w:rPr>
        <w:t xml:space="preserve"> </w:t>
      </w:r>
      <w:r w:rsidRPr="001F2E36">
        <w:rPr>
          <w:rFonts w:ascii="Calibri" w:hAnsi="Calibri" w:cs="Calibri"/>
          <w:b/>
          <w:bCs/>
          <w:noProof/>
          <w:szCs w:val="24"/>
        </w:rPr>
        <w:t>6</w:t>
      </w:r>
      <w:r w:rsidRPr="001F2E36">
        <w:rPr>
          <w:rFonts w:ascii="Calibri" w:hAnsi="Calibri" w:cs="Calibri"/>
          <w:noProof/>
          <w:szCs w:val="24"/>
        </w:rPr>
        <w:t>, 153–158 (2015).</w:t>
      </w:r>
    </w:p>
    <w:p w14:paraId="044B7C5A"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7.</w:t>
      </w:r>
      <w:r w:rsidRPr="001F2E36">
        <w:rPr>
          <w:rFonts w:ascii="Calibri" w:hAnsi="Calibri" w:cs="Calibri"/>
          <w:noProof/>
          <w:szCs w:val="24"/>
        </w:rPr>
        <w:tab/>
        <w:t xml:space="preserve">Qin, C. </w:t>
      </w:r>
      <w:r w:rsidRPr="001F2E36">
        <w:rPr>
          <w:rFonts w:ascii="Calibri" w:hAnsi="Calibri" w:cs="Calibri"/>
          <w:i/>
          <w:iCs/>
          <w:noProof/>
          <w:szCs w:val="24"/>
        </w:rPr>
        <w:t>et al.</w:t>
      </w:r>
      <w:r w:rsidRPr="001F2E36">
        <w:rPr>
          <w:rFonts w:ascii="Calibri" w:hAnsi="Calibri" w:cs="Calibri"/>
          <w:noProof/>
          <w:szCs w:val="24"/>
        </w:rPr>
        <w:t xml:space="preserve"> Triplet management for efficient perovskite light-emitting diodes. </w:t>
      </w:r>
      <w:r w:rsidRPr="001F2E36">
        <w:rPr>
          <w:rFonts w:ascii="Calibri" w:hAnsi="Calibri" w:cs="Calibri"/>
          <w:i/>
          <w:iCs/>
          <w:noProof/>
          <w:szCs w:val="24"/>
        </w:rPr>
        <w:t>Nat. Photonics</w:t>
      </w:r>
      <w:r w:rsidRPr="001F2E36">
        <w:rPr>
          <w:rFonts w:ascii="Calibri" w:hAnsi="Calibri" w:cs="Calibri"/>
          <w:noProof/>
          <w:szCs w:val="24"/>
        </w:rPr>
        <w:t xml:space="preserve"> </w:t>
      </w:r>
      <w:r w:rsidRPr="001F2E36">
        <w:rPr>
          <w:rFonts w:ascii="Calibri" w:hAnsi="Calibri" w:cs="Calibri"/>
          <w:b/>
          <w:bCs/>
          <w:noProof/>
          <w:szCs w:val="24"/>
        </w:rPr>
        <w:t>14</w:t>
      </w:r>
      <w:r w:rsidRPr="001F2E36">
        <w:rPr>
          <w:rFonts w:ascii="Calibri" w:hAnsi="Calibri" w:cs="Calibri"/>
          <w:noProof/>
          <w:szCs w:val="24"/>
        </w:rPr>
        <w:t>, 70–75 (2020).</w:t>
      </w:r>
    </w:p>
    <w:p w14:paraId="5EEE361A"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8.</w:t>
      </w:r>
      <w:r w:rsidRPr="001F2E36">
        <w:rPr>
          <w:rFonts w:ascii="Calibri" w:hAnsi="Calibri" w:cs="Calibri"/>
          <w:noProof/>
          <w:szCs w:val="24"/>
        </w:rPr>
        <w:tab/>
        <w:t xml:space="preserve">Delport, G. </w:t>
      </w:r>
      <w:r w:rsidRPr="001F2E36">
        <w:rPr>
          <w:rFonts w:ascii="Calibri" w:hAnsi="Calibri" w:cs="Calibri"/>
          <w:i/>
          <w:iCs/>
          <w:noProof/>
          <w:szCs w:val="24"/>
        </w:rPr>
        <w:t>et al.</w:t>
      </w:r>
      <w:r w:rsidRPr="001F2E36">
        <w:rPr>
          <w:rFonts w:ascii="Calibri" w:hAnsi="Calibri" w:cs="Calibri"/>
          <w:noProof/>
          <w:szCs w:val="24"/>
        </w:rPr>
        <w:t xml:space="preserve"> Exciton–Exciton Annihilation in Two-Dimensional Halide Perovskites at Room Temperature. </w:t>
      </w:r>
      <w:r w:rsidRPr="001F2E36">
        <w:rPr>
          <w:rFonts w:ascii="Calibri" w:hAnsi="Calibri" w:cs="Calibri"/>
          <w:i/>
          <w:iCs/>
          <w:noProof/>
          <w:szCs w:val="24"/>
        </w:rPr>
        <w:t>J. Phys. Chem. Lett.</w:t>
      </w:r>
      <w:r w:rsidRPr="001F2E36">
        <w:rPr>
          <w:rFonts w:ascii="Calibri" w:hAnsi="Calibri" w:cs="Calibri"/>
          <w:noProof/>
          <w:szCs w:val="24"/>
        </w:rPr>
        <w:t xml:space="preserve"> </w:t>
      </w:r>
      <w:r w:rsidRPr="001F2E36">
        <w:rPr>
          <w:rFonts w:ascii="Calibri" w:hAnsi="Calibri" w:cs="Calibri"/>
          <w:b/>
          <w:bCs/>
          <w:noProof/>
          <w:szCs w:val="24"/>
        </w:rPr>
        <w:t>10</w:t>
      </w:r>
      <w:r w:rsidRPr="001F2E36">
        <w:rPr>
          <w:rFonts w:ascii="Calibri" w:hAnsi="Calibri" w:cs="Calibri"/>
          <w:noProof/>
          <w:szCs w:val="24"/>
        </w:rPr>
        <w:t>, 5153–5159 (2019).</w:t>
      </w:r>
    </w:p>
    <w:p w14:paraId="739E6021"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9.</w:t>
      </w:r>
      <w:r w:rsidRPr="001F2E36">
        <w:rPr>
          <w:rFonts w:ascii="Calibri" w:hAnsi="Calibri" w:cs="Calibri"/>
          <w:noProof/>
          <w:szCs w:val="24"/>
        </w:rPr>
        <w:tab/>
        <w:t xml:space="preserve">Li, Y. </w:t>
      </w:r>
      <w:r w:rsidRPr="001F2E36">
        <w:rPr>
          <w:rFonts w:ascii="Calibri" w:hAnsi="Calibri" w:cs="Calibri"/>
          <w:i/>
          <w:iCs/>
          <w:noProof/>
          <w:szCs w:val="24"/>
        </w:rPr>
        <w:t>et al.</w:t>
      </w:r>
      <w:r w:rsidRPr="001F2E36">
        <w:rPr>
          <w:rFonts w:ascii="Calibri" w:hAnsi="Calibri" w:cs="Calibri"/>
          <w:noProof/>
          <w:szCs w:val="24"/>
        </w:rPr>
        <w:t xml:space="preserve"> Exciton versus free carrier emission: Implications for photoluminescence efficiency and amplified spontaneous emission thresholds in quasi-2D and 3D perovskites. </w:t>
      </w:r>
      <w:r w:rsidRPr="001F2E36">
        <w:rPr>
          <w:rFonts w:ascii="Calibri" w:hAnsi="Calibri" w:cs="Calibri"/>
          <w:i/>
          <w:iCs/>
          <w:noProof/>
          <w:szCs w:val="24"/>
        </w:rPr>
        <w:t>Mater. Today</w:t>
      </w:r>
      <w:r w:rsidRPr="001F2E36">
        <w:rPr>
          <w:rFonts w:ascii="Calibri" w:hAnsi="Calibri" w:cs="Calibri"/>
          <w:noProof/>
          <w:szCs w:val="24"/>
        </w:rPr>
        <w:t xml:space="preserve"> </w:t>
      </w:r>
      <w:r w:rsidRPr="001F2E36">
        <w:rPr>
          <w:rFonts w:ascii="Calibri" w:hAnsi="Calibri" w:cs="Calibri"/>
          <w:b/>
          <w:bCs/>
          <w:noProof/>
          <w:szCs w:val="24"/>
        </w:rPr>
        <w:t>49</w:t>
      </w:r>
      <w:r w:rsidRPr="001F2E36">
        <w:rPr>
          <w:rFonts w:ascii="Calibri" w:hAnsi="Calibri" w:cs="Calibri"/>
          <w:noProof/>
          <w:szCs w:val="24"/>
        </w:rPr>
        <w:t>, 35–47 (2021).</w:t>
      </w:r>
    </w:p>
    <w:p w14:paraId="1DDAC648"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10.</w:t>
      </w:r>
      <w:r w:rsidRPr="001F2E36">
        <w:rPr>
          <w:rFonts w:ascii="Calibri" w:hAnsi="Calibri" w:cs="Calibri"/>
          <w:noProof/>
          <w:szCs w:val="24"/>
        </w:rPr>
        <w:tab/>
        <w:t xml:space="preserve">Zaushitsyn, Y., Jespersen, K. G., Valkunas, L., Sundström, V. &amp; Yartsev, A. Ultrafast dynamics of singlet-singlet and singlet-triplet exciton annihilation in poly(3- 2′ -methoxy- 5′ octylphenyl)thiophene films. </w:t>
      </w:r>
      <w:r w:rsidRPr="001F2E36">
        <w:rPr>
          <w:rFonts w:ascii="Calibri" w:hAnsi="Calibri" w:cs="Calibri"/>
          <w:i/>
          <w:iCs/>
          <w:noProof/>
          <w:szCs w:val="24"/>
        </w:rPr>
        <w:t>Phys. Rev. B - Condens. Matter Mater. Phys.</w:t>
      </w:r>
      <w:r w:rsidRPr="001F2E36">
        <w:rPr>
          <w:rFonts w:ascii="Calibri" w:hAnsi="Calibri" w:cs="Calibri"/>
          <w:noProof/>
          <w:szCs w:val="24"/>
        </w:rPr>
        <w:t xml:space="preserve"> </w:t>
      </w:r>
      <w:r w:rsidRPr="001F2E36">
        <w:rPr>
          <w:rFonts w:ascii="Calibri" w:hAnsi="Calibri" w:cs="Calibri"/>
          <w:b/>
          <w:bCs/>
          <w:noProof/>
          <w:szCs w:val="24"/>
        </w:rPr>
        <w:t>75</w:t>
      </w:r>
      <w:r w:rsidRPr="001F2E36">
        <w:rPr>
          <w:rFonts w:ascii="Calibri" w:hAnsi="Calibri" w:cs="Calibri"/>
          <w:noProof/>
          <w:szCs w:val="24"/>
        </w:rPr>
        <w:t>, 195201 (2007).</w:t>
      </w:r>
    </w:p>
    <w:p w14:paraId="6CF56808"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11.</w:t>
      </w:r>
      <w:r w:rsidRPr="001F2E36">
        <w:rPr>
          <w:rFonts w:ascii="Calibri" w:hAnsi="Calibri" w:cs="Calibri"/>
          <w:noProof/>
          <w:szCs w:val="24"/>
        </w:rPr>
        <w:tab/>
        <w:t xml:space="preserve">Chang, S. H. </w:t>
      </w:r>
      <w:r w:rsidRPr="001F2E36">
        <w:rPr>
          <w:rFonts w:ascii="Calibri" w:hAnsi="Calibri" w:cs="Calibri"/>
          <w:i/>
          <w:iCs/>
          <w:noProof/>
          <w:szCs w:val="24"/>
        </w:rPr>
        <w:t>et al.</w:t>
      </w:r>
      <w:r w:rsidRPr="001F2E36">
        <w:rPr>
          <w:rFonts w:ascii="Calibri" w:hAnsi="Calibri" w:cs="Calibri"/>
          <w:noProof/>
          <w:szCs w:val="24"/>
        </w:rPr>
        <w:t xml:space="preserve"> Effects of the washing-enhanced nucleation process on the material properties and performance of perovskite solar cells. </w:t>
      </w:r>
      <w:r w:rsidRPr="001F2E36">
        <w:rPr>
          <w:rFonts w:ascii="Calibri" w:hAnsi="Calibri" w:cs="Calibri"/>
          <w:i/>
          <w:iCs/>
          <w:noProof/>
          <w:szCs w:val="24"/>
        </w:rPr>
        <w:t>J. Alloys Compd.</w:t>
      </w:r>
      <w:r w:rsidRPr="001F2E36">
        <w:rPr>
          <w:rFonts w:ascii="Calibri" w:hAnsi="Calibri" w:cs="Calibri"/>
          <w:noProof/>
          <w:szCs w:val="24"/>
        </w:rPr>
        <w:t xml:space="preserve"> </w:t>
      </w:r>
      <w:r w:rsidRPr="001F2E36">
        <w:rPr>
          <w:rFonts w:ascii="Calibri" w:hAnsi="Calibri" w:cs="Calibri"/>
          <w:b/>
          <w:bCs/>
          <w:noProof/>
          <w:szCs w:val="24"/>
        </w:rPr>
        <w:t>808</w:t>
      </w:r>
      <w:r w:rsidRPr="001F2E36">
        <w:rPr>
          <w:rFonts w:ascii="Calibri" w:hAnsi="Calibri" w:cs="Calibri"/>
          <w:noProof/>
          <w:szCs w:val="24"/>
        </w:rPr>
        <w:t>, 151723 (2019).</w:t>
      </w:r>
    </w:p>
    <w:p w14:paraId="1DA4FDBC"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12.</w:t>
      </w:r>
      <w:r w:rsidRPr="001F2E36">
        <w:rPr>
          <w:rFonts w:ascii="Calibri" w:hAnsi="Calibri" w:cs="Calibri"/>
          <w:noProof/>
          <w:szCs w:val="24"/>
        </w:rPr>
        <w:tab/>
        <w:t xml:space="preserve">Laxmi &amp; Kabra, D. Optimization of Composition with Reduced Phase Impurity in Quasi‐2D Perovskite for Electroluminescence. </w:t>
      </w:r>
      <w:r w:rsidRPr="001F2E36">
        <w:rPr>
          <w:rFonts w:ascii="Calibri" w:hAnsi="Calibri" w:cs="Calibri"/>
          <w:i/>
          <w:iCs/>
          <w:noProof/>
          <w:szCs w:val="24"/>
        </w:rPr>
        <w:t>Adv. Photonics Res.</w:t>
      </w:r>
      <w:r w:rsidRPr="001F2E36">
        <w:rPr>
          <w:rFonts w:ascii="Calibri" w:hAnsi="Calibri" w:cs="Calibri"/>
          <w:noProof/>
          <w:szCs w:val="24"/>
        </w:rPr>
        <w:t xml:space="preserve"> </w:t>
      </w:r>
      <w:r w:rsidRPr="001F2E36">
        <w:rPr>
          <w:rFonts w:ascii="Calibri" w:hAnsi="Calibri" w:cs="Calibri"/>
          <w:b/>
          <w:bCs/>
          <w:noProof/>
          <w:szCs w:val="24"/>
        </w:rPr>
        <w:t>2</w:t>
      </w:r>
      <w:r w:rsidRPr="001F2E36">
        <w:rPr>
          <w:rFonts w:ascii="Calibri" w:hAnsi="Calibri" w:cs="Calibri"/>
          <w:noProof/>
          <w:szCs w:val="24"/>
        </w:rPr>
        <w:t>, 2000164 (2021).</w:t>
      </w:r>
    </w:p>
    <w:p w14:paraId="5DA6CE77"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szCs w:val="24"/>
        </w:rPr>
      </w:pPr>
      <w:r w:rsidRPr="001F2E36">
        <w:rPr>
          <w:rFonts w:ascii="Calibri" w:hAnsi="Calibri" w:cs="Calibri"/>
          <w:noProof/>
          <w:szCs w:val="24"/>
        </w:rPr>
        <w:t>13.</w:t>
      </w:r>
      <w:r w:rsidRPr="001F2E36">
        <w:rPr>
          <w:rFonts w:ascii="Calibri" w:hAnsi="Calibri" w:cs="Calibri"/>
          <w:noProof/>
          <w:szCs w:val="24"/>
        </w:rPr>
        <w:tab/>
        <w:t xml:space="preserve">Qin, C. </w:t>
      </w:r>
      <w:r w:rsidRPr="001F2E36">
        <w:rPr>
          <w:rFonts w:ascii="Calibri" w:hAnsi="Calibri" w:cs="Calibri"/>
          <w:i/>
          <w:iCs/>
          <w:noProof/>
          <w:szCs w:val="24"/>
        </w:rPr>
        <w:t>et al.</w:t>
      </w:r>
      <w:r w:rsidRPr="001F2E36">
        <w:rPr>
          <w:rFonts w:ascii="Calibri" w:hAnsi="Calibri" w:cs="Calibri"/>
          <w:noProof/>
          <w:szCs w:val="24"/>
        </w:rPr>
        <w:t xml:space="preserve"> Stable room-temperature continuous-wave lasing in quasi-2D perovskite films. </w:t>
      </w:r>
      <w:r w:rsidRPr="001F2E36">
        <w:rPr>
          <w:rFonts w:ascii="Calibri" w:hAnsi="Calibri" w:cs="Calibri"/>
          <w:i/>
          <w:iCs/>
          <w:noProof/>
          <w:szCs w:val="24"/>
        </w:rPr>
        <w:t>Nature</w:t>
      </w:r>
      <w:r w:rsidRPr="001F2E36">
        <w:rPr>
          <w:rFonts w:ascii="Calibri" w:hAnsi="Calibri" w:cs="Calibri"/>
          <w:noProof/>
          <w:szCs w:val="24"/>
        </w:rPr>
        <w:t xml:space="preserve"> </w:t>
      </w:r>
      <w:r w:rsidRPr="001F2E36">
        <w:rPr>
          <w:rFonts w:ascii="Calibri" w:hAnsi="Calibri" w:cs="Calibri"/>
          <w:b/>
          <w:bCs/>
          <w:noProof/>
          <w:szCs w:val="24"/>
        </w:rPr>
        <w:t>585</w:t>
      </w:r>
      <w:r w:rsidRPr="001F2E36">
        <w:rPr>
          <w:rFonts w:ascii="Calibri" w:hAnsi="Calibri" w:cs="Calibri"/>
          <w:noProof/>
          <w:szCs w:val="24"/>
        </w:rPr>
        <w:t>, 53–57 (2020).</w:t>
      </w:r>
    </w:p>
    <w:p w14:paraId="634B9BC5" w14:textId="77777777" w:rsidR="001F2E36" w:rsidRPr="001F2E36" w:rsidRDefault="001F2E36" w:rsidP="001F2E36">
      <w:pPr>
        <w:widowControl w:val="0"/>
        <w:autoSpaceDE w:val="0"/>
        <w:autoSpaceDN w:val="0"/>
        <w:adjustRightInd w:val="0"/>
        <w:spacing w:line="240" w:lineRule="auto"/>
        <w:ind w:left="640" w:hanging="640"/>
        <w:rPr>
          <w:rFonts w:ascii="Calibri" w:hAnsi="Calibri" w:cs="Calibri"/>
          <w:noProof/>
        </w:rPr>
      </w:pPr>
      <w:r w:rsidRPr="001F2E36">
        <w:rPr>
          <w:rFonts w:ascii="Calibri" w:hAnsi="Calibri" w:cs="Calibri"/>
          <w:noProof/>
          <w:szCs w:val="24"/>
        </w:rPr>
        <w:t>14.</w:t>
      </w:r>
      <w:r w:rsidRPr="001F2E36">
        <w:rPr>
          <w:rFonts w:ascii="Calibri" w:hAnsi="Calibri" w:cs="Calibri"/>
          <w:noProof/>
          <w:szCs w:val="24"/>
        </w:rPr>
        <w:tab/>
        <w:t xml:space="preserve">Chen, K., Gallaher, J. K., Barker, A. J. &amp; Hodgkiss, J. M. Transient grating photoluminescence spectroscopy: An ultrafast method of gating broadband spectra. </w:t>
      </w:r>
      <w:r w:rsidRPr="001F2E36">
        <w:rPr>
          <w:rFonts w:ascii="Calibri" w:hAnsi="Calibri" w:cs="Calibri"/>
          <w:i/>
          <w:iCs/>
          <w:noProof/>
          <w:szCs w:val="24"/>
        </w:rPr>
        <w:t>J. Phys. Chem. Lett.</w:t>
      </w:r>
      <w:r w:rsidRPr="001F2E36">
        <w:rPr>
          <w:rFonts w:ascii="Calibri" w:hAnsi="Calibri" w:cs="Calibri"/>
          <w:noProof/>
          <w:szCs w:val="24"/>
        </w:rPr>
        <w:t xml:space="preserve"> </w:t>
      </w:r>
      <w:r w:rsidRPr="001F2E36">
        <w:rPr>
          <w:rFonts w:ascii="Calibri" w:hAnsi="Calibri" w:cs="Calibri"/>
          <w:b/>
          <w:bCs/>
          <w:noProof/>
          <w:szCs w:val="24"/>
        </w:rPr>
        <w:t>5</w:t>
      </w:r>
      <w:r w:rsidRPr="001F2E36">
        <w:rPr>
          <w:rFonts w:ascii="Calibri" w:hAnsi="Calibri" w:cs="Calibri"/>
          <w:noProof/>
          <w:szCs w:val="24"/>
        </w:rPr>
        <w:t>, 1732–1737 (2014).</w:t>
      </w:r>
    </w:p>
    <w:p w14:paraId="75752D08" w14:textId="0F8AD650" w:rsidR="003024A5" w:rsidRPr="003024A5" w:rsidRDefault="00377F75" w:rsidP="003024A5">
      <w:r>
        <w:fldChar w:fldCharType="end"/>
      </w:r>
    </w:p>
    <w:sectPr w:rsidR="003024A5" w:rsidRPr="003024A5">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03E85" w14:textId="77777777" w:rsidR="0073564A" w:rsidRDefault="0073564A" w:rsidP="00571953">
      <w:pPr>
        <w:spacing w:after="0" w:line="240" w:lineRule="auto"/>
      </w:pPr>
      <w:r>
        <w:separator/>
      </w:r>
    </w:p>
  </w:endnote>
  <w:endnote w:type="continuationSeparator" w:id="0">
    <w:p w14:paraId="472B2D64" w14:textId="77777777" w:rsidR="0073564A" w:rsidRDefault="0073564A" w:rsidP="00571953">
      <w:pPr>
        <w:spacing w:after="0" w:line="240" w:lineRule="auto"/>
      </w:pPr>
      <w:r>
        <w:continuationSeparator/>
      </w:r>
    </w:p>
  </w:endnote>
  <w:endnote w:type="continuationNotice" w:id="1">
    <w:p w14:paraId="676CF4D0" w14:textId="77777777" w:rsidR="0073564A" w:rsidRDefault="007356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667434"/>
      <w:docPartObj>
        <w:docPartGallery w:val="Page Numbers (Bottom of Page)"/>
        <w:docPartUnique/>
      </w:docPartObj>
    </w:sdtPr>
    <w:sdtEndPr>
      <w:rPr>
        <w:noProof/>
      </w:rPr>
    </w:sdtEndPr>
    <w:sdtContent>
      <w:p w14:paraId="2C5E948F" w14:textId="1ED5226A" w:rsidR="00A12A76" w:rsidRDefault="00A12A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E03EBA" w14:textId="77777777" w:rsidR="00A12A76" w:rsidRDefault="00A1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A69B4" w14:textId="77777777" w:rsidR="0073564A" w:rsidRDefault="0073564A" w:rsidP="00571953">
      <w:pPr>
        <w:spacing w:after="0" w:line="240" w:lineRule="auto"/>
      </w:pPr>
      <w:r>
        <w:separator/>
      </w:r>
    </w:p>
  </w:footnote>
  <w:footnote w:type="continuationSeparator" w:id="0">
    <w:p w14:paraId="3174957C" w14:textId="77777777" w:rsidR="0073564A" w:rsidRDefault="0073564A" w:rsidP="00571953">
      <w:pPr>
        <w:spacing w:after="0" w:line="240" w:lineRule="auto"/>
      </w:pPr>
      <w:r>
        <w:continuationSeparator/>
      </w:r>
    </w:p>
  </w:footnote>
  <w:footnote w:type="continuationNotice" w:id="1">
    <w:p w14:paraId="2E8F4AA2" w14:textId="77777777" w:rsidR="0073564A" w:rsidRDefault="0073564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3BBKm5qaWpsaWZko6SsGpxcWZ+XkgBWa1AJkaIEosAAAA"/>
  </w:docVars>
  <w:rsids>
    <w:rsidRoot w:val="00F0292F"/>
    <w:rsid w:val="00002871"/>
    <w:rsid w:val="000036C5"/>
    <w:rsid w:val="00004445"/>
    <w:rsid w:val="00005B3C"/>
    <w:rsid w:val="00015A5C"/>
    <w:rsid w:val="00016982"/>
    <w:rsid w:val="00020B99"/>
    <w:rsid w:val="000217C6"/>
    <w:rsid w:val="00021912"/>
    <w:rsid w:val="00021F5B"/>
    <w:rsid w:val="0003234A"/>
    <w:rsid w:val="00033DB3"/>
    <w:rsid w:val="000344D1"/>
    <w:rsid w:val="00035F90"/>
    <w:rsid w:val="00037675"/>
    <w:rsid w:val="000400DA"/>
    <w:rsid w:val="00040AC0"/>
    <w:rsid w:val="0004112E"/>
    <w:rsid w:val="0004423B"/>
    <w:rsid w:val="00056AB2"/>
    <w:rsid w:val="00062DB9"/>
    <w:rsid w:val="000635D7"/>
    <w:rsid w:val="00064C87"/>
    <w:rsid w:val="000662B8"/>
    <w:rsid w:val="00067022"/>
    <w:rsid w:val="000701C7"/>
    <w:rsid w:val="00076F79"/>
    <w:rsid w:val="00077362"/>
    <w:rsid w:val="00082444"/>
    <w:rsid w:val="00083782"/>
    <w:rsid w:val="000912B8"/>
    <w:rsid w:val="00096960"/>
    <w:rsid w:val="000973CC"/>
    <w:rsid w:val="000A28F6"/>
    <w:rsid w:val="000A6714"/>
    <w:rsid w:val="000A7072"/>
    <w:rsid w:val="000B2A57"/>
    <w:rsid w:val="000C2031"/>
    <w:rsid w:val="000C2A16"/>
    <w:rsid w:val="000C6A88"/>
    <w:rsid w:val="000D0972"/>
    <w:rsid w:val="000D0AA6"/>
    <w:rsid w:val="000D0C3A"/>
    <w:rsid w:val="000D121C"/>
    <w:rsid w:val="000D1883"/>
    <w:rsid w:val="000D2523"/>
    <w:rsid w:val="000D45FA"/>
    <w:rsid w:val="000E3069"/>
    <w:rsid w:val="000E3315"/>
    <w:rsid w:val="000E3C84"/>
    <w:rsid w:val="000E7BC5"/>
    <w:rsid w:val="000F3492"/>
    <w:rsid w:val="000F4D11"/>
    <w:rsid w:val="000F6D2F"/>
    <w:rsid w:val="000F6E3B"/>
    <w:rsid w:val="000F7069"/>
    <w:rsid w:val="001006CC"/>
    <w:rsid w:val="00103B7F"/>
    <w:rsid w:val="00105B93"/>
    <w:rsid w:val="00106EA3"/>
    <w:rsid w:val="00107D90"/>
    <w:rsid w:val="001104EE"/>
    <w:rsid w:val="001116D6"/>
    <w:rsid w:val="0011206B"/>
    <w:rsid w:val="0011636E"/>
    <w:rsid w:val="00116E6D"/>
    <w:rsid w:val="001174C3"/>
    <w:rsid w:val="00117791"/>
    <w:rsid w:val="00122119"/>
    <w:rsid w:val="00124CBF"/>
    <w:rsid w:val="00127790"/>
    <w:rsid w:val="00127CE1"/>
    <w:rsid w:val="00130697"/>
    <w:rsid w:val="0013169E"/>
    <w:rsid w:val="00131853"/>
    <w:rsid w:val="00131E84"/>
    <w:rsid w:val="00132704"/>
    <w:rsid w:val="00134B8D"/>
    <w:rsid w:val="00141F7B"/>
    <w:rsid w:val="001514F4"/>
    <w:rsid w:val="0015345C"/>
    <w:rsid w:val="00153FE6"/>
    <w:rsid w:val="00154FCD"/>
    <w:rsid w:val="00157C39"/>
    <w:rsid w:val="001603C8"/>
    <w:rsid w:val="0016750E"/>
    <w:rsid w:val="00171A9A"/>
    <w:rsid w:val="001727A4"/>
    <w:rsid w:val="00172D66"/>
    <w:rsid w:val="001743A0"/>
    <w:rsid w:val="001764C8"/>
    <w:rsid w:val="00177384"/>
    <w:rsid w:val="001774F2"/>
    <w:rsid w:val="00177678"/>
    <w:rsid w:val="0018250A"/>
    <w:rsid w:val="0019099E"/>
    <w:rsid w:val="00191031"/>
    <w:rsid w:val="001915C7"/>
    <w:rsid w:val="00192239"/>
    <w:rsid w:val="001929A7"/>
    <w:rsid w:val="00194932"/>
    <w:rsid w:val="00196764"/>
    <w:rsid w:val="0019790C"/>
    <w:rsid w:val="001A2737"/>
    <w:rsid w:val="001A3694"/>
    <w:rsid w:val="001A4715"/>
    <w:rsid w:val="001A5879"/>
    <w:rsid w:val="001A6CBE"/>
    <w:rsid w:val="001B334E"/>
    <w:rsid w:val="001B3822"/>
    <w:rsid w:val="001B433C"/>
    <w:rsid w:val="001C0359"/>
    <w:rsid w:val="001C0908"/>
    <w:rsid w:val="001C2687"/>
    <w:rsid w:val="001C32B6"/>
    <w:rsid w:val="001C3E65"/>
    <w:rsid w:val="001C4829"/>
    <w:rsid w:val="001C63B8"/>
    <w:rsid w:val="001C74A5"/>
    <w:rsid w:val="001D0DE5"/>
    <w:rsid w:val="001D3BC2"/>
    <w:rsid w:val="001E65B8"/>
    <w:rsid w:val="001E6715"/>
    <w:rsid w:val="001E7E3D"/>
    <w:rsid w:val="001F0854"/>
    <w:rsid w:val="001F0D22"/>
    <w:rsid w:val="001F2DEE"/>
    <w:rsid w:val="001F2E36"/>
    <w:rsid w:val="001F339E"/>
    <w:rsid w:val="001F38F7"/>
    <w:rsid w:val="001F5B11"/>
    <w:rsid w:val="001F7415"/>
    <w:rsid w:val="0020223F"/>
    <w:rsid w:val="00203D5E"/>
    <w:rsid w:val="00207465"/>
    <w:rsid w:val="00212DA8"/>
    <w:rsid w:val="00212E19"/>
    <w:rsid w:val="00217722"/>
    <w:rsid w:val="00221991"/>
    <w:rsid w:val="00226813"/>
    <w:rsid w:val="0022770B"/>
    <w:rsid w:val="00230241"/>
    <w:rsid w:val="002308FD"/>
    <w:rsid w:val="0023477B"/>
    <w:rsid w:val="0023523B"/>
    <w:rsid w:val="00236EE5"/>
    <w:rsid w:val="00240081"/>
    <w:rsid w:val="00240765"/>
    <w:rsid w:val="00240EF7"/>
    <w:rsid w:val="00241D56"/>
    <w:rsid w:val="00243DDA"/>
    <w:rsid w:val="00244B9B"/>
    <w:rsid w:val="002451CE"/>
    <w:rsid w:val="0025181B"/>
    <w:rsid w:val="002520A5"/>
    <w:rsid w:val="00252A8A"/>
    <w:rsid w:val="00252EC2"/>
    <w:rsid w:val="0025378A"/>
    <w:rsid w:val="002548A9"/>
    <w:rsid w:val="00254AE3"/>
    <w:rsid w:val="00255FC2"/>
    <w:rsid w:val="00256E80"/>
    <w:rsid w:val="002616E7"/>
    <w:rsid w:val="0026175A"/>
    <w:rsid w:val="00262280"/>
    <w:rsid w:val="0026266F"/>
    <w:rsid w:val="00264DAB"/>
    <w:rsid w:val="00267598"/>
    <w:rsid w:val="002743AE"/>
    <w:rsid w:val="0028344F"/>
    <w:rsid w:val="00283DB8"/>
    <w:rsid w:val="00283E7F"/>
    <w:rsid w:val="0028593C"/>
    <w:rsid w:val="00290200"/>
    <w:rsid w:val="00291233"/>
    <w:rsid w:val="0029185E"/>
    <w:rsid w:val="002924E8"/>
    <w:rsid w:val="00292C32"/>
    <w:rsid w:val="00292E67"/>
    <w:rsid w:val="00293284"/>
    <w:rsid w:val="00295C4D"/>
    <w:rsid w:val="002A10E4"/>
    <w:rsid w:val="002A14F7"/>
    <w:rsid w:val="002A4560"/>
    <w:rsid w:val="002A6147"/>
    <w:rsid w:val="002A717F"/>
    <w:rsid w:val="002A7298"/>
    <w:rsid w:val="002A7F11"/>
    <w:rsid w:val="002B5D61"/>
    <w:rsid w:val="002B7C27"/>
    <w:rsid w:val="002C2750"/>
    <w:rsid w:val="002C42FD"/>
    <w:rsid w:val="002C4AFA"/>
    <w:rsid w:val="002C4F6F"/>
    <w:rsid w:val="002C6450"/>
    <w:rsid w:val="002D0339"/>
    <w:rsid w:val="002D1C28"/>
    <w:rsid w:val="002D20B9"/>
    <w:rsid w:val="002D2170"/>
    <w:rsid w:val="002D5F4E"/>
    <w:rsid w:val="002D6A71"/>
    <w:rsid w:val="002E0844"/>
    <w:rsid w:val="002E41D6"/>
    <w:rsid w:val="002F0739"/>
    <w:rsid w:val="002F0D1B"/>
    <w:rsid w:val="002F3D8D"/>
    <w:rsid w:val="002F410A"/>
    <w:rsid w:val="003024A5"/>
    <w:rsid w:val="00305EF7"/>
    <w:rsid w:val="003072F0"/>
    <w:rsid w:val="003125AA"/>
    <w:rsid w:val="003150A6"/>
    <w:rsid w:val="00315A88"/>
    <w:rsid w:val="00315DD5"/>
    <w:rsid w:val="00317023"/>
    <w:rsid w:val="0032295F"/>
    <w:rsid w:val="0033466F"/>
    <w:rsid w:val="00334A21"/>
    <w:rsid w:val="00340A29"/>
    <w:rsid w:val="003448A0"/>
    <w:rsid w:val="00346F3D"/>
    <w:rsid w:val="00351569"/>
    <w:rsid w:val="00352CFF"/>
    <w:rsid w:val="0035374F"/>
    <w:rsid w:val="00353B6B"/>
    <w:rsid w:val="00355307"/>
    <w:rsid w:val="00355596"/>
    <w:rsid w:val="00355B49"/>
    <w:rsid w:val="00357DBA"/>
    <w:rsid w:val="003734D4"/>
    <w:rsid w:val="00377F75"/>
    <w:rsid w:val="00381CFD"/>
    <w:rsid w:val="003849EF"/>
    <w:rsid w:val="003921AA"/>
    <w:rsid w:val="00393976"/>
    <w:rsid w:val="003946A7"/>
    <w:rsid w:val="00397169"/>
    <w:rsid w:val="003A3FBC"/>
    <w:rsid w:val="003A4363"/>
    <w:rsid w:val="003A442D"/>
    <w:rsid w:val="003A5641"/>
    <w:rsid w:val="003A5FD8"/>
    <w:rsid w:val="003A7D78"/>
    <w:rsid w:val="003B1C0F"/>
    <w:rsid w:val="003B407F"/>
    <w:rsid w:val="003B6314"/>
    <w:rsid w:val="003C2FA1"/>
    <w:rsid w:val="003C56C2"/>
    <w:rsid w:val="003C61B1"/>
    <w:rsid w:val="003C6AAF"/>
    <w:rsid w:val="003D0478"/>
    <w:rsid w:val="003D1F24"/>
    <w:rsid w:val="003D2782"/>
    <w:rsid w:val="003D28FE"/>
    <w:rsid w:val="003D4BD8"/>
    <w:rsid w:val="003D5269"/>
    <w:rsid w:val="003D6F07"/>
    <w:rsid w:val="003E0B04"/>
    <w:rsid w:val="003E1611"/>
    <w:rsid w:val="003F1405"/>
    <w:rsid w:val="003F560D"/>
    <w:rsid w:val="003F560E"/>
    <w:rsid w:val="003F661C"/>
    <w:rsid w:val="004028F5"/>
    <w:rsid w:val="00404808"/>
    <w:rsid w:val="00405491"/>
    <w:rsid w:val="00405E5F"/>
    <w:rsid w:val="004103D0"/>
    <w:rsid w:val="00410BBC"/>
    <w:rsid w:val="004128D1"/>
    <w:rsid w:val="0041646C"/>
    <w:rsid w:val="00422E5C"/>
    <w:rsid w:val="00423B90"/>
    <w:rsid w:val="004244BB"/>
    <w:rsid w:val="0042554D"/>
    <w:rsid w:val="004257C0"/>
    <w:rsid w:val="00427F6A"/>
    <w:rsid w:val="00430874"/>
    <w:rsid w:val="00434167"/>
    <w:rsid w:val="0043483D"/>
    <w:rsid w:val="00435665"/>
    <w:rsid w:val="00435B7A"/>
    <w:rsid w:val="004424D3"/>
    <w:rsid w:val="00442BF6"/>
    <w:rsid w:val="00442F01"/>
    <w:rsid w:val="004441BC"/>
    <w:rsid w:val="004443C4"/>
    <w:rsid w:val="00444C59"/>
    <w:rsid w:val="00446416"/>
    <w:rsid w:val="00447A92"/>
    <w:rsid w:val="004554D5"/>
    <w:rsid w:val="0045693A"/>
    <w:rsid w:val="004610D2"/>
    <w:rsid w:val="00470F7F"/>
    <w:rsid w:val="00471C2F"/>
    <w:rsid w:val="00473842"/>
    <w:rsid w:val="0047449A"/>
    <w:rsid w:val="00476F0E"/>
    <w:rsid w:val="00481295"/>
    <w:rsid w:val="00482057"/>
    <w:rsid w:val="00482B7C"/>
    <w:rsid w:val="0048676E"/>
    <w:rsid w:val="00486FF8"/>
    <w:rsid w:val="00487C24"/>
    <w:rsid w:val="004930A5"/>
    <w:rsid w:val="004A0FD1"/>
    <w:rsid w:val="004A59BE"/>
    <w:rsid w:val="004A5FCB"/>
    <w:rsid w:val="004A6C82"/>
    <w:rsid w:val="004B0939"/>
    <w:rsid w:val="004B0A48"/>
    <w:rsid w:val="004B1536"/>
    <w:rsid w:val="004B1ABE"/>
    <w:rsid w:val="004B2BB3"/>
    <w:rsid w:val="004B3012"/>
    <w:rsid w:val="004B3509"/>
    <w:rsid w:val="004B4313"/>
    <w:rsid w:val="004B4E16"/>
    <w:rsid w:val="004B72D1"/>
    <w:rsid w:val="004C073A"/>
    <w:rsid w:val="004C099A"/>
    <w:rsid w:val="004C14E0"/>
    <w:rsid w:val="004C1A16"/>
    <w:rsid w:val="004C57E6"/>
    <w:rsid w:val="004C5AB1"/>
    <w:rsid w:val="004C73E0"/>
    <w:rsid w:val="004C7E83"/>
    <w:rsid w:val="004D3BBA"/>
    <w:rsid w:val="004D4505"/>
    <w:rsid w:val="004D5EBA"/>
    <w:rsid w:val="004D6A04"/>
    <w:rsid w:val="004D7CB9"/>
    <w:rsid w:val="004E248A"/>
    <w:rsid w:val="004F4A19"/>
    <w:rsid w:val="005021A6"/>
    <w:rsid w:val="0050273C"/>
    <w:rsid w:val="00503B06"/>
    <w:rsid w:val="0050442C"/>
    <w:rsid w:val="00505B04"/>
    <w:rsid w:val="005064B9"/>
    <w:rsid w:val="00507B91"/>
    <w:rsid w:val="00512712"/>
    <w:rsid w:val="005145D2"/>
    <w:rsid w:val="00521C9F"/>
    <w:rsid w:val="00524EFF"/>
    <w:rsid w:val="005306C2"/>
    <w:rsid w:val="00531D2A"/>
    <w:rsid w:val="00534B1A"/>
    <w:rsid w:val="005369D4"/>
    <w:rsid w:val="00536CD8"/>
    <w:rsid w:val="00540D49"/>
    <w:rsid w:val="00540F88"/>
    <w:rsid w:val="00542AE2"/>
    <w:rsid w:val="00552C65"/>
    <w:rsid w:val="00554E74"/>
    <w:rsid w:val="00557575"/>
    <w:rsid w:val="00561AF6"/>
    <w:rsid w:val="00562427"/>
    <w:rsid w:val="005644FD"/>
    <w:rsid w:val="0056538D"/>
    <w:rsid w:val="00565C76"/>
    <w:rsid w:val="00566038"/>
    <w:rsid w:val="005673BC"/>
    <w:rsid w:val="00571953"/>
    <w:rsid w:val="005734C1"/>
    <w:rsid w:val="00574C5B"/>
    <w:rsid w:val="00583070"/>
    <w:rsid w:val="00584141"/>
    <w:rsid w:val="0058548B"/>
    <w:rsid w:val="00592DCF"/>
    <w:rsid w:val="005938A7"/>
    <w:rsid w:val="0059617B"/>
    <w:rsid w:val="005A315E"/>
    <w:rsid w:val="005A36BE"/>
    <w:rsid w:val="005A4F8F"/>
    <w:rsid w:val="005B2088"/>
    <w:rsid w:val="005B2BC9"/>
    <w:rsid w:val="005B70AF"/>
    <w:rsid w:val="005C21EA"/>
    <w:rsid w:val="005D0338"/>
    <w:rsid w:val="005D47A8"/>
    <w:rsid w:val="005D4E18"/>
    <w:rsid w:val="005D6C09"/>
    <w:rsid w:val="005D7E75"/>
    <w:rsid w:val="005E209F"/>
    <w:rsid w:val="005F00C8"/>
    <w:rsid w:val="005F048D"/>
    <w:rsid w:val="005F0D15"/>
    <w:rsid w:val="005F119B"/>
    <w:rsid w:val="005F2B09"/>
    <w:rsid w:val="005F342A"/>
    <w:rsid w:val="005F3DDA"/>
    <w:rsid w:val="005F52BC"/>
    <w:rsid w:val="005F69E5"/>
    <w:rsid w:val="00603ED6"/>
    <w:rsid w:val="00606B53"/>
    <w:rsid w:val="0061051E"/>
    <w:rsid w:val="006131AE"/>
    <w:rsid w:val="00615F8C"/>
    <w:rsid w:val="00615F8D"/>
    <w:rsid w:val="00620F79"/>
    <w:rsid w:val="0062288F"/>
    <w:rsid w:val="006231CC"/>
    <w:rsid w:val="0062461F"/>
    <w:rsid w:val="00624EB8"/>
    <w:rsid w:val="00625E7D"/>
    <w:rsid w:val="00625EB1"/>
    <w:rsid w:val="00627AB8"/>
    <w:rsid w:val="0063084A"/>
    <w:rsid w:val="00630EAD"/>
    <w:rsid w:val="00635537"/>
    <w:rsid w:val="006420B9"/>
    <w:rsid w:val="0064271E"/>
    <w:rsid w:val="006432E3"/>
    <w:rsid w:val="00643708"/>
    <w:rsid w:val="0065056E"/>
    <w:rsid w:val="006559FE"/>
    <w:rsid w:val="00655E1D"/>
    <w:rsid w:val="00661BFE"/>
    <w:rsid w:val="0066369B"/>
    <w:rsid w:val="0066651B"/>
    <w:rsid w:val="00667035"/>
    <w:rsid w:val="00673188"/>
    <w:rsid w:val="00677F99"/>
    <w:rsid w:val="00683BDC"/>
    <w:rsid w:val="0068482D"/>
    <w:rsid w:val="006853F0"/>
    <w:rsid w:val="00687221"/>
    <w:rsid w:val="00687B0F"/>
    <w:rsid w:val="00690C12"/>
    <w:rsid w:val="00691DFB"/>
    <w:rsid w:val="00692628"/>
    <w:rsid w:val="00693202"/>
    <w:rsid w:val="006948A2"/>
    <w:rsid w:val="00697EDC"/>
    <w:rsid w:val="006A0CA5"/>
    <w:rsid w:val="006A168C"/>
    <w:rsid w:val="006A1CE4"/>
    <w:rsid w:val="006A338A"/>
    <w:rsid w:val="006A5E23"/>
    <w:rsid w:val="006A72FC"/>
    <w:rsid w:val="006B145A"/>
    <w:rsid w:val="006B405E"/>
    <w:rsid w:val="006B50A2"/>
    <w:rsid w:val="006B5D19"/>
    <w:rsid w:val="006B6463"/>
    <w:rsid w:val="006B7160"/>
    <w:rsid w:val="006C2672"/>
    <w:rsid w:val="006C5181"/>
    <w:rsid w:val="006C6DA7"/>
    <w:rsid w:val="006C79D6"/>
    <w:rsid w:val="006D0C06"/>
    <w:rsid w:val="006D158F"/>
    <w:rsid w:val="006D1D15"/>
    <w:rsid w:val="006E2E73"/>
    <w:rsid w:val="006E449C"/>
    <w:rsid w:val="006F187F"/>
    <w:rsid w:val="006F3A41"/>
    <w:rsid w:val="007026F0"/>
    <w:rsid w:val="007039B9"/>
    <w:rsid w:val="0070477A"/>
    <w:rsid w:val="007073AA"/>
    <w:rsid w:val="00707B56"/>
    <w:rsid w:val="0071043F"/>
    <w:rsid w:val="0071398A"/>
    <w:rsid w:val="00721942"/>
    <w:rsid w:val="00722D9E"/>
    <w:rsid w:val="007232F3"/>
    <w:rsid w:val="007247FA"/>
    <w:rsid w:val="007248CA"/>
    <w:rsid w:val="00724BA9"/>
    <w:rsid w:val="00730950"/>
    <w:rsid w:val="007339CF"/>
    <w:rsid w:val="00733CDB"/>
    <w:rsid w:val="007347E1"/>
    <w:rsid w:val="0073564A"/>
    <w:rsid w:val="0073685E"/>
    <w:rsid w:val="007421D6"/>
    <w:rsid w:val="00742513"/>
    <w:rsid w:val="00750EC3"/>
    <w:rsid w:val="00756F59"/>
    <w:rsid w:val="00764C32"/>
    <w:rsid w:val="007737DE"/>
    <w:rsid w:val="00775F38"/>
    <w:rsid w:val="007771F2"/>
    <w:rsid w:val="00782056"/>
    <w:rsid w:val="0078313A"/>
    <w:rsid w:val="007853A6"/>
    <w:rsid w:val="00793672"/>
    <w:rsid w:val="00793B0D"/>
    <w:rsid w:val="00794CF2"/>
    <w:rsid w:val="00795EA7"/>
    <w:rsid w:val="0079656B"/>
    <w:rsid w:val="007975A3"/>
    <w:rsid w:val="007A1858"/>
    <w:rsid w:val="007A1B2B"/>
    <w:rsid w:val="007A241D"/>
    <w:rsid w:val="007A254F"/>
    <w:rsid w:val="007A5AC6"/>
    <w:rsid w:val="007B1040"/>
    <w:rsid w:val="007B6F15"/>
    <w:rsid w:val="007B72DE"/>
    <w:rsid w:val="007B73AA"/>
    <w:rsid w:val="007B7DBA"/>
    <w:rsid w:val="007C04C0"/>
    <w:rsid w:val="007C05A3"/>
    <w:rsid w:val="007C0CA3"/>
    <w:rsid w:val="007C329C"/>
    <w:rsid w:val="007C471B"/>
    <w:rsid w:val="007C66F4"/>
    <w:rsid w:val="007C6E11"/>
    <w:rsid w:val="007C6F4F"/>
    <w:rsid w:val="007D2C39"/>
    <w:rsid w:val="007D385E"/>
    <w:rsid w:val="007D52B8"/>
    <w:rsid w:val="007D6009"/>
    <w:rsid w:val="007E0345"/>
    <w:rsid w:val="007E2B71"/>
    <w:rsid w:val="007E515A"/>
    <w:rsid w:val="007E53D0"/>
    <w:rsid w:val="007F7C1B"/>
    <w:rsid w:val="00800F04"/>
    <w:rsid w:val="008017ED"/>
    <w:rsid w:val="00802287"/>
    <w:rsid w:val="00802BCB"/>
    <w:rsid w:val="00803561"/>
    <w:rsid w:val="008065D3"/>
    <w:rsid w:val="00807234"/>
    <w:rsid w:val="008116A7"/>
    <w:rsid w:val="00812864"/>
    <w:rsid w:val="008169BA"/>
    <w:rsid w:val="00816CF0"/>
    <w:rsid w:val="00821179"/>
    <w:rsid w:val="00821492"/>
    <w:rsid w:val="00822B2D"/>
    <w:rsid w:val="008250CE"/>
    <w:rsid w:val="00826824"/>
    <w:rsid w:val="008274D2"/>
    <w:rsid w:val="008278AA"/>
    <w:rsid w:val="0082796F"/>
    <w:rsid w:val="008340A7"/>
    <w:rsid w:val="00834D75"/>
    <w:rsid w:val="0083611A"/>
    <w:rsid w:val="00836207"/>
    <w:rsid w:val="00837647"/>
    <w:rsid w:val="008403DD"/>
    <w:rsid w:val="00841A5B"/>
    <w:rsid w:val="00843D3F"/>
    <w:rsid w:val="00846C8A"/>
    <w:rsid w:val="008501EC"/>
    <w:rsid w:val="00851803"/>
    <w:rsid w:val="008518DF"/>
    <w:rsid w:val="00855489"/>
    <w:rsid w:val="00855BB5"/>
    <w:rsid w:val="0085636C"/>
    <w:rsid w:val="00856591"/>
    <w:rsid w:val="00856D14"/>
    <w:rsid w:val="00861679"/>
    <w:rsid w:val="00861AB1"/>
    <w:rsid w:val="00862100"/>
    <w:rsid w:val="00862CE7"/>
    <w:rsid w:val="00865849"/>
    <w:rsid w:val="00870996"/>
    <w:rsid w:val="00872084"/>
    <w:rsid w:val="00872292"/>
    <w:rsid w:val="00873807"/>
    <w:rsid w:val="0087578A"/>
    <w:rsid w:val="00877948"/>
    <w:rsid w:val="0088706C"/>
    <w:rsid w:val="00890001"/>
    <w:rsid w:val="0089015F"/>
    <w:rsid w:val="00890FE4"/>
    <w:rsid w:val="008915B2"/>
    <w:rsid w:val="008917A0"/>
    <w:rsid w:val="00891827"/>
    <w:rsid w:val="0089286A"/>
    <w:rsid w:val="00892A71"/>
    <w:rsid w:val="00896618"/>
    <w:rsid w:val="008A3A73"/>
    <w:rsid w:val="008A704A"/>
    <w:rsid w:val="008B015F"/>
    <w:rsid w:val="008B1A30"/>
    <w:rsid w:val="008B4D3D"/>
    <w:rsid w:val="008C1D9B"/>
    <w:rsid w:val="008C3528"/>
    <w:rsid w:val="008C5463"/>
    <w:rsid w:val="008D0D93"/>
    <w:rsid w:val="008D150F"/>
    <w:rsid w:val="008D6E0E"/>
    <w:rsid w:val="008E2D95"/>
    <w:rsid w:val="008E3D2F"/>
    <w:rsid w:val="008E4317"/>
    <w:rsid w:val="008E4C8B"/>
    <w:rsid w:val="008E61B2"/>
    <w:rsid w:val="008E6DB4"/>
    <w:rsid w:val="008E74EB"/>
    <w:rsid w:val="008F1A67"/>
    <w:rsid w:val="008F1B22"/>
    <w:rsid w:val="008F37BF"/>
    <w:rsid w:val="008F4B2F"/>
    <w:rsid w:val="008F51E9"/>
    <w:rsid w:val="008F62EE"/>
    <w:rsid w:val="009040E2"/>
    <w:rsid w:val="00904DB8"/>
    <w:rsid w:val="009107D7"/>
    <w:rsid w:val="00911059"/>
    <w:rsid w:val="00912AEC"/>
    <w:rsid w:val="00912C1F"/>
    <w:rsid w:val="00915E4E"/>
    <w:rsid w:val="00922ABC"/>
    <w:rsid w:val="00926405"/>
    <w:rsid w:val="00926B7B"/>
    <w:rsid w:val="00927C44"/>
    <w:rsid w:val="00927F6B"/>
    <w:rsid w:val="00932A94"/>
    <w:rsid w:val="00933C86"/>
    <w:rsid w:val="009365DC"/>
    <w:rsid w:val="00936C42"/>
    <w:rsid w:val="009372AD"/>
    <w:rsid w:val="009406E7"/>
    <w:rsid w:val="00940980"/>
    <w:rsid w:val="00941379"/>
    <w:rsid w:val="00942B2C"/>
    <w:rsid w:val="009446C8"/>
    <w:rsid w:val="00944815"/>
    <w:rsid w:val="00947376"/>
    <w:rsid w:val="00947B07"/>
    <w:rsid w:val="00950EDB"/>
    <w:rsid w:val="00956029"/>
    <w:rsid w:val="00961027"/>
    <w:rsid w:val="00970E23"/>
    <w:rsid w:val="009720B8"/>
    <w:rsid w:val="00972352"/>
    <w:rsid w:val="009757FB"/>
    <w:rsid w:val="009827CE"/>
    <w:rsid w:val="0098360E"/>
    <w:rsid w:val="00993532"/>
    <w:rsid w:val="00993D5B"/>
    <w:rsid w:val="0099558F"/>
    <w:rsid w:val="00996357"/>
    <w:rsid w:val="00997A6E"/>
    <w:rsid w:val="009A1325"/>
    <w:rsid w:val="009B6CB6"/>
    <w:rsid w:val="009B75C0"/>
    <w:rsid w:val="009C7283"/>
    <w:rsid w:val="009D5E29"/>
    <w:rsid w:val="009D6375"/>
    <w:rsid w:val="009D6416"/>
    <w:rsid w:val="009D74AE"/>
    <w:rsid w:val="009E05AD"/>
    <w:rsid w:val="009F0620"/>
    <w:rsid w:val="009F1BC5"/>
    <w:rsid w:val="009F3711"/>
    <w:rsid w:val="009F519E"/>
    <w:rsid w:val="009F6299"/>
    <w:rsid w:val="00A008AE"/>
    <w:rsid w:val="00A01BF7"/>
    <w:rsid w:val="00A0689D"/>
    <w:rsid w:val="00A11F29"/>
    <w:rsid w:val="00A122C1"/>
    <w:rsid w:val="00A12360"/>
    <w:rsid w:val="00A12A76"/>
    <w:rsid w:val="00A146DF"/>
    <w:rsid w:val="00A164EF"/>
    <w:rsid w:val="00A21726"/>
    <w:rsid w:val="00A224F8"/>
    <w:rsid w:val="00A24282"/>
    <w:rsid w:val="00A24C8E"/>
    <w:rsid w:val="00A26550"/>
    <w:rsid w:val="00A2696C"/>
    <w:rsid w:val="00A27470"/>
    <w:rsid w:val="00A27E1E"/>
    <w:rsid w:val="00A35C38"/>
    <w:rsid w:val="00A36C9D"/>
    <w:rsid w:val="00A37505"/>
    <w:rsid w:val="00A3759B"/>
    <w:rsid w:val="00A425C3"/>
    <w:rsid w:val="00A505B3"/>
    <w:rsid w:val="00A50CFD"/>
    <w:rsid w:val="00A50EFB"/>
    <w:rsid w:val="00A548D9"/>
    <w:rsid w:val="00A559A9"/>
    <w:rsid w:val="00A6051E"/>
    <w:rsid w:val="00A62B4F"/>
    <w:rsid w:val="00A62DC9"/>
    <w:rsid w:val="00A6436F"/>
    <w:rsid w:val="00A70D26"/>
    <w:rsid w:val="00A7138E"/>
    <w:rsid w:val="00A736FB"/>
    <w:rsid w:val="00A76E7B"/>
    <w:rsid w:val="00A77F3F"/>
    <w:rsid w:val="00A820B9"/>
    <w:rsid w:val="00A9015F"/>
    <w:rsid w:val="00A92959"/>
    <w:rsid w:val="00A929FD"/>
    <w:rsid w:val="00A9389B"/>
    <w:rsid w:val="00AA0FAF"/>
    <w:rsid w:val="00AA2304"/>
    <w:rsid w:val="00AA3042"/>
    <w:rsid w:val="00AA3AAB"/>
    <w:rsid w:val="00AA5245"/>
    <w:rsid w:val="00AA6482"/>
    <w:rsid w:val="00AA783E"/>
    <w:rsid w:val="00AA7CF2"/>
    <w:rsid w:val="00AB0EFB"/>
    <w:rsid w:val="00AB0F82"/>
    <w:rsid w:val="00AB1A9C"/>
    <w:rsid w:val="00AB412B"/>
    <w:rsid w:val="00AB4311"/>
    <w:rsid w:val="00AB44B7"/>
    <w:rsid w:val="00AB7389"/>
    <w:rsid w:val="00AC4380"/>
    <w:rsid w:val="00AD6F3A"/>
    <w:rsid w:val="00AE036A"/>
    <w:rsid w:val="00AE394B"/>
    <w:rsid w:val="00AE6284"/>
    <w:rsid w:val="00AF01B3"/>
    <w:rsid w:val="00AF3CC5"/>
    <w:rsid w:val="00AF5AC9"/>
    <w:rsid w:val="00AF7D62"/>
    <w:rsid w:val="00B04A2A"/>
    <w:rsid w:val="00B04B95"/>
    <w:rsid w:val="00B05683"/>
    <w:rsid w:val="00B0603F"/>
    <w:rsid w:val="00B06487"/>
    <w:rsid w:val="00B11492"/>
    <w:rsid w:val="00B160E4"/>
    <w:rsid w:val="00B167EC"/>
    <w:rsid w:val="00B21287"/>
    <w:rsid w:val="00B275B7"/>
    <w:rsid w:val="00B27B6A"/>
    <w:rsid w:val="00B30C1F"/>
    <w:rsid w:val="00B30E47"/>
    <w:rsid w:val="00B325BF"/>
    <w:rsid w:val="00B33F29"/>
    <w:rsid w:val="00B357CA"/>
    <w:rsid w:val="00B35B7A"/>
    <w:rsid w:val="00B37AB2"/>
    <w:rsid w:val="00B41AEC"/>
    <w:rsid w:val="00B431CA"/>
    <w:rsid w:val="00B4591F"/>
    <w:rsid w:val="00B45FDB"/>
    <w:rsid w:val="00B469F6"/>
    <w:rsid w:val="00B4727E"/>
    <w:rsid w:val="00B47CC8"/>
    <w:rsid w:val="00B502A7"/>
    <w:rsid w:val="00B502D0"/>
    <w:rsid w:val="00B50CB6"/>
    <w:rsid w:val="00B54BFB"/>
    <w:rsid w:val="00B551A9"/>
    <w:rsid w:val="00B55471"/>
    <w:rsid w:val="00B5592C"/>
    <w:rsid w:val="00B56AA9"/>
    <w:rsid w:val="00B640F6"/>
    <w:rsid w:val="00B70E7D"/>
    <w:rsid w:val="00B717F8"/>
    <w:rsid w:val="00B7332D"/>
    <w:rsid w:val="00B73F23"/>
    <w:rsid w:val="00B75B27"/>
    <w:rsid w:val="00B77AAC"/>
    <w:rsid w:val="00B84012"/>
    <w:rsid w:val="00B860F5"/>
    <w:rsid w:val="00B877CD"/>
    <w:rsid w:val="00B87DBC"/>
    <w:rsid w:val="00B903E3"/>
    <w:rsid w:val="00B90826"/>
    <w:rsid w:val="00B91DB0"/>
    <w:rsid w:val="00B9452C"/>
    <w:rsid w:val="00B94A22"/>
    <w:rsid w:val="00BA1006"/>
    <w:rsid w:val="00BA3B9F"/>
    <w:rsid w:val="00BA400F"/>
    <w:rsid w:val="00BA730E"/>
    <w:rsid w:val="00BB139C"/>
    <w:rsid w:val="00BB2155"/>
    <w:rsid w:val="00BB6374"/>
    <w:rsid w:val="00BB7CA3"/>
    <w:rsid w:val="00BC0DAC"/>
    <w:rsid w:val="00BC393D"/>
    <w:rsid w:val="00BC41DF"/>
    <w:rsid w:val="00BD090B"/>
    <w:rsid w:val="00BD0A75"/>
    <w:rsid w:val="00BD298F"/>
    <w:rsid w:val="00BD2E3E"/>
    <w:rsid w:val="00BD2F24"/>
    <w:rsid w:val="00BD3187"/>
    <w:rsid w:val="00BD54CA"/>
    <w:rsid w:val="00BD6438"/>
    <w:rsid w:val="00BD7EF0"/>
    <w:rsid w:val="00BE2BD7"/>
    <w:rsid w:val="00BE4191"/>
    <w:rsid w:val="00BE56E1"/>
    <w:rsid w:val="00BE6A60"/>
    <w:rsid w:val="00BF05EF"/>
    <w:rsid w:val="00BF2280"/>
    <w:rsid w:val="00BF3360"/>
    <w:rsid w:val="00BF5D56"/>
    <w:rsid w:val="00BF71BC"/>
    <w:rsid w:val="00C00C9C"/>
    <w:rsid w:val="00C00D83"/>
    <w:rsid w:val="00C04BAF"/>
    <w:rsid w:val="00C05054"/>
    <w:rsid w:val="00C10EB0"/>
    <w:rsid w:val="00C1489A"/>
    <w:rsid w:val="00C15691"/>
    <w:rsid w:val="00C15F4A"/>
    <w:rsid w:val="00C17041"/>
    <w:rsid w:val="00C24762"/>
    <w:rsid w:val="00C26342"/>
    <w:rsid w:val="00C26B21"/>
    <w:rsid w:val="00C31D95"/>
    <w:rsid w:val="00C32E15"/>
    <w:rsid w:val="00C34CFB"/>
    <w:rsid w:val="00C352DF"/>
    <w:rsid w:val="00C355AF"/>
    <w:rsid w:val="00C367E7"/>
    <w:rsid w:val="00C37490"/>
    <w:rsid w:val="00C37B5B"/>
    <w:rsid w:val="00C4043F"/>
    <w:rsid w:val="00C41898"/>
    <w:rsid w:val="00C452C7"/>
    <w:rsid w:val="00C46CA3"/>
    <w:rsid w:val="00C500F2"/>
    <w:rsid w:val="00C5486A"/>
    <w:rsid w:val="00C54B28"/>
    <w:rsid w:val="00C552B9"/>
    <w:rsid w:val="00C55750"/>
    <w:rsid w:val="00C5591D"/>
    <w:rsid w:val="00C605D7"/>
    <w:rsid w:val="00C62B54"/>
    <w:rsid w:val="00C668C6"/>
    <w:rsid w:val="00C6718F"/>
    <w:rsid w:val="00C671EF"/>
    <w:rsid w:val="00C7238F"/>
    <w:rsid w:val="00C756E1"/>
    <w:rsid w:val="00C80E3C"/>
    <w:rsid w:val="00C81BF1"/>
    <w:rsid w:val="00C824E7"/>
    <w:rsid w:val="00C94768"/>
    <w:rsid w:val="00CA01E6"/>
    <w:rsid w:val="00CA5D86"/>
    <w:rsid w:val="00CA5EE2"/>
    <w:rsid w:val="00CA71A2"/>
    <w:rsid w:val="00CB0943"/>
    <w:rsid w:val="00CB1EE2"/>
    <w:rsid w:val="00CB7260"/>
    <w:rsid w:val="00CB7ED3"/>
    <w:rsid w:val="00CC35DD"/>
    <w:rsid w:val="00CC413B"/>
    <w:rsid w:val="00CD0B07"/>
    <w:rsid w:val="00CD183B"/>
    <w:rsid w:val="00CD1FF6"/>
    <w:rsid w:val="00CD29B4"/>
    <w:rsid w:val="00CD36F4"/>
    <w:rsid w:val="00CD528B"/>
    <w:rsid w:val="00CD6EB7"/>
    <w:rsid w:val="00CD799E"/>
    <w:rsid w:val="00CE6338"/>
    <w:rsid w:val="00CE775C"/>
    <w:rsid w:val="00CE7845"/>
    <w:rsid w:val="00CF0589"/>
    <w:rsid w:val="00CF263D"/>
    <w:rsid w:val="00CF407C"/>
    <w:rsid w:val="00CF4450"/>
    <w:rsid w:val="00CF5E10"/>
    <w:rsid w:val="00D0086A"/>
    <w:rsid w:val="00D05314"/>
    <w:rsid w:val="00D10549"/>
    <w:rsid w:val="00D11B50"/>
    <w:rsid w:val="00D13596"/>
    <w:rsid w:val="00D14CE1"/>
    <w:rsid w:val="00D161B3"/>
    <w:rsid w:val="00D175BB"/>
    <w:rsid w:val="00D2741E"/>
    <w:rsid w:val="00D320F3"/>
    <w:rsid w:val="00D333A9"/>
    <w:rsid w:val="00D36691"/>
    <w:rsid w:val="00D379C1"/>
    <w:rsid w:val="00D44ACE"/>
    <w:rsid w:val="00D44C8D"/>
    <w:rsid w:val="00D52030"/>
    <w:rsid w:val="00D52679"/>
    <w:rsid w:val="00D52FF0"/>
    <w:rsid w:val="00D53B0A"/>
    <w:rsid w:val="00D54B57"/>
    <w:rsid w:val="00D567CD"/>
    <w:rsid w:val="00D63D92"/>
    <w:rsid w:val="00D64F4D"/>
    <w:rsid w:val="00D73F41"/>
    <w:rsid w:val="00D75037"/>
    <w:rsid w:val="00D7663D"/>
    <w:rsid w:val="00D81797"/>
    <w:rsid w:val="00D9035D"/>
    <w:rsid w:val="00D94610"/>
    <w:rsid w:val="00D9489B"/>
    <w:rsid w:val="00D9644D"/>
    <w:rsid w:val="00DA0110"/>
    <w:rsid w:val="00DA3651"/>
    <w:rsid w:val="00DB0A46"/>
    <w:rsid w:val="00DB2BC6"/>
    <w:rsid w:val="00DB5AB6"/>
    <w:rsid w:val="00DB5E3C"/>
    <w:rsid w:val="00DB5F6D"/>
    <w:rsid w:val="00DB62AF"/>
    <w:rsid w:val="00DB6476"/>
    <w:rsid w:val="00DC16D1"/>
    <w:rsid w:val="00DC2D8D"/>
    <w:rsid w:val="00DC3322"/>
    <w:rsid w:val="00DC343F"/>
    <w:rsid w:val="00DC6FBF"/>
    <w:rsid w:val="00DD4BA7"/>
    <w:rsid w:val="00DE3BD3"/>
    <w:rsid w:val="00DE40F1"/>
    <w:rsid w:val="00DE5651"/>
    <w:rsid w:val="00DE66AD"/>
    <w:rsid w:val="00DE7E64"/>
    <w:rsid w:val="00DF0715"/>
    <w:rsid w:val="00DF13FD"/>
    <w:rsid w:val="00DF6DB4"/>
    <w:rsid w:val="00E0064D"/>
    <w:rsid w:val="00E04DF6"/>
    <w:rsid w:val="00E06140"/>
    <w:rsid w:val="00E06C7B"/>
    <w:rsid w:val="00E07D2D"/>
    <w:rsid w:val="00E1347C"/>
    <w:rsid w:val="00E14C01"/>
    <w:rsid w:val="00E14DD5"/>
    <w:rsid w:val="00E16D2C"/>
    <w:rsid w:val="00E17272"/>
    <w:rsid w:val="00E175DA"/>
    <w:rsid w:val="00E20173"/>
    <w:rsid w:val="00E2062E"/>
    <w:rsid w:val="00E22EF4"/>
    <w:rsid w:val="00E24850"/>
    <w:rsid w:val="00E32C95"/>
    <w:rsid w:val="00E342CD"/>
    <w:rsid w:val="00E3469F"/>
    <w:rsid w:val="00E35187"/>
    <w:rsid w:val="00E3541A"/>
    <w:rsid w:val="00E417A4"/>
    <w:rsid w:val="00E435EF"/>
    <w:rsid w:val="00E467EE"/>
    <w:rsid w:val="00E50838"/>
    <w:rsid w:val="00E520BE"/>
    <w:rsid w:val="00E601E2"/>
    <w:rsid w:val="00E60CB0"/>
    <w:rsid w:val="00E62B40"/>
    <w:rsid w:val="00E62CF8"/>
    <w:rsid w:val="00E65F6C"/>
    <w:rsid w:val="00E717C2"/>
    <w:rsid w:val="00E71F64"/>
    <w:rsid w:val="00E74167"/>
    <w:rsid w:val="00E75410"/>
    <w:rsid w:val="00E76F1A"/>
    <w:rsid w:val="00E80667"/>
    <w:rsid w:val="00E8121C"/>
    <w:rsid w:val="00E82CEC"/>
    <w:rsid w:val="00E83A3D"/>
    <w:rsid w:val="00E85C41"/>
    <w:rsid w:val="00E873F0"/>
    <w:rsid w:val="00E90A21"/>
    <w:rsid w:val="00E91A3D"/>
    <w:rsid w:val="00E91D2B"/>
    <w:rsid w:val="00E91F8C"/>
    <w:rsid w:val="00E92C21"/>
    <w:rsid w:val="00E932C9"/>
    <w:rsid w:val="00E9397C"/>
    <w:rsid w:val="00EA0026"/>
    <w:rsid w:val="00EA1227"/>
    <w:rsid w:val="00EA194D"/>
    <w:rsid w:val="00EA4365"/>
    <w:rsid w:val="00EA5CE7"/>
    <w:rsid w:val="00EA67C7"/>
    <w:rsid w:val="00EA6D61"/>
    <w:rsid w:val="00EB27EB"/>
    <w:rsid w:val="00EB6E89"/>
    <w:rsid w:val="00EB71A8"/>
    <w:rsid w:val="00EC069F"/>
    <w:rsid w:val="00EC2A74"/>
    <w:rsid w:val="00EC6832"/>
    <w:rsid w:val="00EC7437"/>
    <w:rsid w:val="00ED117C"/>
    <w:rsid w:val="00ED3442"/>
    <w:rsid w:val="00ED4E8E"/>
    <w:rsid w:val="00ED5E9E"/>
    <w:rsid w:val="00EE1D39"/>
    <w:rsid w:val="00EE237C"/>
    <w:rsid w:val="00EE2CB5"/>
    <w:rsid w:val="00EE430C"/>
    <w:rsid w:val="00EE442D"/>
    <w:rsid w:val="00EE4854"/>
    <w:rsid w:val="00EF0DBE"/>
    <w:rsid w:val="00EF2F21"/>
    <w:rsid w:val="00EF5320"/>
    <w:rsid w:val="00EF7C78"/>
    <w:rsid w:val="00F0292F"/>
    <w:rsid w:val="00F03AA3"/>
    <w:rsid w:val="00F06DF4"/>
    <w:rsid w:val="00F15499"/>
    <w:rsid w:val="00F16FAF"/>
    <w:rsid w:val="00F17DF5"/>
    <w:rsid w:val="00F20869"/>
    <w:rsid w:val="00F21124"/>
    <w:rsid w:val="00F21F04"/>
    <w:rsid w:val="00F23E02"/>
    <w:rsid w:val="00F23EE9"/>
    <w:rsid w:val="00F26C11"/>
    <w:rsid w:val="00F30F8C"/>
    <w:rsid w:val="00F32424"/>
    <w:rsid w:val="00F33DBE"/>
    <w:rsid w:val="00F3547E"/>
    <w:rsid w:val="00F40AFC"/>
    <w:rsid w:val="00F42574"/>
    <w:rsid w:val="00F42A5F"/>
    <w:rsid w:val="00F444F9"/>
    <w:rsid w:val="00F454D3"/>
    <w:rsid w:val="00F52EB1"/>
    <w:rsid w:val="00F565C0"/>
    <w:rsid w:val="00F62DD6"/>
    <w:rsid w:val="00F64512"/>
    <w:rsid w:val="00F732E4"/>
    <w:rsid w:val="00F75CF1"/>
    <w:rsid w:val="00F80776"/>
    <w:rsid w:val="00F80F58"/>
    <w:rsid w:val="00F913AC"/>
    <w:rsid w:val="00F9243E"/>
    <w:rsid w:val="00F92C2D"/>
    <w:rsid w:val="00FA169B"/>
    <w:rsid w:val="00FA1857"/>
    <w:rsid w:val="00FA3492"/>
    <w:rsid w:val="00FA43C2"/>
    <w:rsid w:val="00FB221B"/>
    <w:rsid w:val="00FB4695"/>
    <w:rsid w:val="00FB53FC"/>
    <w:rsid w:val="00FB7F06"/>
    <w:rsid w:val="00FC1383"/>
    <w:rsid w:val="00FC6EEE"/>
    <w:rsid w:val="00FD07C3"/>
    <w:rsid w:val="00FD1304"/>
    <w:rsid w:val="00FD222B"/>
    <w:rsid w:val="00FD229E"/>
    <w:rsid w:val="00FD559B"/>
    <w:rsid w:val="00FE1448"/>
    <w:rsid w:val="00FE4472"/>
    <w:rsid w:val="00FE4DC7"/>
    <w:rsid w:val="00FE6103"/>
    <w:rsid w:val="00FF07FC"/>
    <w:rsid w:val="00FF09D9"/>
    <w:rsid w:val="00FF103A"/>
    <w:rsid w:val="00FF37B5"/>
    <w:rsid w:val="00FF6EC9"/>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7A90E"/>
  <w15:chartTrackingRefBased/>
  <w15:docId w15:val="{D8583D58-408C-4677-821F-515C6016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新細明體"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A8A"/>
    <w:pPr>
      <w:keepNext/>
      <w:keepLines/>
      <w:spacing w:before="360" w:after="24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15F8D"/>
    <w:pPr>
      <w:spacing w:after="0" w:line="240" w:lineRule="auto"/>
    </w:pPr>
    <w:rPr>
      <w:iCs/>
      <w:szCs w:val="18"/>
    </w:rPr>
  </w:style>
  <w:style w:type="paragraph" w:styleId="BalloonText">
    <w:name w:val="Balloon Text"/>
    <w:basedOn w:val="Normal"/>
    <w:link w:val="BalloonTextChar"/>
    <w:uiPriority w:val="99"/>
    <w:semiHidden/>
    <w:unhideWhenUsed/>
    <w:rsid w:val="00274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3AE"/>
    <w:rPr>
      <w:rFonts w:ascii="Segoe UI" w:hAnsi="Segoe UI" w:cs="Segoe UI"/>
      <w:sz w:val="18"/>
      <w:szCs w:val="18"/>
    </w:rPr>
  </w:style>
  <w:style w:type="paragraph" w:styleId="Header">
    <w:name w:val="header"/>
    <w:basedOn w:val="Normal"/>
    <w:link w:val="HeaderChar"/>
    <w:uiPriority w:val="99"/>
    <w:unhideWhenUsed/>
    <w:rsid w:val="005719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953"/>
  </w:style>
  <w:style w:type="paragraph" w:styleId="Footer">
    <w:name w:val="footer"/>
    <w:basedOn w:val="Normal"/>
    <w:link w:val="FooterChar"/>
    <w:uiPriority w:val="99"/>
    <w:unhideWhenUsed/>
    <w:rsid w:val="005719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953"/>
  </w:style>
  <w:style w:type="character" w:styleId="PlaceholderText">
    <w:name w:val="Placeholder Text"/>
    <w:basedOn w:val="DefaultParagraphFont"/>
    <w:uiPriority w:val="99"/>
    <w:semiHidden/>
    <w:rsid w:val="00947376"/>
    <w:rPr>
      <w:color w:val="808080"/>
    </w:rPr>
  </w:style>
  <w:style w:type="character" w:styleId="CommentReference">
    <w:name w:val="annotation reference"/>
    <w:basedOn w:val="DefaultParagraphFont"/>
    <w:uiPriority w:val="99"/>
    <w:semiHidden/>
    <w:unhideWhenUsed/>
    <w:rsid w:val="00446416"/>
    <w:rPr>
      <w:sz w:val="16"/>
      <w:szCs w:val="16"/>
    </w:rPr>
  </w:style>
  <w:style w:type="paragraph" w:styleId="CommentText">
    <w:name w:val="annotation text"/>
    <w:basedOn w:val="Normal"/>
    <w:link w:val="CommentTextChar"/>
    <w:uiPriority w:val="99"/>
    <w:unhideWhenUsed/>
    <w:rsid w:val="00446416"/>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446416"/>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3921AA"/>
    <w:rPr>
      <w:rFonts w:eastAsiaTheme="minorHAnsi"/>
      <w:b/>
      <w:bCs/>
      <w:lang w:eastAsia="en-US"/>
    </w:rPr>
  </w:style>
  <w:style w:type="character" w:customStyle="1" w:styleId="CommentSubjectChar">
    <w:name w:val="Comment Subject Char"/>
    <w:basedOn w:val="CommentTextChar"/>
    <w:link w:val="CommentSubject"/>
    <w:uiPriority w:val="99"/>
    <w:semiHidden/>
    <w:rsid w:val="003921AA"/>
    <w:rPr>
      <w:rFonts w:eastAsiaTheme="minorEastAsia"/>
      <w:b/>
      <w:bCs/>
      <w:sz w:val="20"/>
      <w:szCs w:val="20"/>
      <w:lang w:eastAsia="zh-CN"/>
    </w:rPr>
  </w:style>
  <w:style w:type="character" w:styleId="Hyperlink">
    <w:name w:val="Hyperlink"/>
    <w:basedOn w:val="DefaultParagraphFont"/>
    <w:uiPriority w:val="99"/>
    <w:unhideWhenUsed/>
    <w:rsid w:val="006131AE"/>
    <w:rPr>
      <w:color w:val="0563C1" w:themeColor="hyperlink"/>
      <w:u w:val="single"/>
    </w:rPr>
  </w:style>
  <w:style w:type="character" w:styleId="UnresolvedMention">
    <w:name w:val="Unresolved Mention"/>
    <w:basedOn w:val="DefaultParagraphFont"/>
    <w:uiPriority w:val="99"/>
    <w:semiHidden/>
    <w:unhideWhenUsed/>
    <w:rsid w:val="006131AE"/>
    <w:rPr>
      <w:color w:val="605E5C"/>
      <w:shd w:val="clear" w:color="auto" w:fill="E1DFDD"/>
    </w:rPr>
  </w:style>
  <w:style w:type="character" w:customStyle="1" w:styleId="Heading1Char">
    <w:name w:val="Heading 1 Char"/>
    <w:basedOn w:val="DefaultParagraphFont"/>
    <w:link w:val="Heading1"/>
    <w:uiPriority w:val="9"/>
    <w:rsid w:val="00252A8A"/>
    <w:rPr>
      <w:rFonts w:eastAsiaTheme="majorEastAsia" w:cstheme="majorBidi"/>
      <w:sz w:val="32"/>
      <w:szCs w:val="32"/>
    </w:rPr>
  </w:style>
  <w:style w:type="paragraph" w:styleId="TOCHeading">
    <w:name w:val="TOC Heading"/>
    <w:basedOn w:val="Heading1"/>
    <w:next w:val="Normal"/>
    <w:uiPriority w:val="39"/>
    <w:unhideWhenUsed/>
    <w:qFormat/>
    <w:rsid w:val="00252A8A"/>
    <w:pPr>
      <w:outlineLvl w:val="9"/>
    </w:pPr>
    <w:rPr>
      <w:lang w:val="en-US"/>
    </w:rPr>
  </w:style>
  <w:style w:type="table" w:styleId="TableGrid">
    <w:name w:val="Table Grid"/>
    <w:basedOn w:val="TableNormal"/>
    <w:uiPriority w:val="39"/>
    <w:rsid w:val="00252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244BB"/>
    <w:pPr>
      <w:tabs>
        <w:tab w:val="right" w:leader="dot" w:pos="9016"/>
      </w:tabs>
      <w:spacing w:after="100"/>
    </w:pPr>
  </w:style>
  <w:style w:type="paragraph" w:styleId="Revision">
    <w:name w:val="Revision"/>
    <w:hidden/>
    <w:uiPriority w:val="99"/>
    <w:semiHidden/>
    <w:rsid w:val="007737DE"/>
    <w:pPr>
      <w:spacing w:after="0" w:line="240" w:lineRule="auto"/>
    </w:pPr>
  </w:style>
  <w:style w:type="paragraph" w:styleId="NoSpacing">
    <w:name w:val="No Spacing"/>
    <w:uiPriority w:val="1"/>
    <w:qFormat/>
    <w:rsid w:val="002616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stin.Hodgkiss@vuw.ac.nz"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tiff"/><Relationship Id="rId10" Type="http://schemas.openxmlformats.org/officeDocument/2006/relationships/hyperlink" Target="mailto:Kai.Chen@vuw.ac.nz" TargetMode="Externa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3D465-3C46-4903-BDC1-6C3E3F790563}">
  <we:reference id="wa104381727" version="1.0.0.9" store="en-US"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72EC61030DAD45BDD53DAFE739F57F" ma:contentTypeVersion="13" ma:contentTypeDescription="Create a new document." ma:contentTypeScope="" ma:versionID="e1d070df1609e9b9bfed46fbd2359313">
  <xsd:schema xmlns:xsd="http://www.w3.org/2001/XMLSchema" xmlns:xs="http://www.w3.org/2001/XMLSchema" xmlns:p="http://schemas.microsoft.com/office/2006/metadata/properties" xmlns:ns3="2f0b4680-b76a-487e-9721-fe92f8e23d75" xmlns:ns4="fd0cdf84-e1c4-4aa2-af8e-781b7c06d24f" targetNamespace="http://schemas.microsoft.com/office/2006/metadata/properties" ma:root="true" ma:fieldsID="08efa1dac24f3fc6712dc0a2e83637e9" ns3:_="" ns4:_="">
    <xsd:import namespace="2f0b4680-b76a-487e-9721-fe92f8e23d75"/>
    <xsd:import namespace="fd0cdf84-e1c4-4aa2-af8e-781b7c06d24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b4680-b76a-487e-9721-fe92f8e23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0cdf84-e1c4-4aa2-af8e-781b7c06d2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91ECC9-7477-4B49-AE7A-409B719DAB24}">
  <ds:schemaRefs>
    <ds:schemaRef ds:uri="http://schemas.openxmlformats.org/officeDocument/2006/bibliography"/>
  </ds:schemaRefs>
</ds:datastoreItem>
</file>

<file path=customXml/itemProps2.xml><?xml version="1.0" encoding="utf-8"?>
<ds:datastoreItem xmlns:ds="http://schemas.openxmlformats.org/officeDocument/2006/customXml" ds:itemID="{E14BD8E9-3A29-45C5-8AFE-696F45FD1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0b4680-b76a-487e-9721-fe92f8e23d75"/>
    <ds:schemaRef ds:uri="fd0cdf84-e1c4-4aa2-af8e-781b7c06d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1BB9-9A56-4055-9487-1254225F69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86FCC4-272C-4506-A85C-DD175CDBBE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13122</Words>
  <Characters>74798</Characters>
  <Application>Microsoft Office Word</Application>
  <DocSecurity>0</DocSecurity>
  <Lines>623</Lines>
  <Paragraphs>175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Wagner</dc:creator>
  <cp:keywords/>
  <dc:description/>
  <cp:lastModifiedBy>Lancia13</cp:lastModifiedBy>
  <cp:revision>2</cp:revision>
  <dcterms:created xsi:type="dcterms:W3CDTF">2022-10-11T21:20:00Z</dcterms:created>
  <dcterms:modified xsi:type="dcterms:W3CDTF">2022-10-11T21:20:00Z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http://csl.mendeley.com/styles/513139091/american-chemical-society-2</vt:lpwstr>
  </property>
  <property fmtid="{D5CDD505-2E9C-101B-9397-08002B2CF9AE}" pid="3" name="Mendeley Recent Style Name 0_1">
    <vt:lpwstr>American Chemical Society - Isabella Wagner</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http://www.zotero.org/styles/journal-of-the-american-chemical-society</vt:lpwstr>
  </property>
  <property fmtid="{D5CDD505-2E9C-101B-9397-08002B2CF9AE}" pid="11" name="Mendeley Recent Style Name 4_1">
    <vt:lpwstr>Journal of the American Chemical Society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https://csl.mendeley.com/styles/513139091/nature-2</vt:lpwstr>
  </property>
  <property fmtid="{D5CDD505-2E9C-101B-9397-08002B2CF9AE}" pid="17" name="Mendeley Recent Style Name 7_1">
    <vt:lpwstr>Nature - Isabella Wagner</vt:lpwstr>
  </property>
  <property fmtid="{D5CDD505-2E9C-101B-9397-08002B2CF9AE}" pid="18" name="Mendeley Recent Style Id 8_1">
    <vt:lpwstr>http://csl.mendeley.com/styles/513139091/nature-2</vt:lpwstr>
  </property>
  <property fmtid="{D5CDD505-2E9C-101B-9397-08002B2CF9AE}" pid="19" name="Mendeley Recent Style Name 8_1">
    <vt:lpwstr>Nature - Isabella Wagner</vt:lpwstr>
  </property>
  <property fmtid="{D5CDD505-2E9C-101B-9397-08002B2CF9AE}" pid="20" name="Mendeley Recent Style Id 9_1">
    <vt:lpwstr>http://www.zotero.org/styles/the-journal-of-physical-chemistry-letters</vt:lpwstr>
  </property>
  <property fmtid="{D5CDD505-2E9C-101B-9397-08002B2CF9AE}" pid="21" name="Mendeley Recent Style Name 9_1">
    <vt:lpwstr>The Journal of Physical Chemistry Letters</vt:lpwstr>
  </property>
  <property fmtid="{D5CDD505-2E9C-101B-9397-08002B2CF9AE}" pid="22" name="Mendeley Document_1">
    <vt:lpwstr>True</vt:lpwstr>
  </property>
  <property fmtid="{D5CDD505-2E9C-101B-9397-08002B2CF9AE}" pid="23" name="Mendeley Unique User Id_1">
    <vt:lpwstr>32c1fde5-c39a-3692-8cfa-2ccb0664db76</vt:lpwstr>
  </property>
  <property fmtid="{D5CDD505-2E9C-101B-9397-08002B2CF9AE}" pid="24" name="Mendeley Citation Style_1">
    <vt:lpwstr>http://www.zotero.org/styles/nature</vt:lpwstr>
  </property>
  <property fmtid="{D5CDD505-2E9C-101B-9397-08002B2CF9AE}" pid="25" name="ContentTypeId">
    <vt:lpwstr>0x0101002D72EC61030DAD45BDD53DAFE739F57F</vt:lpwstr>
  </property>
</Properties>
</file>