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41A" w:rsidRDefault="007E341A" w:rsidP="007E341A">
      <w:pPr>
        <w:spacing w:after="200" w:line="22" w:lineRule="atLeast"/>
        <w:jc w:val="center"/>
        <w:rPr>
          <w:rFonts w:asciiTheme="majorBidi" w:hAnsiTheme="majorBidi" w:cstheme="majorBidi"/>
          <w:b/>
          <w:bCs/>
        </w:rPr>
      </w:pPr>
      <w:r w:rsidRPr="00813077">
        <w:rPr>
          <w:rFonts w:asciiTheme="majorBidi" w:hAnsiTheme="majorBidi" w:cstheme="majorBidi"/>
          <w:b/>
          <w:bCs/>
          <w:i/>
          <w:iCs/>
          <w:sz w:val="28"/>
          <w:szCs w:val="28"/>
        </w:rPr>
        <w:t>IL-18</w:t>
      </w:r>
      <w:r w:rsidRPr="00813077">
        <w:rPr>
          <w:rFonts w:asciiTheme="majorBidi" w:hAnsiTheme="majorBidi" w:cstheme="majorBidi"/>
          <w:b/>
          <w:bCs/>
          <w:sz w:val="28"/>
          <w:szCs w:val="28"/>
        </w:rPr>
        <w:t xml:space="preserve"> and </w:t>
      </w:r>
      <w:r w:rsidRPr="00813077">
        <w:rPr>
          <w:rFonts w:asciiTheme="majorBidi" w:hAnsiTheme="majorBidi" w:cstheme="majorBidi"/>
          <w:b/>
          <w:bCs/>
          <w:i/>
          <w:iCs/>
          <w:sz w:val="28"/>
          <w:szCs w:val="28"/>
        </w:rPr>
        <w:t>CD14</w:t>
      </w:r>
      <w:r w:rsidRPr="0081307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v</w:t>
      </w:r>
      <w:r w:rsidRPr="00813077">
        <w:rPr>
          <w:rFonts w:asciiTheme="majorBidi" w:hAnsiTheme="majorBidi" w:cstheme="majorBidi"/>
          <w:b/>
          <w:bCs/>
          <w:sz w:val="28"/>
          <w:szCs w:val="28"/>
        </w:rPr>
        <w:t xml:space="preserve">ariants in </w:t>
      </w:r>
      <w:r>
        <w:rPr>
          <w:rFonts w:asciiTheme="majorBidi" w:hAnsiTheme="majorBidi" w:cstheme="majorBidi"/>
          <w:b/>
          <w:bCs/>
          <w:sz w:val="28"/>
          <w:szCs w:val="28"/>
        </w:rPr>
        <w:t>chronic HBV p</w:t>
      </w:r>
      <w:r w:rsidRPr="00813077">
        <w:rPr>
          <w:rFonts w:asciiTheme="majorBidi" w:hAnsiTheme="majorBidi" w:cstheme="majorBidi"/>
          <w:b/>
          <w:bCs/>
          <w:sz w:val="28"/>
          <w:szCs w:val="28"/>
        </w:rPr>
        <w:t xml:space="preserve">redisposition: </w:t>
      </w:r>
      <w:r>
        <w:rPr>
          <w:rFonts w:asciiTheme="majorBidi" w:hAnsiTheme="majorBidi" w:cstheme="majorBidi"/>
          <w:b/>
          <w:bCs/>
          <w:sz w:val="28"/>
          <w:szCs w:val="28"/>
        </w:rPr>
        <w:t>an e</w:t>
      </w:r>
      <w:r w:rsidRPr="00813077">
        <w:rPr>
          <w:rFonts w:asciiTheme="majorBidi" w:hAnsiTheme="majorBidi" w:cstheme="majorBidi"/>
          <w:b/>
          <w:bCs/>
          <w:sz w:val="28"/>
          <w:szCs w:val="28"/>
        </w:rPr>
        <w:t>xperimental</w:t>
      </w:r>
      <w:r w:rsidRPr="00616682">
        <w:rPr>
          <w:rFonts w:asciiTheme="majorBidi" w:hAnsiTheme="majorBidi" w:cstheme="majorBidi"/>
          <w:b/>
          <w:bCs/>
          <w:spacing w:val="2"/>
          <w:sz w:val="28"/>
          <w:szCs w:val="28"/>
          <w:shd w:val="clear" w:color="auto" w:fill="FFFFFF"/>
        </w:rPr>
        <w:t>–</w:t>
      </w:r>
      <w:r w:rsidRPr="00813077">
        <w:rPr>
          <w:rFonts w:asciiTheme="majorBidi" w:hAnsiTheme="majorBidi" w:cstheme="majorBidi"/>
          <w:b/>
          <w:bCs/>
          <w:sz w:val="28"/>
          <w:szCs w:val="28"/>
        </w:rPr>
        <w:t xml:space="preserve">bioinformatics </w:t>
      </w:r>
      <w:r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813077">
        <w:rPr>
          <w:rFonts w:asciiTheme="majorBidi" w:hAnsiTheme="majorBidi" w:cstheme="majorBidi"/>
          <w:b/>
          <w:bCs/>
          <w:sz w:val="28"/>
          <w:szCs w:val="28"/>
        </w:rPr>
        <w:t>tudy</w:t>
      </w:r>
      <w:r w:rsidRPr="00813077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fo</w:t>
      </w:r>
      <w:r w:rsidRPr="00813077">
        <w:rPr>
          <w:rFonts w:asciiTheme="majorBidi" w:hAnsiTheme="majorBidi" w:cstheme="majorBidi"/>
          <w:b/>
          <w:bCs/>
          <w:sz w:val="28"/>
          <w:szCs w:val="28"/>
          <w:lang w:bidi="fa-IR"/>
        </w:rPr>
        <w:t>cused on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t</w:t>
      </w:r>
      <w:r w:rsidRPr="00813077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ranscription 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and splicing</w:t>
      </w:r>
      <w:r>
        <w:rPr>
          <w:rFonts w:asciiTheme="majorBidi" w:hAnsiTheme="majorBidi" w:cstheme="majorBidi"/>
          <w:b/>
          <w:bCs/>
        </w:rPr>
        <w:tab/>
      </w:r>
    </w:p>
    <w:p w:rsidR="00F620D9" w:rsidRPr="001D7950" w:rsidRDefault="00F620D9" w:rsidP="007E341A">
      <w:pPr>
        <w:spacing w:after="200" w:line="22" w:lineRule="atLeast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7E341A" w:rsidRDefault="007E341A" w:rsidP="007E341A">
      <w:pPr>
        <w:pStyle w:val="ListParagraph"/>
        <w:spacing w:after="200" w:line="22" w:lineRule="atLeast"/>
        <w:ind w:left="153"/>
        <w:jc w:val="both"/>
        <w:rPr>
          <w:rFonts w:asciiTheme="majorBidi" w:hAnsiTheme="majorBidi" w:cstheme="majorBidi"/>
          <w:b/>
          <w:bCs/>
          <w:sz w:val="22"/>
          <w:szCs w:val="22"/>
          <w:vertAlign w:val="superscript"/>
        </w:rPr>
      </w:pPr>
      <w:r w:rsidRPr="004A08FB">
        <w:rPr>
          <w:rFonts w:asciiTheme="majorBidi" w:hAnsiTheme="majorBidi" w:cstheme="majorBidi"/>
          <w:b/>
          <w:bCs/>
          <w:sz w:val="22"/>
          <w:szCs w:val="22"/>
        </w:rPr>
        <w:t>Mohammad Sarhadi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4A08FB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1</w:t>
      </w:r>
      <w:r w:rsidRPr="004A08FB">
        <w:rPr>
          <w:rFonts w:asciiTheme="majorBidi" w:hAnsiTheme="majorBidi" w:cstheme="majorBidi"/>
          <w:b/>
          <w:bCs/>
          <w:sz w:val="22"/>
          <w:szCs w:val="22"/>
        </w:rPr>
        <w:t xml:space="preserve">, 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Elham Pahlavani </w:t>
      </w:r>
      <w:r w:rsidRPr="00545794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2</w:t>
      </w:r>
      <w:r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,*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, </w:t>
      </w:r>
      <w:proofErr w:type="spellStart"/>
      <w:r w:rsidRPr="004A08FB">
        <w:rPr>
          <w:rFonts w:asciiTheme="majorBidi" w:hAnsiTheme="majorBidi" w:cstheme="majorBidi"/>
          <w:b/>
          <w:bCs/>
          <w:sz w:val="22"/>
          <w:szCs w:val="22"/>
        </w:rPr>
        <w:t>Niloufar</w:t>
      </w:r>
      <w:proofErr w:type="spellEnd"/>
      <w:r w:rsidRPr="004A08FB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</w:t>
      </w:r>
      <w:r w:rsidRPr="004A08FB">
        <w:rPr>
          <w:rFonts w:asciiTheme="majorBidi" w:hAnsiTheme="majorBidi" w:cstheme="majorBidi"/>
          <w:b/>
          <w:bCs/>
          <w:sz w:val="22"/>
          <w:szCs w:val="22"/>
        </w:rPr>
        <w:t>Hosseini</w:t>
      </w:r>
      <w:r w:rsidRPr="004A08FB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</w:t>
      </w:r>
      <w:r w:rsidRPr="004A08FB">
        <w:rPr>
          <w:rFonts w:asciiTheme="majorBidi" w:hAnsiTheme="majorBidi" w:cstheme="majorBidi"/>
          <w:b/>
          <w:bCs/>
          <w:sz w:val="22"/>
          <w:szCs w:val="22"/>
        </w:rPr>
        <w:t>Razavi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4A08FB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1</w:t>
      </w:r>
      <w:r w:rsidRPr="004A08FB">
        <w:rPr>
          <w:rFonts w:asciiTheme="majorBidi" w:hAnsiTheme="majorBidi" w:cstheme="majorBidi"/>
          <w:b/>
          <w:bCs/>
          <w:sz w:val="22"/>
          <w:szCs w:val="22"/>
        </w:rPr>
        <w:t xml:space="preserve">, 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Fatemeh </w:t>
      </w:r>
      <w:proofErr w:type="spellStart"/>
      <w:r>
        <w:rPr>
          <w:rFonts w:asciiTheme="majorBidi" w:hAnsiTheme="majorBidi" w:cstheme="majorBidi"/>
          <w:b/>
          <w:bCs/>
          <w:sz w:val="22"/>
          <w:szCs w:val="22"/>
        </w:rPr>
        <w:t>Ghadyani</w:t>
      </w:r>
      <w:proofErr w:type="spellEnd"/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3</w:t>
      </w:r>
      <w:r w:rsidRPr="004A08FB">
        <w:rPr>
          <w:rFonts w:asciiTheme="majorBidi" w:hAnsiTheme="majorBidi" w:cstheme="majorBidi"/>
          <w:b/>
          <w:bCs/>
          <w:sz w:val="22"/>
          <w:szCs w:val="22"/>
        </w:rPr>
        <w:t xml:space="preserve">, 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Zahra </w:t>
      </w:r>
      <w:proofErr w:type="spellStart"/>
      <w:r>
        <w:rPr>
          <w:rFonts w:asciiTheme="majorBidi" w:hAnsiTheme="majorBidi" w:cstheme="majorBidi"/>
          <w:b/>
          <w:bCs/>
          <w:sz w:val="22"/>
          <w:szCs w:val="22"/>
        </w:rPr>
        <w:t>Abdollahi</w:t>
      </w:r>
      <w:proofErr w:type="spellEnd"/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4</w:t>
      </w:r>
      <w:r w:rsidRPr="004A08FB">
        <w:rPr>
          <w:rFonts w:asciiTheme="majorBidi" w:hAnsiTheme="majorBidi" w:cstheme="majorBidi"/>
          <w:b/>
          <w:bCs/>
          <w:sz w:val="22"/>
          <w:szCs w:val="22"/>
        </w:rPr>
        <w:t xml:space="preserve">, 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Somayeh Sarhadi </w:t>
      </w:r>
      <w:r w:rsidRPr="00117910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5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, </w:t>
      </w:r>
      <w:r w:rsidRPr="004A08FB">
        <w:rPr>
          <w:rFonts w:asciiTheme="majorBidi" w:hAnsiTheme="majorBidi" w:cstheme="majorBidi"/>
          <w:b/>
          <w:bCs/>
          <w:sz w:val="22"/>
          <w:szCs w:val="22"/>
        </w:rPr>
        <w:t>Mahdi</w:t>
      </w:r>
      <w:r w:rsidRPr="004A08FB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</w:t>
      </w:r>
      <w:proofErr w:type="spellStart"/>
      <w:r w:rsidRPr="004A08FB">
        <w:rPr>
          <w:rFonts w:asciiTheme="majorBidi" w:hAnsiTheme="majorBidi" w:cstheme="majorBidi"/>
          <w:b/>
          <w:bCs/>
          <w:sz w:val="22"/>
          <w:szCs w:val="22"/>
        </w:rPr>
        <w:t>Majidpour</w:t>
      </w:r>
      <w:proofErr w:type="spellEnd"/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4A08FB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1</w:t>
      </w:r>
      <w:proofErr w:type="gramStart"/>
      <w:r w:rsidRPr="004A08FB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,</w:t>
      </w:r>
      <w:r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6</w:t>
      </w:r>
      <w:proofErr w:type="gramEnd"/>
      <w:r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,**</w:t>
      </w:r>
    </w:p>
    <w:p w:rsidR="007E341A" w:rsidRDefault="007E341A" w:rsidP="007E341A">
      <w:pPr>
        <w:pStyle w:val="ListParagraph"/>
        <w:spacing w:after="200" w:line="22" w:lineRule="atLeast"/>
        <w:ind w:left="153"/>
        <w:jc w:val="both"/>
        <w:rPr>
          <w:rFonts w:asciiTheme="majorBidi" w:hAnsiTheme="majorBidi" w:cstheme="majorBidi"/>
          <w:b/>
          <w:bCs/>
          <w:sz w:val="22"/>
          <w:szCs w:val="22"/>
          <w:vertAlign w:val="superscript"/>
        </w:rPr>
      </w:pPr>
    </w:p>
    <w:p w:rsidR="00F620D9" w:rsidRPr="004A08FB" w:rsidRDefault="00F620D9" w:rsidP="007E341A">
      <w:pPr>
        <w:pStyle w:val="ListParagraph"/>
        <w:spacing w:after="200" w:line="22" w:lineRule="atLeast"/>
        <w:ind w:left="153"/>
        <w:jc w:val="both"/>
        <w:rPr>
          <w:rFonts w:asciiTheme="majorBidi" w:hAnsiTheme="majorBidi" w:cstheme="majorBidi"/>
          <w:b/>
          <w:bCs/>
          <w:sz w:val="22"/>
          <w:szCs w:val="22"/>
          <w:vertAlign w:val="superscript"/>
        </w:rPr>
      </w:pPr>
    </w:p>
    <w:p w:rsidR="007E341A" w:rsidRPr="00117910" w:rsidRDefault="007E341A" w:rsidP="007E341A">
      <w:pPr>
        <w:spacing w:after="0" w:line="22" w:lineRule="atLeast"/>
        <w:jc w:val="both"/>
        <w:rPr>
          <w:rFonts w:asciiTheme="majorBidi" w:hAnsiTheme="majorBidi" w:cstheme="majorBidi"/>
          <w:i/>
          <w:iCs/>
          <w:sz w:val="20"/>
          <w:szCs w:val="20"/>
          <w:lang w:bidi="fa-IR"/>
        </w:rPr>
      </w:pPr>
      <w:r w:rsidRPr="00C21D44">
        <w:rPr>
          <w:rFonts w:asciiTheme="majorBidi" w:hAnsiTheme="majorBidi" w:cstheme="majorBidi"/>
          <w:i/>
          <w:iCs/>
          <w:sz w:val="20"/>
          <w:szCs w:val="20"/>
          <w:vertAlign w:val="superscript"/>
          <w:lang w:bidi="fa-IR"/>
        </w:rPr>
        <w:t>1</w:t>
      </w:r>
      <w:r w:rsidRPr="00C21D44">
        <w:rPr>
          <w:rFonts w:asciiTheme="majorBidi" w:eastAsiaTheme="majorEastAsia" w:hAnsiTheme="majorBidi" w:cstheme="majorBidi"/>
          <w:i/>
          <w:iCs/>
          <w:color w:val="000000"/>
          <w:sz w:val="20"/>
          <w:szCs w:val="20"/>
        </w:rPr>
        <w:t>Cellular and Molecular Research Center, Research Institute of Cellular and Molecular Sciences in Infectious Diseases, Zahedan University of Medical Sciences, Zahedan, Iran</w:t>
      </w:r>
    </w:p>
    <w:p w:rsidR="007E341A" w:rsidRPr="001D7950" w:rsidRDefault="007E341A" w:rsidP="007E341A">
      <w:pPr>
        <w:spacing w:after="0" w:line="22" w:lineRule="atLeast"/>
        <w:jc w:val="both"/>
        <w:rPr>
          <w:rFonts w:asciiTheme="majorBidi" w:eastAsiaTheme="majorEastAsia" w:hAnsiTheme="majorBidi" w:cstheme="majorBidi"/>
          <w:i/>
          <w:iCs/>
          <w:color w:val="000000"/>
          <w:sz w:val="20"/>
          <w:szCs w:val="20"/>
        </w:rPr>
      </w:pPr>
      <w:r w:rsidRPr="00117910">
        <w:rPr>
          <w:rFonts w:asciiTheme="majorBidi" w:hAnsiTheme="majorBidi" w:cstheme="majorBidi"/>
          <w:i/>
          <w:iCs/>
          <w:sz w:val="20"/>
          <w:szCs w:val="20"/>
          <w:vertAlign w:val="superscript"/>
          <w:lang w:bidi="fa-IR"/>
        </w:rPr>
        <w:t>2</w:t>
      </w:r>
      <w:r w:rsidRPr="00117910">
        <w:rPr>
          <w:rFonts w:asciiTheme="majorBidi" w:hAnsiTheme="majorBidi" w:cstheme="majorBidi"/>
          <w:i/>
          <w:iCs/>
          <w:sz w:val="20"/>
          <w:szCs w:val="20"/>
          <w:lang w:bidi="fa-IR"/>
        </w:rPr>
        <w:t xml:space="preserve"> Infectious Diseases and Tropical Medicine Research Center, </w:t>
      </w:r>
      <w:r w:rsidRPr="00117910">
        <w:rPr>
          <w:rFonts w:asciiTheme="majorBidi" w:eastAsiaTheme="majorEastAsia" w:hAnsiTheme="majorBidi" w:cstheme="majorBidi"/>
          <w:i/>
          <w:iCs/>
          <w:color w:val="000000"/>
          <w:sz w:val="20"/>
          <w:szCs w:val="20"/>
        </w:rPr>
        <w:t xml:space="preserve">Research Institute of Cellular and Molecular Sciences in Infectious Diseases, Zahedan University of </w:t>
      </w:r>
      <w:r>
        <w:rPr>
          <w:rFonts w:asciiTheme="majorBidi" w:eastAsiaTheme="majorEastAsia" w:hAnsiTheme="majorBidi" w:cstheme="majorBidi"/>
          <w:i/>
          <w:iCs/>
          <w:color w:val="000000"/>
          <w:sz w:val="20"/>
          <w:szCs w:val="20"/>
        </w:rPr>
        <w:t>Medical Sciences, Zahedan, Iran</w:t>
      </w:r>
    </w:p>
    <w:p w:rsidR="007E341A" w:rsidRPr="00117910" w:rsidRDefault="007E341A" w:rsidP="007E341A">
      <w:pPr>
        <w:spacing w:after="0" w:line="22" w:lineRule="atLeast"/>
        <w:jc w:val="both"/>
        <w:rPr>
          <w:rFonts w:asciiTheme="majorBidi" w:hAnsiTheme="majorBidi" w:cstheme="majorBidi"/>
          <w:i/>
          <w:iCs/>
          <w:sz w:val="20"/>
          <w:szCs w:val="20"/>
          <w:lang w:bidi="fa-IR"/>
        </w:rPr>
      </w:pPr>
      <w:r w:rsidRPr="00117910">
        <w:rPr>
          <w:rFonts w:asciiTheme="majorBidi" w:hAnsiTheme="majorBidi" w:cstheme="majorBidi"/>
          <w:i/>
          <w:iCs/>
          <w:sz w:val="20"/>
          <w:szCs w:val="20"/>
          <w:vertAlign w:val="superscript"/>
          <w:lang w:bidi="fa-IR"/>
        </w:rPr>
        <w:t>3</w:t>
      </w:r>
      <w:r w:rsidRPr="00117910">
        <w:rPr>
          <w:rFonts w:asciiTheme="majorBidi" w:hAnsiTheme="majorBidi" w:cstheme="majorBidi"/>
          <w:i/>
          <w:iCs/>
          <w:sz w:val="20"/>
          <w:szCs w:val="20"/>
          <w:lang w:bidi="fa-IR"/>
        </w:rPr>
        <w:t>Department of Cellular and Molecular, Faculty of Biology Sciences, Islamic Azad University, North Tehran Branch, Tehran, Iran</w:t>
      </w:r>
    </w:p>
    <w:p w:rsidR="007E341A" w:rsidRPr="00117910" w:rsidRDefault="007E341A" w:rsidP="007E341A">
      <w:pPr>
        <w:spacing w:after="0" w:line="22" w:lineRule="atLeast"/>
        <w:jc w:val="both"/>
        <w:rPr>
          <w:rFonts w:asciiTheme="majorBidi" w:hAnsiTheme="majorBidi" w:cstheme="majorBidi"/>
          <w:i/>
          <w:iCs/>
          <w:sz w:val="20"/>
          <w:szCs w:val="20"/>
          <w:lang w:bidi="fa-IR"/>
        </w:rPr>
      </w:pPr>
      <w:proofErr w:type="gramStart"/>
      <w:r w:rsidRPr="00117910">
        <w:rPr>
          <w:rFonts w:asciiTheme="majorBidi" w:hAnsiTheme="majorBidi" w:cstheme="majorBidi"/>
          <w:i/>
          <w:iCs/>
          <w:sz w:val="20"/>
          <w:szCs w:val="20"/>
          <w:vertAlign w:val="superscript"/>
        </w:rPr>
        <w:t>4</w:t>
      </w:r>
      <w:proofErr w:type="gramEnd"/>
      <w:r w:rsidRPr="00117910">
        <w:rPr>
          <w:rFonts w:asciiTheme="majorBidi" w:hAnsiTheme="majorBidi" w:cstheme="majorBidi"/>
          <w:i/>
          <w:iCs/>
          <w:sz w:val="20"/>
          <w:szCs w:val="20"/>
          <w:lang w:bidi="fa-IR"/>
        </w:rPr>
        <w:t xml:space="preserve"> Department of Cell and Molecular Biology, Faculty of Chemistry, University of Kashan, Kashan, Iran</w:t>
      </w:r>
    </w:p>
    <w:p w:rsidR="007E341A" w:rsidRPr="00C21D44" w:rsidRDefault="007E341A" w:rsidP="007E341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0"/>
          <w:szCs w:val="20"/>
          <w:rtl/>
        </w:rPr>
      </w:pPr>
      <w:r w:rsidRPr="00117910">
        <w:rPr>
          <w:rFonts w:asciiTheme="majorBidi" w:hAnsiTheme="majorBidi" w:cstheme="majorBidi"/>
          <w:i/>
          <w:iCs/>
          <w:sz w:val="20"/>
          <w:szCs w:val="20"/>
          <w:vertAlign w:val="superscript"/>
          <w:lang w:bidi="fa-IR"/>
        </w:rPr>
        <w:t>5</w:t>
      </w:r>
      <w:r w:rsidRPr="00117910">
        <w:rPr>
          <w:rFonts w:asciiTheme="majorBidi" w:hAnsiTheme="majorBidi" w:cstheme="majorBidi"/>
          <w:i/>
          <w:iCs/>
          <w:sz w:val="20"/>
          <w:szCs w:val="20"/>
          <w:lang w:bidi="fa-IR"/>
        </w:rPr>
        <w:t xml:space="preserve"> </w:t>
      </w:r>
      <w:r w:rsidRPr="00117910">
        <w:rPr>
          <w:rFonts w:asciiTheme="majorBidi" w:hAnsiTheme="majorBidi" w:cstheme="majorBidi"/>
          <w:i/>
          <w:iCs/>
          <w:sz w:val="20"/>
          <w:szCs w:val="20"/>
        </w:rPr>
        <w:t>Department of Biology, Faculty of Sciences, Hamedan Branch, Islamic Azad Univers</w:t>
      </w:r>
      <w:r>
        <w:rPr>
          <w:rFonts w:asciiTheme="majorBidi" w:hAnsiTheme="majorBidi" w:cstheme="majorBidi"/>
          <w:i/>
          <w:iCs/>
          <w:sz w:val="20"/>
          <w:szCs w:val="20"/>
        </w:rPr>
        <w:t xml:space="preserve">ity, Hamedan 15847-43311, Iran </w:t>
      </w:r>
    </w:p>
    <w:p w:rsidR="007E341A" w:rsidRDefault="007E341A" w:rsidP="007E341A">
      <w:pPr>
        <w:spacing w:after="0" w:line="22" w:lineRule="atLeast"/>
        <w:jc w:val="both"/>
        <w:rPr>
          <w:rFonts w:asciiTheme="majorBidi" w:hAnsiTheme="majorBidi" w:cstheme="majorBidi"/>
          <w:i/>
          <w:iCs/>
          <w:sz w:val="20"/>
          <w:szCs w:val="20"/>
        </w:rPr>
      </w:pPr>
      <w:proofErr w:type="gramStart"/>
      <w:r>
        <w:rPr>
          <w:rFonts w:asciiTheme="majorBidi" w:hAnsiTheme="majorBidi" w:cstheme="majorBidi"/>
          <w:i/>
          <w:iCs/>
          <w:sz w:val="20"/>
          <w:szCs w:val="20"/>
          <w:vertAlign w:val="superscript"/>
          <w:lang w:bidi="fa-IR"/>
        </w:rPr>
        <w:t>6</w:t>
      </w:r>
      <w:proofErr w:type="gramEnd"/>
      <w:r w:rsidRPr="00C21D44">
        <w:rPr>
          <w:rFonts w:asciiTheme="majorBidi" w:hAnsiTheme="majorBidi" w:cstheme="majorBidi"/>
          <w:i/>
          <w:iCs/>
          <w:sz w:val="20"/>
          <w:szCs w:val="20"/>
          <w:vertAlign w:val="superscript"/>
          <w:lang w:bidi="fa-IR"/>
        </w:rPr>
        <w:t xml:space="preserve"> </w:t>
      </w:r>
      <w:r w:rsidRPr="00C21D44">
        <w:rPr>
          <w:rFonts w:asciiTheme="majorBidi" w:hAnsiTheme="majorBidi" w:cstheme="majorBidi"/>
          <w:i/>
          <w:iCs/>
          <w:sz w:val="20"/>
          <w:szCs w:val="20"/>
        </w:rPr>
        <w:t>Department of Clinical Biochemistry, Zahedan University of Medical</w:t>
      </w:r>
      <w:r>
        <w:rPr>
          <w:rFonts w:asciiTheme="majorBidi" w:hAnsiTheme="majorBidi" w:cstheme="majorBidi"/>
          <w:i/>
          <w:iCs/>
          <w:sz w:val="20"/>
          <w:szCs w:val="20"/>
        </w:rPr>
        <w:t xml:space="preserve"> Sciences, Zahedan, Iran</w:t>
      </w:r>
    </w:p>
    <w:p w:rsidR="00F620D9" w:rsidRDefault="00F620D9" w:rsidP="007E341A">
      <w:pPr>
        <w:spacing w:after="0" w:line="22" w:lineRule="atLeast"/>
        <w:jc w:val="both"/>
        <w:rPr>
          <w:rFonts w:asciiTheme="majorBidi" w:hAnsiTheme="majorBidi" w:cstheme="majorBidi"/>
          <w:i/>
          <w:iCs/>
          <w:sz w:val="20"/>
          <w:szCs w:val="20"/>
        </w:rPr>
      </w:pPr>
    </w:p>
    <w:p w:rsidR="00F620D9" w:rsidRPr="00C21D44" w:rsidRDefault="00F620D9" w:rsidP="007E341A">
      <w:pPr>
        <w:spacing w:after="0" w:line="22" w:lineRule="atLeast"/>
        <w:jc w:val="both"/>
        <w:rPr>
          <w:rFonts w:asciiTheme="majorBidi" w:hAnsiTheme="majorBidi" w:cstheme="majorBidi"/>
          <w:i/>
          <w:iCs/>
          <w:sz w:val="20"/>
          <w:szCs w:val="20"/>
        </w:rPr>
      </w:pPr>
    </w:p>
    <w:p w:rsidR="007E341A" w:rsidRPr="00C21D44" w:rsidRDefault="007E341A" w:rsidP="007E341A">
      <w:pPr>
        <w:spacing w:after="0" w:line="22" w:lineRule="atLeast"/>
        <w:jc w:val="both"/>
        <w:rPr>
          <w:rFonts w:asciiTheme="majorBidi" w:hAnsiTheme="majorBidi" w:cstheme="majorBidi"/>
          <w:i/>
          <w:iCs/>
          <w:sz w:val="20"/>
          <w:szCs w:val="20"/>
        </w:rPr>
      </w:pPr>
    </w:p>
    <w:p w:rsidR="007E341A" w:rsidRDefault="007E341A" w:rsidP="007E341A">
      <w:pPr>
        <w:spacing w:after="0" w:line="22" w:lineRule="atLeast"/>
        <w:jc w:val="both"/>
        <w:rPr>
          <w:rFonts w:asciiTheme="majorBidi" w:hAnsiTheme="majorBidi" w:cstheme="majorBidi"/>
          <w:i/>
          <w:iCs/>
          <w:sz w:val="20"/>
          <w:szCs w:val="20"/>
          <w:rtl/>
          <w:lang w:bidi="fa-IR"/>
        </w:rPr>
      </w:pPr>
      <w:r w:rsidRPr="00C21D44">
        <w:rPr>
          <w:rFonts w:asciiTheme="majorBidi" w:hAnsiTheme="majorBidi" w:cstheme="majorBidi"/>
          <w:i/>
          <w:iCs/>
          <w:sz w:val="20"/>
          <w:szCs w:val="20"/>
          <w:vertAlign w:val="superscript"/>
          <w:lang w:bidi="fa-IR"/>
        </w:rPr>
        <w:t>*</w:t>
      </w:r>
      <w:proofErr w:type="gramStart"/>
      <w:r w:rsidRPr="00C21D44">
        <w:rPr>
          <w:rFonts w:asciiTheme="majorBidi" w:hAnsiTheme="majorBidi" w:cstheme="majorBidi"/>
          <w:i/>
          <w:iCs/>
          <w:sz w:val="20"/>
          <w:szCs w:val="20"/>
          <w:vertAlign w:val="superscript"/>
          <w:lang w:bidi="fa-IR"/>
        </w:rPr>
        <w:t>,*</w:t>
      </w:r>
      <w:proofErr w:type="gramEnd"/>
      <w:r w:rsidRPr="00C21D44">
        <w:rPr>
          <w:rFonts w:asciiTheme="majorBidi" w:hAnsiTheme="majorBidi" w:cstheme="majorBidi"/>
          <w:i/>
          <w:iCs/>
          <w:sz w:val="20"/>
          <w:szCs w:val="20"/>
          <w:vertAlign w:val="superscript"/>
          <w:lang w:bidi="fa-IR"/>
        </w:rPr>
        <w:t>*</w:t>
      </w:r>
      <w:r w:rsidRPr="00C21D44">
        <w:rPr>
          <w:rFonts w:asciiTheme="majorBidi" w:hAnsiTheme="majorBidi" w:cstheme="majorBidi"/>
          <w:i/>
          <w:iCs/>
          <w:sz w:val="20"/>
          <w:szCs w:val="20"/>
          <w:lang w:bidi="fa-IR"/>
        </w:rPr>
        <w:t>Corresponding authors</w:t>
      </w:r>
      <w:r>
        <w:rPr>
          <w:rFonts w:asciiTheme="majorBidi" w:hAnsiTheme="majorBidi" w:cstheme="majorBidi"/>
          <w:i/>
          <w:iCs/>
          <w:sz w:val="20"/>
          <w:szCs w:val="20"/>
          <w:lang w:bidi="fa-IR"/>
        </w:rPr>
        <w:t xml:space="preserve">: </w:t>
      </w:r>
      <w:r w:rsidRPr="00F65526">
        <w:rPr>
          <w:rFonts w:asciiTheme="majorBidi" w:hAnsiTheme="majorBidi" w:cstheme="majorBidi"/>
          <w:b/>
          <w:bCs/>
          <w:i/>
          <w:iCs/>
          <w:sz w:val="20"/>
          <w:szCs w:val="20"/>
          <w:lang w:bidi="fa-IR"/>
        </w:rPr>
        <w:t>Elham Pahlavani</w:t>
      </w:r>
      <w:r w:rsidRPr="00C21D44">
        <w:rPr>
          <w:rFonts w:asciiTheme="majorBidi" w:hAnsiTheme="majorBidi" w:cstheme="majorBidi"/>
          <w:i/>
          <w:iCs/>
          <w:sz w:val="20"/>
          <w:szCs w:val="20"/>
          <w:lang w:bidi="fa-IR"/>
        </w:rPr>
        <w:t xml:space="preserve"> (</w:t>
      </w:r>
      <w:r>
        <w:rPr>
          <w:rFonts w:asciiTheme="majorBidi" w:hAnsiTheme="majorBidi" w:cstheme="majorBidi"/>
          <w:i/>
          <w:iCs/>
          <w:sz w:val="20"/>
          <w:szCs w:val="20"/>
          <w:lang w:bidi="fa-IR"/>
        </w:rPr>
        <w:t xml:space="preserve">Tel: +98 (915) 191-0321, E-mail: </w:t>
      </w:r>
      <w:hyperlink r:id="rId7" w:history="1">
        <w:r w:rsidRPr="00F96426">
          <w:rPr>
            <w:rStyle w:val="Hyperlink"/>
            <w:rFonts w:asciiTheme="majorBidi" w:hAnsiTheme="majorBidi" w:cstheme="majorBidi"/>
            <w:i/>
            <w:iCs/>
            <w:sz w:val="20"/>
            <w:szCs w:val="20"/>
            <w:lang w:bidi="fa-IR"/>
          </w:rPr>
          <w:t>e.pahlavani@zaums.ac.ir</w:t>
        </w:r>
      </w:hyperlink>
      <w:r>
        <w:rPr>
          <w:rFonts w:asciiTheme="majorBidi" w:hAnsiTheme="majorBidi" w:cstheme="majorBidi"/>
          <w:i/>
          <w:iCs/>
          <w:sz w:val="20"/>
          <w:szCs w:val="20"/>
          <w:lang w:bidi="fa-IR"/>
        </w:rPr>
        <w:t xml:space="preserve">) </w:t>
      </w:r>
    </w:p>
    <w:p w:rsidR="007E341A" w:rsidRDefault="007E341A" w:rsidP="007E341A">
      <w:pPr>
        <w:spacing w:after="0" w:line="22" w:lineRule="atLeast"/>
        <w:jc w:val="both"/>
        <w:rPr>
          <w:rFonts w:asciiTheme="majorBidi" w:hAnsiTheme="majorBidi" w:cstheme="majorBidi"/>
          <w:i/>
          <w:iCs/>
          <w:sz w:val="20"/>
          <w:szCs w:val="20"/>
          <w:lang w:bidi="fa-IR"/>
        </w:rPr>
      </w:pPr>
      <w:r>
        <w:rPr>
          <w:rFonts w:asciiTheme="majorBidi" w:hAnsiTheme="majorBidi" w:cstheme="majorBidi" w:hint="cs"/>
          <w:i/>
          <w:iCs/>
          <w:sz w:val="20"/>
          <w:szCs w:val="20"/>
          <w:rtl/>
          <w:lang w:bidi="fa-IR"/>
        </w:rPr>
        <w:t xml:space="preserve">                                           </w:t>
      </w:r>
      <w:r w:rsidRPr="00F65526">
        <w:rPr>
          <w:rFonts w:asciiTheme="majorBidi" w:hAnsiTheme="majorBidi" w:cstheme="majorBidi"/>
          <w:b/>
          <w:bCs/>
          <w:i/>
          <w:iCs/>
          <w:sz w:val="20"/>
          <w:szCs w:val="20"/>
          <w:lang w:bidi="fa-IR"/>
        </w:rPr>
        <w:t xml:space="preserve">Mahdi </w:t>
      </w:r>
      <w:proofErr w:type="spellStart"/>
      <w:r w:rsidRPr="00F65526">
        <w:rPr>
          <w:rFonts w:asciiTheme="majorBidi" w:hAnsiTheme="majorBidi" w:cstheme="majorBidi"/>
          <w:b/>
          <w:bCs/>
          <w:i/>
          <w:iCs/>
          <w:sz w:val="20"/>
          <w:szCs w:val="20"/>
          <w:lang w:bidi="fa-IR"/>
        </w:rPr>
        <w:t>Majidpour</w:t>
      </w:r>
      <w:proofErr w:type="spellEnd"/>
      <w:r w:rsidRPr="00C21D44">
        <w:rPr>
          <w:rFonts w:asciiTheme="majorBidi" w:hAnsiTheme="majorBidi" w:cstheme="majorBidi"/>
          <w:i/>
          <w:iCs/>
          <w:sz w:val="20"/>
          <w:szCs w:val="20"/>
          <w:lang w:bidi="fa-IR"/>
        </w:rPr>
        <w:t xml:space="preserve"> (</w:t>
      </w:r>
      <w:r>
        <w:rPr>
          <w:rFonts w:asciiTheme="majorBidi" w:hAnsiTheme="majorBidi" w:cstheme="majorBidi"/>
          <w:i/>
          <w:iCs/>
          <w:sz w:val="20"/>
          <w:szCs w:val="20"/>
          <w:lang w:bidi="fa-IR"/>
        </w:rPr>
        <w:t xml:space="preserve">Tel: +98 (921) 653-2199, E-mail: </w:t>
      </w:r>
      <w:hyperlink r:id="rId8" w:history="1">
        <w:r w:rsidRPr="00C21D44">
          <w:rPr>
            <w:rStyle w:val="Hyperlink"/>
            <w:rFonts w:asciiTheme="majorBidi" w:hAnsiTheme="majorBidi" w:cstheme="majorBidi"/>
            <w:i/>
            <w:iCs/>
            <w:sz w:val="20"/>
            <w:szCs w:val="20"/>
            <w:lang w:bidi="fa-IR"/>
          </w:rPr>
          <w:t>mahdimajidpour@gmail.com</w:t>
        </w:r>
      </w:hyperlink>
      <w:r w:rsidRPr="00C21D44">
        <w:rPr>
          <w:rFonts w:asciiTheme="majorBidi" w:hAnsiTheme="majorBidi" w:cstheme="majorBidi"/>
          <w:i/>
          <w:iCs/>
          <w:sz w:val="20"/>
          <w:szCs w:val="20"/>
          <w:lang w:bidi="fa-IR"/>
        </w:rPr>
        <w:t>)</w:t>
      </w:r>
    </w:p>
    <w:p w:rsidR="007E341A" w:rsidRDefault="007E341A" w:rsidP="00703464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7E341A" w:rsidRDefault="007E341A" w:rsidP="00703464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7E341A" w:rsidRDefault="007E341A" w:rsidP="007E341A">
      <w:pPr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F620D9" w:rsidRDefault="00F620D9" w:rsidP="007E341A">
      <w:pPr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703464" w:rsidRPr="00703464" w:rsidRDefault="00703464" w:rsidP="00703464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697B90" w:rsidRDefault="00697B90" w:rsidP="00697B90">
      <w:pPr>
        <w:jc w:val="center"/>
        <w:rPr>
          <w:rFonts w:asciiTheme="majorBidi" w:hAnsiTheme="majorBidi" w:cstheme="majorBidi"/>
          <w:sz w:val="20"/>
          <w:szCs w:val="20"/>
        </w:rPr>
      </w:pPr>
      <w:r w:rsidRPr="003D75F1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3EF3D68A" wp14:editId="2B7A4A2B">
            <wp:extent cx="3620958" cy="4198447"/>
            <wp:effectExtent l="0" t="0" r="0" b="7620"/>
            <wp:docPr id="11" name="Picture 11" descr="C:\Users\sistanalaptop\OneDrive\Desktop\chromosom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stanalaptop\OneDrive\Desktop\chromosome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958" cy="419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B90" w:rsidRDefault="00A55C6D" w:rsidP="004F28AD">
      <w:pPr>
        <w:spacing w:after="200"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Supplementary Fig</w:t>
      </w:r>
      <w:r w:rsidR="00697B90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697B90">
        <w:rPr>
          <w:rFonts w:asciiTheme="majorBidi" w:hAnsiTheme="majorBidi" w:cstheme="majorBidi" w:hint="cs"/>
          <w:b/>
          <w:bCs/>
          <w:sz w:val="20"/>
          <w:szCs w:val="20"/>
          <w:rtl/>
        </w:rPr>
        <w:t>1</w:t>
      </w:r>
      <w:r w:rsidR="00697B90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697B90">
        <w:rPr>
          <w:rFonts w:asciiTheme="majorBidi" w:hAnsiTheme="majorBidi" w:cstheme="majorBidi"/>
          <w:sz w:val="20"/>
          <w:szCs w:val="20"/>
        </w:rPr>
        <w:t xml:space="preserve">Locus of </w:t>
      </w:r>
      <w:r w:rsidR="00697B90">
        <w:rPr>
          <w:rFonts w:asciiTheme="majorBidi" w:hAnsiTheme="majorBidi" w:cstheme="majorBidi"/>
          <w:i/>
          <w:iCs/>
          <w:sz w:val="20"/>
          <w:szCs w:val="20"/>
        </w:rPr>
        <w:t>CD14</w:t>
      </w:r>
      <w:r w:rsidR="00697B90">
        <w:rPr>
          <w:rFonts w:asciiTheme="majorBidi" w:hAnsiTheme="majorBidi" w:cstheme="majorBidi"/>
          <w:sz w:val="20"/>
          <w:szCs w:val="20"/>
        </w:rPr>
        <w:t xml:space="preserve"> variations on chromosome</w:t>
      </w:r>
      <w:r w:rsidR="00697B90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697B90">
        <w:rPr>
          <w:rFonts w:asciiTheme="majorBidi" w:hAnsiTheme="majorBidi" w:cstheme="majorBidi"/>
          <w:sz w:val="20"/>
          <w:szCs w:val="20"/>
        </w:rPr>
        <w:t xml:space="preserve">5 (5q31.3) and of </w:t>
      </w:r>
      <w:r w:rsidR="00697B90">
        <w:rPr>
          <w:rFonts w:asciiTheme="majorBidi" w:hAnsiTheme="majorBidi" w:cstheme="majorBidi"/>
          <w:i/>
          <w:iCs/>
          <w:sz w:val="20"/>
          <w:szCs w:val="20"/>
        </w:rPr>
        <w:t>IL-18</w:t>
      </w:r>
      <w:r w:rsidR="00697B90">
        <w:rPr>
          <w:rFonts w:asciiTheme="majorBidi" w:hAnsiTheme="majorBidi" w:cstheme="majorBidi"/>
          <w:sz w:val="20"/>
          <w:szCs w:val="20"/>
        </w:rPr>
        <w:t xml:space="preserve"> on chromosome</w:t>
      </w:r>
      <w:r w:rsidR="00697B90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697B90">
        <w:rPr>
          <w:rFonts w:asciiTheme="majorBidi" w:hAnsiTheme="majorBidi" w:cstheme="majorBidi"/>
          <w:sz w:val="20"/>
          <w:szCs w:val="20"/>
        </w:rPr>
        <w:t xml:space="preserve">11 (11q23.1). </w:t>
      </w:r>
      <w:r w:rsidR="00697B90">
        <w:rPr>
          <w:rFonts w:asciiTheme="majorBidi" w:hAnsiTheme="majorBidi" w:cstheme="majorBidi"/>
          <w:i/>
          <w:iCs/>
          <w:sz w:val="20"/>
          <w:szCs w:val="20"/>
        </w:rPr>
        <w:t>CD14</w:t>
      </w:r>
      <w:r w:rsidR="00697B90">
        <w:rPr>
          <w:rFonts w:asciiTheme="majorBidi" w:hAnsiTheme="majorBidi" w:cstheme="majorBidi"/>
          <w:sz w:val="20"/>
          <w:szCs w:val="20"/>
        </w:rPr>
        <w:t xml:space="preserve">, cluster of differentiation antigen 14; </w:t>
      </w:r>
      <w:r w:rsidR="00697B90" w:rsidRPr="000F6884">
        <w:rPr>
          <w:rFonts w:asciiTheme="majorBidi" w:hAnsiTheme="majorBidi" w:cstheme="majorBidi"/>
          <w:i/>
          <w:iCs/>
          <w:sz w:val="20"/>
          <w:szCs w:val="20"/>
        </w:rPr>
        <w:t>IL-18</w:t>
      </w:r>
      <w:r w:rsidR="00697B90">
        <w:rPr>
          <w:rFonts w:asciiTheme="majorBidi" w:hAnsiTheme="majorBidi" w:cstheme="majorBidi"/>
          <w:sz w:val="20"/>
          <w:szCs w:val="20"/>
        </w:rPr>
        <w:t xml:space="preserve">, interleukin 18; </w:t>
      </w:r>
      <w:proofErr w:type="spellStart"/>
      <w:r w:rsidR="00697B90">
        <w:rPr>
          <w:rFonts w:asciiTheme="majorBidi" w:hAnsiTheme="majorBidi" w:cstheme="majorBidi"/>
          <w:sz w:val="20"/>
          <w:szCs w:val="20"/>
        </w:rPr>
        <w:t>rs</w:t>
      </w:r>
      <w:proofErr w:type="spellEnd"/>
      <w:r w:rsidR="00697B90">
        <w:rPr>
          <w:rFonts w:asciiTheme="majorBidi" w:hAnsiTheme="majorBidi" w:cstheme="majorBidi"/>
          <w:sz w:val="20"/>
          <w:szCs w:val="20"/>
        </w:rPr>
        <w:t xml:space="preserve">, reference single-nucleotide polymorphism; p and q stand for the short and long arms of the chromosomes, respectively. The figure </w:t>
      </w:r>
      <w:proofErr w:type="gramStart"/>
      <w:r w:rsidR="00697B90">
        <w:rPr>
          <w:rFonts w:asciiTheme="majorBidi" w:hAnsiTheme="majorBidi" w:cstheme="majorBidi"/>
          <w:sz w:val="20"/>
          <w:szCs w:val="20"/>
        </w:rPr>
        <w:t>was obtained</w:t>
      </w:r>
      <w:proofErr w:type="gramEnd"/>
      <w:r w:rsidR="00697B90">
        <w:rPr>
          <w:rFonts w:asciiTheme="majorBidi" w:hAnsiTheme="majorBidi" w:cstheme="majorBidi"/>
          <w:sz w:val="20"/>
          <w:szCs w:val="20"/>
        </w:rPr>
        <w:t xml:space="preserve"> from the UCSC Genome Browser (accessible at </w:t>
      </w:r>
      <w:hyperlink r:id="rId10" w:history="1">
        <w:r w:rsidR="00697B90">
          <w:rPr>
            <w:rStyle w:val="Hyperlink"/>
            <w:rFonts w:asciiTheme="majorBidi" w:hAnsiTheme="majorBidi" w:cstheme="majorBidi"/>
            <w:sz w:val="20"/>
            <w:szCs w:val="20"/>
          </w:rPr>
          <w:t>http://www.genome.ucsc.edu</w:t>
        </w:r>
      </w:hyperlink>
      <w:r>
        <w:rPr>
          <w:rFonts w:asciiTheme="majorBidi" w:hAnsiTheme="majorBidi" w:cstheme="majorBidi"/>
          <w:sz w:val="20"/>
          <w:szCs w:val="20"/>
        </w:rPr>
        <w:t>)</w:t>
      </w:r>
    </w:p>
    <w:p w:rsidR="00697B90" w:rsidRDefault="00697B9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620D9" w:rsidRDefault="00F620D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620D9" w:rsidRDefault="00F620D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620D9" w:rsidRDefault="00F620D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620D9" w:rsidRDefault="00F620D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620D9" w:rsidRDefault="00F620D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620D9" w:rsidRDefault="00F620D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620D9" w:rsidRDefault="00F620D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620D9" w:rsidRDefault="00F620D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620D9" w:rsidRDefault="00F620D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ED213D" w:rsidRDefault="00A55C6D" w:rsidP="00ED213D">
      <w:pPr>
        <w:spacing w:line="22" w:lineRule="atLeast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lastRenderedPageBreak/>
        <w:t>Supplementary Table 1</w:t>
      </w:r>
      <w:r w:rsidR="00ED213D" w:rsidRPr="00ED213D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ED213D" w:rsidRPr="00ED213D">
        <w:rPr>
          <w:rFonts w:asciiTheme="majorBidi" w:hAnsiTheme="majorBidi" w:cstheme="majorBidi"/>
          <w:sz w:val="20"/>
          <w:szCs w:val="20"/>
        </w:rPr>
        <w:t xml:space="preserve">The primers used for the amplification of </w:t>
      </w:r>
      <w:r w:rsidR="00ED213D" w:rsidRPr="00ED213D">
        <w:rPr>
          <w:rFonts w:asciiTheme="majorBidi" w:hAnsiTheme="majorBidi" w:cstheme="majorBidi"/>
          <w:i/>
          <w:iCs/>
          <w:sz w:val="20"/>
          <w:szCs w:val="20"/>
        </w:rPr>
        <w:t xml:space="preserve">IL-18 </w:t>
      </w:r>
      <w:r w:rsidR="00ED213D" w:rsidRPr="00ED213D">
        <w:rPr>
          <w:rFonts w:asciiTheme="majorBidi" w:hAnsiTheme="majorBidi" w:cstheme="majorBidi"/>
          <w:sz w:val="20"/>
          <w:szCs w:val="20"/>
        </w:rPr>
        <w:t>and</w:t>
      </w:r>
      <w:r w:rsidR="00ED213D" w:rsidRPr="00ED213D">
        <w:rPr>
          <w:rFonts w:asciiTheme="majorBidi" w:hAnsiTheme="majorBidi" w:cstheme="majorBidi"/>
          <w:i/>
          <w:iCs/>
          <w:sz w:val="20"/>
          <w:szCs w:val="20"/>
        </w:rPr>
        <w:t xml:space="preserve"> CD14 </w:t>
      </w:r>
      <w:r>
        <w:rPr>
          <w:rFonts w:asciiTheme="majorBidi" w:hAnsiTheme="majorBidi" w:cstheme="majorBidi"/>
          <w:sz w:val="20"/>
          <w:szCs w:val="20"/>
        </w:rPr>
        <w:t>polymorphisms</w:t>
      </w:r>
    </w:p>
    <w:tbl>
      <w:tblPr>
        <w:tblStyle w:val="TableGrid1"/>
        <w:tblW w:w="1091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4678"/>
        <w:gridCol w:w="851"/>
        <w:gridCol w:w="1559"/>
        <w:gridCol w:w="1559"/>
      </w:tblGrid>
      <w:tr w:rsidR="00ED213D" w:rsidTr="00ED213D">
        <w:trPr>
          <w:trHeight w:val="6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SNP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Primer Sequence (5′ to 3′)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Fragment Size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Annealing Temperature</w:t>
            </w:r>
          </w:p>
        </w:tc>
      </w:tr>
      <w:tr w:rsidR="00ED213D" w:rsidTr="00ED213D">
        <w:trPr>
          <w:trHeight w:val="93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rs187238 C&gt;G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F: CACAGAGCCCCAACTTTTACGGCAGAGAA</w:t>
            </w:r>
          </w:p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R: GACTGCTGTCGGCACTCCTTGG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MboII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G:116 + 39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bp</w:t>
            </w:r>
            <w:proofErr w:type="spellEnd"/>
          </w:p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C:155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61 </w:t>
            </w:r>
            <w:r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°C</w:t>
            </w:r>
          </w:p>
        </w:tc>
      </w:tr>
      <w:tr w:rsidR="00ED213D" w:rsidTr="00ED213D">
        <w:trPr>
          <w:trHeight w:val="93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3D" w:rsidRDefault="00ED213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rs1946518 T&gt;G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F: AAAGGATAGTTGATACAGGCCATT</w:t>
            </w:r>
          </w:p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: TTCTGTTGCAGAAAGTGTAAAAATTTT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DraI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T:125 + 28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bp</w:t>
            </w:r>
            <w:proofErr w:type="spellEnd"/>
          </w:p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G:153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57 </w:t>
            </w:r>
            <w:r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°C</w:t>
            </w:r>
          </w:p>
        </w:tc>
      </w:tr>
      <w:tr w:rsidR="00ED213D" w:rsidTr="00ED213D">
        <w:trPr>
          <w:trHeight w:val="11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CD14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rs2569190 A&gt;G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3D" w:rsidRDefault="00ED2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  <w:r>
              <w:rPr>
                <w:sz w:val="20"/>
                <w:szCs w:val="20"/>
              </w:rPr>
              <w:t>: ATCATCCTTTTCCCACACC</w:t>
            </w:r>
          </w:p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R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  <w:r>
              <w:rPr>
                <w:sz w:val="20"/>
                <w:szCs w:val="20"/>
              </w:rPr>
              <w:t>: AACTCTTCGGCTGCCTCT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z w:val="20"/>
                <w:szCs w:val="20"/>
              </w:rPr>
              <w:t>BsuRI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3D" w:rsidRDefault="00ED2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A: 296 </w:t>
            </w:r>
            <w:proofErr w:type="spellStart"/>
            <w:r>
              <w:rPr>
                <w:sz w:val="20"/>
                <w:szCs w:val="20"/>
              </w:rPr>
              <w:t>bp</w:t>
            </w:r>
            <w:proofErr w:type="spellEnd"/>
          </w:p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G: 155 + 141 </w:t>
            </w:r>
            <w:proofErr w:type="spellStart"/>
            <w:r>
              <w:rPr>
                <w:sz w:val="20"/>
                <w:szCs w:val="20"/>
              </w:rPr>
              <w:t>bp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3D" w:rsidRDefault="00ED213D">
            <w:pPr>
              <w:spacing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60 </w:t>
            </w:r>
            <w:r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°C</w:t>
            </w:r>
          </w:p>
        </w:tc>
      </w:tr>
    </w:tbl>
    <w:p w:rsidR="00ED213D" w:rsidRDefault="00ED213D" w:rsidP="004F28AD">
      <w:pPr>
        <w:spacing w:after="0" w:line="360" w:lineRule="auto"/>
        <w:jc w:val="both"/>
        <w:rPr>
          <w:rFonts w:asciiTheme="majorBidi" w:hAnsiTheme="majorBidi" w:cstheme="majorBidi"/>
          <w:spacing w:val="2"/>
          <w:sz w:val="20"/>
          <w:szCs w:val="20"/>
          <w:shd w:val="clear" w:color="auto" w:fill="FFFFFF"/>
        </w:rPr>
      </w:pPr>
      <w:r>
        <w:rPr>
          <w:rFonts w:asciiTheme="majorBidi" w:hAnsiTheme="majorBidi" w:cstheme="majorBidi"/>
          <w:i/>
          <w:iCs/>
          <w:spacing w:val="2"/>
          <w:sz w:val="20"/>
          <w:szCs w:val="20"/>
          <w:shd w:val="clear" w:color="auto" w:fill="FFFFFF"/>
        </w:rPr>
        <w:t>IL-18</w:t>
      </w:r>
      <w:r>
        <w:rPr>
          <w:rFonts w:asciiTheme="majorBidi" w:hAnsiTheme="majorBidi" w:cstheme="majorBidi"/>
          <w:spacing w:val="2"/>
          <w:sz w:val="20"/>
          <w:szCs w:val="20"/>
          <w:shd w:val="clear" w:color="auto" w:fill="FFFFFF"/>
        </w:rPr>
        <w:t xml:space="preserve">, interleukin 18; </w:t>
      </w:r>
      <w:r>
        <w:rPr>
          <w:rFonts w:asciiTheme="majorBidi" w:hAnsiTheme="majorBidi" w:cstheme="majorBidi"/>
          <w:i/>
          <w:iCs/>
          <w:spacing w:val="2"/>
          <w:sz w:val="20"/>
          <w:szCs w:val="20"/>
          <w:shd w:val="clear" w:color="auto" w:fill="FFFFFF"/>
        </w:rPr>
        <w:t>CD14</w:t>
      </w:r>
      <w:r>
        <w:rPr>
          <w:rFonts w:asciiTheme="majorBidi" w:hAnsiTheme="majorBidi" w:cstheme="majorBidi"/>
          <w:spacing w:val="2"/>
          <w:sz w:val="20"/>
          <w:szCs w:val="20"/>
          <w:shd w:val="clear" w:color="auto" w:fill="FFFFFF"/>
        </w:rPr>
        <w:t xml:space="preserve">, cluster of differentiation antigen 14; SNP, single-nucleotide polymorphism; 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3' and 5', </w:t>
      </w:r>
      <w:r>
        <w:rPr>
          <w:rFonts w:asciiTheme="majorBidi" w:hAnsiTheme="majorBidi" w:cstheme="majorBidi"/>
          <w:color w:val="111111"/>
          <w:sz w:val="20"/>
          <w:szCs w:val="20"/>
          <w:shd w:val="clear" w:color="auto" w:fill="FFFFFF"/>
        </w:rPr>
        <w:t>the</w:t>
      </w:r>
      <w:r>
        <w:rPr>
          <w:rStyle w:val="Strong"/>
          <w:rFonts w:asciiTheme="majorBidi" w:hAnsiTheme="majorBidi" w:cstheme="majorBidi"/>
          <w:b w:val="0"/>
          <w:bCs w:val="0"/>
          <w:color w:val="111111"/>
          <w:sz w:val="20"/>
          <w:szCs w:val="20"/>
          <w:shd w:val="clear" w:color="auto" w:fill="FFFFFF"/>
        </w:rPr>
        <w:t> third carbon of sugar ribose</w:t>
      </w:r>
      <w:r>
        <w:rPr>
          <w:rFonts w:asciiTheme="majorBidi" w:hAnsiTheme="majorBidi" w:cstheme="majorBidi"/>
          <w:color w:val="111111"/>
          <w:sz w:val="20"/>
          <w:szCs w:val="20"/>
          <w:shd w:val="clear" w:color="auto" w:fill="FFFFFF"/>
        </w:rPr>
        <w:t xml:space="preserve"> or deoxyribose, which is bound to the </w:t>
      </w:r>
      <w:proofErr w:type="spellStart"/>
      <w:r>
        <w:rPr>
          <w:rFonts w:asciiTheme="majorBidi" w:hAnsiTheme="majorBidi" w:cstheme="majorBidi"/>
          <w:color w:val="111111"/>
          <w:sz w:val="20"/>
          <w:szCs w:val="20"/>
          <w:shd w:val="clear" w:color="auto" w:fill="FFFFFF"/>
        </w:rPr>
        <w:t>hydroxy</w:t>
      </w:r>
      <w:proofErr w:type="spellEnd"/>
      <w:r>
        <w:rPr>
          <w:rFonts w:asciiTheme="majorBidi" w:hAnsiTheme="majorBidi" w:cstheme="majorBidi"/>
          <w:color w:val="111111"/>
          <w:sz w:val="20"/>
          <w:szCs w:val="20"/>
          <w:shd w:val="clear" w:color="auto" w:fill="FFFFFF"/>
        </w:rPr>
        <w:t xml:space="preserve"> group or a triple phosphate group, respectively</w:t>
      </w:r>
      <w:r>
        <w:rPr>
          <w:rFonts w:asciiTheme="majorBidi" w:hAnsiTheme="majorBidi" w:cstheme="majorBidi"/>
          <w:spacing w:val="2"/>
          <w:sz w:val="20"/>
          <w:szCs w:val="20"/>
          <w:shd w:val="clear" w:color="auto" w:fill="FFFFFF"/>
        </w:rPr>
        <w:t xml:space="preserve">; RE, restriction enzyme; </w:t>
      </w:r>
      <w:proofErr w:type="spellStart"/>
      <w:r>
        <w:rPr>
          <w:rFonts w:asciiTheme="majorBidi" w:hAnsiTheme="majorBidi" w:cstheme="majorBidi"/>
          <w:spacing w:val="2"/>
          <w:sz w:val="20"/>
          <w:szCs w:val="20"/>
          <w:shd w:val="clear" w:color="auto" w:fill="FFFFFF"/>
        </w:rPr>
        <w:t>bp</w:t>
      </w:r>
      <w:proofErr w:type="spellEnd"/>
      <w:r>
        <w:rPr>
          <w:rFonts w:asciiTheme="majorBidi" w:hAnsiTheme="majorBidi" w:cstheme="majorBidi"/>
          <w:spacing w:val="2"/>
          <w:sz w:val="20"/>
          <w:szCs w:val="20"/>
          <w:shd w:val="clear" w:color="auto" w:fill="FFFFFF"/>
        </w:rPr>
        <w:t xml:space="preserve">, base pair; </w:t>
      </w:r>
      <w:proofErr w:type="spellStart"/>
      <w:r>
        <w:rPr>
          <w:rFonts w:asciiTheme="majorBidi" w:hAnsiTheme="majorBidi" w:cstheme="majorBidi"/>
          <w:spacing w:val="2"/>
          <w:sz w:val="20"/>
          <w:szCs w:val="20"/>
          <w:shd w:val="clear" w:color="auto" w:fill="FFFFFF"/>
        </w:rPr>
        <w:t>rs</w:t>
      </w:r>
      <w:proofErr w:type="spellEnd"/>
      <w:r>
        <w:rPr>
          <w:rFonts w:asciiTheme="majorBidi" w:hAnsiTheme="majorBidi" w:cstheme="majorBidi"/>
          <w:spacing w:val="2"/>
          <w:sz w:val="20"/>
          <w:szCs w:val="20"/>
          <w:shd w:val="clear" w:color="auto" w:fill="FFFFFF"/>
        </w:rPr>
        <w:t>, reference SNP; F, Forward; R, Reverse.</w:t>
      </w:r>
    </w:p>
    <w:p w:rsidR="00ED213D" w:rsidRDefault="00ED213D" w:rsidP="004F28AD">
      <w:pPr>
        <w:spacing w:after="0" w:line="360" w:lineRule="auto"/>
        <w:jc w:val="both"/>
        <w:rPr>
          <w:rFonts w:asciiTheme="majorBidi" w:hAnsiTheme="majorBidi" w:cstheme="majorBidi"/>
          <w:spacing w:val="2"/>
          <w:sz w:val="20"/>
          <w:szCs w:val="20"/>
          <w:shd w:val="clear" w:color="auto" w:fill="FFFFFF"/>
        </w:rPr>
      </w:pPr>
      <w:r>
        <w:rPr>
          <w:rFonts w:asciiTheme="majorBidi" w:hAnsiTheme="majorBidi" w:cstheme="majorBidi"/>
          <w:spacing w:val="2"/>
          <w:sz w:val="20"/>
          <w:szCs w:val="20"/>
          <w:shd w:val="clear" w:color="auto" w:fill="FFFFFF"/>
          <w:vertAlign w:val="superscript"/>
        </w:rPr>
        <w:t>*</w:t>
      </w:r>
      <w:r>
        <w:rPr>
          <w:rFonts w:asciiTheme="majorBidi" w:hAnsiTheme="majorBidi" w:cstheme="majorBidi"/>
          <w:spacing w:val="2"/>
          <w:sz w:val="20"/>
          <w:szCs w:val="20"/>
          <w:shd w:val="clear" w:color="auto" w:fill="FFFFFF"/>
        </w:rPr>
        <w:t>The primer was designed based on the mismatch polymerase chain reaction-restriction fragment length polymorphism (PCR-RFLP) technique.</w:t>
      </w:r>
    </w:p>
    <w:p w:rsidR="00ED213D" w:rsidRDefault="00ED213D" w:rsidP="004F28AD">
      <w:pPr>
        <w:spacing w:after="0" w:line="360" w:lineRule="auto"/>
        <w:jc w:val="both"/>
        <w:rPr>
          <w:rFonts w:asciiTheme="majorBidi" w:hAnsiTheme="majorBidi" w:cstheme="majorBidi"/>
          <w:spacing w:val="2"/>
          <w:sz w:val="20"/>
          <w:szCs w:val="20"/>
          <w:shd w:val="clear" w:color="auto" w:fill="FFFFFF"/>
        </w:rPr>
      </w:pPr>
      <w:r>
        <w:rPr>
          <w:rFonts w:asciiTheme="majorBidi" w:hAnsiTheme="majorBidi" w:cstheme="majorBidi"/>
          <w:spacing w:val="2"/>
          <w:sz w:val="20"/>
          <w:szCs w:val="20"/>
          <w:shd w:val="clear" w:color="auto" w:fill="FFFFFF"/>
          <w:vertAlign w:val="superscript"/>
        </w:rPr>
        <w:t>**</w:t>
      </w:r>
      <w:r>
        <w:rPr>
          <w:rFonts w:asciiTheme="majorBidi" w:hAnsiTheme="majorBidi" w:cstheme="majorBidi"/>
          <w:spacing w:val="2"/>
          <w:sz w:val="20"/>
          <w:szCs w:val="20"/>
          <w:shd w:val="clear" w:color="auto" w:fill="FFFFFF"/>
        </w:rPr>
        <w:t>Primers were designed based on the anti-sense strand.</w:t>
      </w:r>
    </w:p>
    <w:p w:rsidR="00F74513" w:rsidRDefault="00F74513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ED213D" w:rsidRDefault="00ED213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ED213D" w:rsidRDefault="00ED213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74513" w:rsidRDefault="00F74513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74513" w:rsidRDefault="00F74513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74513" w:rsidRDefault="00F74513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5103E" w:rsidRDefault="006510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5103E" w:rsidRDefault="006510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5103E" w:rsidRDefault="006510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5103E" w:rsidRDefault="006510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5103E" w:rsidRDefault="006510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5103E" w:rsidRDefault="006510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5103E" w:rsidRDefault="006510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5103E" w:rsidRDefault="006510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5103E" w:rsidRDefault="006510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55C6D" w:rsidRDefault="00A55C6D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2661123" wp14:editId="7386AC77">
            <wp:extent cx="5942857" cy="3333333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3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C6D" w:rsidRDefault="00A55C6D" w:rsidP="00A55C6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Supplementary Fig </w:t>
      </w:r>
      <w:proofErr w:type="gramStart"/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>2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Electrophoresis</w:t>
      </w:r>
      <w:proofErr w:type="gramEnd"/>
      <w:r>
        <w:rPr>
          <w:rFonts w:asciiTheme="majorBidi" w:hAnsiTheme="majorBidi" w:cstheme="majorBidi"/>
          <w:sz w:val="20"/>
          <w:szCs w:val="20"/>
        </w:rPr>
        <w:t xml:space="preserve"> images of polymerase chain reaction-restriction fragment length polymorphism (PCR-RFLP) for </w:t>
      </w:r>
      <w:r>
        <w:rPr>
          <w:rFonts w:asciiTheme="majorBidi" w:hAnsiTheme="majorBidi" w:cstheme="majorBidi"/>
          <w:i/>
          <w:iCs/>
          <w:sz w:val="20"/>
          <w:szCs w:val="20"/>
        </w:rPr>
        <w:t>IL-18</w:t>
      </w:r>
      <w:r>
        <w:rPr>
          <w:rFonts w:asciiTheme="majorBidi" w:hAnsiTheme="majorBidi" w:cstheme="majorBidi"/>
          <w:sz w:val="20"/>
          <w:szCs w:val="20"/>
        </w:rPr>
        <w:t xml:space="preserve"> and </w:t>
      </w:r>
      <w:r>
        <w:rPr>
          <w:rFonts w:asciiTheme="majorBidi" w:hAnsiTheme="majorBidi" w:cstheme="majorBidi"/>
          <w:i/>
          <w:iCs/>
          <w:sz w:val="20"/>
          <w:szCs w:val="20"/>
        </w:rPr>
        <w:t>CD14</w:t>
      </w:r>
      <w:r>
        <w:rPr>
          <w:rFonts w:asciiTheme="majorBidi" w:hAnsiTheme="majorBidi" w:cstheme="majorBidi"/>
          <w:sz w:val="20"/>
          <w:szCs w:val="20"/>
        </w:rPr>
        <w:t xml:space="preserve"> polymorphisms (</w:t>
      </w:r>
      <w:r>
        <w:rPr>
          <w:rFonts w:asciiTheme="majorBidi" w:hAnsiTheme="majorBidi" w:cstheme="majorBidi"/>
          <w:b/>
          <w:bCs/>
          <w:sz w:val="20"/>
          <w:szCs w:val="20"/>
        </w:rPr>
        <w:t>A: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i/>
          <w:iCs/>
          <w:sz w:val="20"/>
          <w:szCs w:val="20"/>
        </w:rPr>
        <w:t>IL-18</w:t>
      </w:r>
      <w:r>
        <w:rPr>
          <w:rFonts w:asciiTheme="majorBidi" w:hAnsiTheme="majorBidi" w:cstheme="majorBidi"/>
          <w:sz w:val="20"/>
          <w:szCs w:val="20"/>
        </w:rPr>
        <w:t xml:space="preserve">–rs187238 C&gt;G, </w:t>
      </w:r>
      <w:r>
        <w:rPr>
          <w:rFonts w:asciiTheme="majorBidi" w:hAnsiTheme="majorBidi" w:cstheme="majorBidi"/>
          <w:b/>
          <w:bCs/>
          <w:sz w:val="20"/>
          <w:szCs w:val="20"/>
        </w:rPr>
        <w:t>B: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i/>
          <w:iCs/>
          <w:sz w:val="20"/>
          <w:szCs w:val="20"/>
        </w:rPr>
        <w:t>IL-18</w:t>
      </w:r>
      <w:r>
        <w:rPr>
          <w:rFonts w:asciiTheme="majorBidi" w:hAnsiTheme="majorBidi" w:cstheme="majorBidi"/>
          <w:sz w:val="20"/>
          <w:szCs w:val="20"/>
        </w:rPr>
        <w:t xml:space="preserve">–rs1946518 T&gt;G, and </w:t>
      </w:r>
      <w:r>
        <w:rPr>
          <w:rFonts w:asciiTheme="majorBidi" w:hAnsiTheme="majorBidi" w:cstheme="majorBidi"/>
          <w:b/>
          <w:bCs/>
          <w:sz w:val="20"/>
          <w:szCs w:val="20"/>
        </w:rPr>
        <w:t>C: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i/>
          <w:iCs/>
          <w:sz w:val="20"/>
          <w:szCs w:val="20"/>
        </w:rPr>
        <w:t>CD14</w:t>
      </w:r>
      <w:r>
        <w:rPr>
          <w:rFonts w:asciiTheme="majorBidi" w:hAnsiTheme="majorBidi" w:cstheme="majorBidi"/>
          <w:sz w:val="20"/>
          <w:szCs w:val="20"/>
        </w:rPr>
        <w:t xml:space="preserve">–rs2569190 A&gt;G). </w:t>
      </w:r>
      <w:r>
        <w:rPr>
          <w:rFonts w:asciiTheme="majorBidi" w:hAnsiTheme="majorBidi" w:cstheme="majorBidi"/>
          <w:i/>
          <w:iCs/>
          <w:sz w:val="20"/>
          <w:szCs w:val="20"/>
        </w:rPr>
        <w:t>IL-18</w:t>
      </w:r>
      <w:r>
        <w:rPr>
          <w:rFonts w:asciiTheme="majorBidi" w:hAnsiTheme="majorBidi" w:cstheme="majorBidi"/>
          <w:sz w:val="20"/>
          <w:szCs w:val="20"/>
        </w:rPr>
        <w:t xml:space="preserve">, interleukin 18; </w:t>
      </w:r>
      <w:r>
        <w:rPr>
          <w:rFonts w:asciiTheme="majorBidi" w:hAnsiTheme="majorBidi" w:cstheme="majorBidi"/>
          <w:i/>
          <w:iCs/>
          <w:sz w:val="20"/>
          <w:szCs w:val="20"/>
        </w:rPr>
        <w:t>CD14</w:t>
      </w:r>
      <w:r>
        <w:rPr>
          <w:rFonts w:asciiTheme="majorBidi" w:hAnsiTheme="majorBidi" w:cstheme="majorBidi"/>
          <w:sz w:val="20"/>
          <w:szCs w:val="20"/>
        </w:rPr>
        <w:t xml:space="preserve">, cluster of differentiation antigen 14; </w:t>
      </w:r>
      <w:proofErr w:type="spellStart"/>
      <w:r>
        <w:rPr>
          <w:rFonts w:asciiTheme="majorBidi" w:hAnsiTheme="majorBidi" w:cstheme="majorBidi"/>
          <w:sz w:val="20"/>
          <w:szCs w:val="20"/>
        </w:rPr>
        <w:t>rs</w:t>
      </w:r>
      <w:proofErr w:type="spellEnd"/>
      <w:r>
        <w:rPr>
          <w:rFonts w:asciiTheme="majorBidi" w:hAnsiTheme="majorBidi" w:cstheme="majorBidi"/>
          <w:sz w:val="20"/>
          <w:szCs w:val="20"/>
        </w:rPr>
        <w:t>, reference single-nucleotide polymorphism</w:t>
      </w:r>
    </w:p>
    <w:p w:rsidR="00A55C6D" w:rsidRDefault="00A55C6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55C6D" w:rsidRDefault="00A55C6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55C6D" w:rsidRDefault="00A55C6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55C6D" w:rsidRDefault="00A55C6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55C6D" w:rsidRDefault="00A55C6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55C6D" w:rsidRDefault="00A55C6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55C6D" w:rsidRDefault="00A55C6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55C6D" w:rsidRDefault="00A55C6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55C6D" w:rsidRDefault="00A55C6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55C6D" w:rsidRDefault="00A55C6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55C6D" w:rsidRDefault="00A55C6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55C6D" w:rsidRDefault="00A55C6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55C6D" w:rsidRDefault="00A55C6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5103E" w:rsidRPr="00C21D44" w:rsidRDefault="0065103E" w:rsidP="0065103E">
      <w:pPr>
        <w:spacing w:after="200" w:line="22" w:lineRule="atLeast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lastRenderedPageBreak/>
        <w:t>Supplementary Table 2</w:t>
      </w:r>
      <w:r w:rsidRPr="00C21D44">
        <w:rPr>
          <w:rFonts w:asciiTheme="majorBidi" w:hAnsiTheme="majorBidi" w:cstheme="majorBidi"/>
          <w:sz w:val="20"/>
          <w:szCs w:val="20"/>
        </w:rPr>
        <w:t xml:space="preserve"> Haplotype analysis of </w:t>
      </w:r>
      <w:r w:rsidRPr="00C21D44">
        <w:rPr>
          <w:rFonts w:asciiTheme="majorBidi" w:hAnsiTheme="majorBidi" w:cstheme="majorBidi"/>
          <w:i/>
          <w:iCs/>
          <w:sz w:val="20"/>
          <w:szCs w:val="20"/>
        </w:rPr>
        <w:t xml:space="preserve">IL-18 </w:t>
      </w:r>
      <w:r w:rsidRPr="00FE01EF">
        <w:rPr>
          <w:rFonts w:asciiTheme="majorBidi" w:hAnsiTheme="majorBidi" w:cstheme="majorBidi"/>
          <w:sz w:val="20"/>
          <w:szCs w:val="20"/>
        </w:rPr>
        <w:t>gene</w:t>
      </w:r>
      <w:r w:rsidRPr="00C21D44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C21D44">
        <w:rPr>
          <w:rFonts w:asciiTheme="majorBidi" w:hAnsiTheme="majorBidi" w:cstheme="majorBidi"/>
          <w:sz w:val="20"/>
          <w:szCs w:val="20"/>
        </w:rPr>
        <w:t xml:space="preserve">polymorphisms on </w:t>
      </w:r>
      <w:r>
        <w:rPr>
          <w:rFonts w:asciiTheme="majorBidi" w:hAnsiTheme="majorBidi" w:cstheme="majorBidi"/>
          <w:sz w:val="20"/>
          <w:szCs w:val="20"/>
        </w:rPr>
        <w:t>chronic HBV</w:t>
      </w:r>
      <w:r w:rsidR="00A55C6D">
        <w:rPr>
          <w:rFonts w:asciiTheme="majorBidi" w:hAnsiTheme="majorBidi" w:cstheme="majorBidi"/>
          <w:sz w:val="20"/>
          <w:szCs w:val="20"/>
        </w:rPr>
        <w:t xml:space="preserve"> risk</w:t>
      </w:r>
    </w:p>
    <w:tbl>
      <w:tblPr>
        <w:tblStyle w:val="TableGrid3"/>
        <w:tblpPr w:leftFromText="180" w:rightFromText="180" w:vertAnchor="text" w:horzAnchor="margin" w:tblpXSpec="center" w:tblpY="73"/>
        <w:tblW w:w="9411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134"/>
        <w:gridCol w:w="1275"/>
        <w:gridCol w:w="1596"/>
        <w:gridCol w:w="1016"/>
      </w:tblGrid>
      <w:tr w:rsidR="0065103E" w:rsidRPr="00C21D44" w:rsidTr="00ED6F7F">
        <w:trPr>
          <w:trHeight w:val="353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01EF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IL-18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–</w:t>
            </w:r>
            <w:r w:rsidRPr="002A044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rs187238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C&gt;G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E01EF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IL-18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–</w:t>
            </w:r>
            <w:r w:rsidRPr="002A044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rs1946518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T&gt;G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HBV (%)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Control (%)</w:t>
            </w:r>
          </w:p>
        </w:tc>
        <w:tc>
          <w:tcPr>
            <w:tcW w:w="1596" w:type="dxa"/>
            <w:shd w:val="clear" w:color="auto" w:fill="D9D9D9" w:themeFill="background1" w:themeFillShade="D9"/>
            <w:vAlign w:val="center"/>
          </w:tcPr>
          <w:p w:rsidR="0065103E" w:rsidRPr="00FE01EF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OR </w:t>
            </w:r>
            <w:r w:rsidRPr="00FE01E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(95%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FE01E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CI)</w:t>
            </w:r>
          </w:p>
        </w:tc>
        <w:tc>
          <w:tcPr>
            <w:tcW w:w="1016" w:type="dxa"/>
            <w:shd w:val="clear" w:color="auto" w:fill="D9D9D9" w:themeFill="background1" w:themeFillShade="D9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</w:t>
            </w:r>
            <w:r w:rsidRPr="002A044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-value</w:t>
            </w:r>
          </w:p>
        </w:tc>
      </w:tr>
      <w:tr w:rsidR="0065103E" w:rsidRPr="00C21D44" w:rsidTr="00ED6F7F">
        <w:trPr>
          <w:trHeight w:val="367"/>
        </w:trPr>
        <w:tc>
          <w:tcPr>
            <w:tcW w:w="2263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2127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134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sz w:val="20"/>
                <w:szCs w:val="20"/>
              </w:rPr>
              <w:t>202 (50.5)</w:t>
            </w:r>
          </w:p>
        </w:tc>
        <w:tc>
          <w:tcPr>
            <w:tcW w:w="1275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sz w:val="20"/>
                <w:szCs w:val="20"/>
              </w:rPr>
              <w:t>157 (39.3)</w:t>
            </w:r>
          </w:p>
        </w:tc>
        <w:tc>
          <w:tcPr>
            <w:tcW w:w="2612" w:type="dxa"/>
            <w:gridSpan w:val="2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sz w:val="20"/>
                <w:szCs w:val="20"/>
              </w:rPr>
              <w:t>1 [reference]</w:t>
            </w:r>
          </w:p>
        </w:tc>
      </w:tr>
      <w:tr w:rsidR="0065103E" w:rsidRPr="00C21D44" w:rsidTr="00ED6F7F">
        <w:trPr>
          <w:trHeight w:val="367"/>
        </w:trPr>
        <w:tc>
          <w:tcPr>
            <w:tcW w:w="2263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</w:tc>
        <w:tc>
          <w:tcPr>
            <w:tcW w:w="2127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1134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sz w:val="20"/>
                <w:szCs w:val="20"/>
              </w:rPr>
              <w:t>89 (22.2)</w:t>
            </w:r>
          </w:p>
        </w:tc>
        <w:tc>
          <w:tcPr>
            <w:tcW w:w="1275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sz w:val="20"/>
                <w:szCs w:val="20"/>
              </w:rPr>
              <w:t>113 (28.2)</w:t>
            </w:r>
          </w:p>
        </w:tc>
        <w:tc>
          <w:tcPr>
            <w:tcW w:w="1596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sz w:val="20"/>
                <w:szCs w:val="20"/>
              </w:rPr>
              <w:t>0.61 (0.43-0.87)</w:t>
            </w:r>
          </w:p>
        </w:tc>
        <w:tc>
          <w:tcPr>
            <w:tcW w:w="1016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0.005</w:t>
            </w:r>
            <w:r w:rsidRPr="000F0C41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</w:tr>
      <w:tr w:rsidR="0065103E" w:rsidRPr="00C21D44" w:rsidTr="00ED6F7F">
        <w:trPr>
          <w:trHeight w:val="353"/>
        </w:trPr>
        <w:tc>
          <w:tcPr>
            <w:tcW w:w="2263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2127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</w:tc>
        <w:tc>
          <w:tcPr>
            <w:tcW w:w="1134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sz w:val="20"/>
                <w:szCs w:val="20"/>
              </w:rPr>
              <w:t>83 (20.8)</w:t>
            </w:r>
          </w:p>
        </w:tc>
        <w:tc>
          <w:tcPr>
            <w:tcW w:w="1275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sz w:val="20"/>
                <w:szCs w:val="20"/>
              </w:rPr>
              <w:t>85 (21.3)</w:t>
            </w:r>
          </w:p>
        </w:tc>
        <w:tc>
          <w:tcPr>
            <w:tcW w:w="1596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sz w:val="20"/>
                <w:szCs w:val="20"/>
              </w:rPr>
              <w:t>0.76 (0.52-1.09)</w:t>
            </w:r>
          </w:p>
        </w:tc>
        <w:tc>
          <w:tcPr>
            <w:tcW w:w="1016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sz w:val="20"/>
                <w:szCs w:val="20"/>
              </w:rPr>
              <w:t>0.141</w:t>
            </w:r>
          </w:p>
        </w:tc>
      </w:tr>
      <w:tr w:rsidR="0065103E" w:rsidRPr="00C21D44" w:rsidTr="00ED6F7F">
        <w:trPr>
          <w:trHeight w:val="353"/>
        </w:trPr>
        <w:tc>
          <w:tcPr>
            <w:tcW w:w="2263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</w:tc>
        <w:tc>
          <w:tcPr>
            <w:tcW w:w="2127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</w:tc>
        <w:tc>
          <w:tcPr>
            <w:tcW w:w="1134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sz w:val="20"/>
                <w:szCs w:val="20"/>
              </w:rPr>
              <w:t>26 (6.5)</w:t>
            </w:r>
          </w:p>
        </w:tc>
        <w:tc>
          <w:tcPr>
            <w:tcW w:w="1275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sz w:val="20"/>
                <w:szCs w:val="20"/>
              </w:rPr>
              <w:t>45 (11.2)</w:t>
            </w:r>
          </w:p>
        </w:tc>
        <w:tc>
          <w:tcPr>
            <w:tcW w:w="1596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sz w:val="20"/>
                <w:szCs w:val="20"/>
              </w:rPr>
              <w:t>0.45 (0.26-0.76)</w:t>
            </w:r>
          </w:p>
        </w:tc>
        <w:tc>
          <w:tcPr>
            <w:tcW w:w="1016" w:type="dxa"/>
            <w:vAlign w:val="center"/>
          </w:tcPr>
          <w:p w:rsidR="0065103E" w:rsidRPr="002A0449" w:rsidRDefault="0065103E" w:rsidP="00ED6F7F">
            <w:pPr>
              <w:spacing w:after="200" w:line="22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044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0.002</w:t>
            </w:r>
            <w:r w:rsidRPr="000F0C41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</w:tr>
    </w:tbl>
    <w:p w:rsidR="0065103E" w:rsidRPr="00FE01EF" w:rsidRDefault="0065103E" w:rsidP="0065103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FE01EF">
        <w:rPr>
          <w:rFonts w:asciiTheme="majorBidi" w:hAnsiTheme="majorBidi" w:cstheme="majorBidi"/>
          <w:sz w:val="20"/>
          <w:szCs w:val="20"/>
          <w:vertAlign w:val="superscript"/>
        </w:rPr>
        <w:t>*</w:t>
      </w:r>
      <w:r w:rsidRPr="00FE01EF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FE01EF">
        <w:rPr>
          <w:rFonts w:asciiTheme="majorBidi" w:hAnsiTheme="majorBidi" w:cstheme="majorBidi"/>
          <w:sz w:val="20"/>
          <w:szCs w:val="20"/>
        </w:rPr>
        <w:t xml:space="preserve"> &lt; 0.05 </w:t>
      </w:r>
      <w:proofErr w:type="gramStart"/>
      <w:r w:rsidRPr="00FE01EF">
        <w:rPr>
          <w:rFonts w:asciiTheme="majorBidi" w:hAnsiTheme="majorBidi" w:cstheme="majorBidi"/>
          <w:sz w:val="20"/>
          <w:szCs w:val="20"/>
        </w:rPr>
        <w:t xml:space="preserve">was considered statistically significant and indicated in </w:t>
      </w:r>
      <w:r>
        <w:rPr>
          <w:rFonts w:asciiTheme="majorBidi" w:hAnsiTheme="majorBidi" w:cstheme="majorBidi"/>
          <w:b/>
          <w:bCs/>
          <w:sz w:val="20"/>
          <w:szCs w:val="20"/>
        </w:rPr>
        <w:t>b</w:t>
      </w:r>
      <w:r w:rsidRPr="00FE01EF">
        <w:rPr>
          <w:rFonts w:asciiTheme="majorBidi" w:hAnsiTheme="majorBidi" w:cstheme="majorBidi"/>
          <w:b/>
          <w:bCs/>
          <w:sz w:val="20"/>
          <w:szCs w:val="20"/>
        </w:rPr>
        <w:t>old</w:t>
      </w:r>
      <w:proofErr w:type="gramEnd"/>
      <w:r w:rsidRPr="00FE01EF">
        <w:rPr>
          <w:rFonts w:asciiTheme="majorBidi" w:hAnsiTheme="majorBidi" w:cstheme="majorBidi"/>
          <w:sz w:val="20"/>
          <w:szCs w:val="20"/>
        </w:rPr>
        <w:t>.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FE01EF">
        <w:rPr>
          <w:rFonts w:asciiTheme="majorBidi" w:hAnsiTheme="majorBidi" w:cstheme="majorBidi"/>
          <w:i/>
          <w:iCs/>
          <w:sz w:val="20"/>
          <w:szCs w:val="20"/>
        </w:rPr>
        <w:t>IL-18</w:t>
      </w:r>
      <w:r w:rsidRPr="00FE01EF">
        <w:rPr>
          <w:rFonts w:asciiTheme="majorBidi" w:hAnsiTheme="majorBidi" w:cstheme="majorBidi"/>
          <w:sz w:val="20"/>
          <w:szCs w:val="20"/>
        </w:rPr>
        <w:t xml:space="preserve">, interleukin 18; HBV, hepatitis B virus; </w:t>
      </w:r>
      <w:proofErr w:type="spellStart"/>
      <w:r w:rsidRPr="00FE01EF">
        <w:rPr>
          <w:rFonts w:asciiTheme="majorBidi" w:hAnsiTheme="majorBidi" w:cstheme="majorBidi"/>
          <w:sz w:val="20"/>
          <w:szCs w:val="20"/>
        </w:rPr>
        <w:t>rs</w:t>
      </w:r>
      <w:proofErr w:type="spellEnd"/>
      <w:r w:rsidRPr="00FE01EF">
        <w:rPr>
          <w:rFonts w:asciiTheme="majorBidi" w:hAnsiTheme="majorBidi" w:cstheme="majorBidi"/>
          <w:sz w:val="20"/>
          <w:szCs w:val="20"/>
        </w:rPr>
        <w:t>, reference single-nucleotide polymorphism; OR, odds ratio; CI, confidence intervals.</w:t>
      </w:r>
    </w:p>
    <w:p w:rsidR="0065103E" w:rsidRDefault="006510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5103E" w:rsidRDefault="006510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5103E" w:rsidRDefault="006510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5103E" w:rsidRDefault="006510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5103E" w:rsidRDefault="006510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5103E" w:rsidRDefault="0065103E" w:rsidP="0065103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Theme="majorBidi" w:hAnsiTheme="majorBidi" w:cstheme="majorBidi"/>
          <w:color w:val="000000" w:themeColor="text1"/>
        </w:rPr>
      </w:pPr>
      <w:r w:rsidRPr="003D75F1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3488959D" wp14:editId="76E087B7">
            <wp:extent cx="1570632" cy="2370564"/>
            <wp:effectExtent l="0" t="0" r="0" b="0"/>
            <wp:docPr id="13" name="Picture 13" descr="C:\Users\sistanalaptop\OneDrive\Desktop\LD Plo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istanalaptop\OneDrive\Desktop\LD Plot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936" cy="23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03E" w:rsidRDefault="0065103E" w:rsidP="0065103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Theme="majorBidi" w:hAnsiTheme="majorBidi" w:cstheme="majorBidi"/>
          <w:color w:val="000000" w:themeColor="text1"/>
        </w:rPr>
      </w:pPr>
    </w:p>
    <w:p w:rsidR="0065103E" w:rsidRPr="00FE01EF" w:rsidRDefault="00DA3729" w:rsidP="0065103E">
      <w:pPr>
        <w:spacing w:after="200"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Supplementary Fig 3</w:t>
      </w:r>
      <w:r w:rsidR="0065103E" w:rsidRPr="00FE01EF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65103E" w:rsidRPr="00FE01EF">
        <w:rPr>
          <w:rFonts w:asciiTheme="majorBidi" w:hAnsiTheme="majorBidi" w:cstheme="majorBidi"/>
          <w:sz w:val="20"/>
          <w:szCs w:val="20"/>
        </w:rPr>
        <w:t xml:space="preserve">Pairwise </w:t>
      </w:r>
      <w:r w:rsidR="0065103E">
        <w:rPr>
          <w:rFonts w:asciiTheme="majorBidi" w:hAnsiTheme="majorBidi" w:cstheme="majorBidi"/>
          <w:sz w:val="20"/>
          <w:szCs w:val="20"/>
        </w:rPr>
        <w:t>linkage disequilibrium (</w:t>
      </w:r>
      <w:r w:rsidR="0065103E" w:rsidRPr="00FE01EF">
        <w:rPr>
          <w:rFonts w:asciiTheme="majorBidi" w:hAnsiTheme="majorBidi" w:cstheme="majorBidi"/>
          <w:sz w:val="20"/>
          <w:szCs w:val="20"/>
        </w:rPr>
        <w:t>LD</w:t>
      </w:r>
      <w:r w:rsidR="0065103E">
        <w:rPr>
          <w:rFonts w:asciiTheme="majorBidi" w:hAnsiTheme="majorBidi" w:cstheme="majorBidi"/>
          <w:sz w:val="20"/>
          <w:szCs w:val="20"/>
        </w:rPr>
        <w:t>)</w:t>
      </w:r>
      <w:r w:rsidR="0065103E" w:rsidRPr="00FE01EF">
        <w:rPr>
          <w:rFonts w:asciiTheme="majorBidi" w:hAnsiTheme="majorBidi" w:cstheme="majorBidi"/>
          <w:sz w:val="20"/>
          <w:szCs w:val="20"/>
        </w:rPr>
        <w:t xml:space="preserve"> analysis of </w:t>
      </w:r>
      <w:r w:rsidR="0065103E" w:rsidRPr="00FE01EF">
        <w:rPr>
          <w:rFonts w:asciiTheme="majorBidi" w:hAnsiTheme="majorBidi" w:cstheme="majorBidi"/>
          <w:i/>
          <w:iCs/>
          <w:sz w:val="20"/>
          <w:szCs w:val="20"/>
        </w:rPr>
        <w:t>IL-18</w:t>
      </w:r>
      <w:r w:rsidR="0065103E">
        <w:rPr>
          <w:rFonts w:asciiTheme="majorBidi" w:hAnsiTheme="majorBidi" w:cstheme="majorBidi"/>
          <w:sz w:val="20"/>
          <w:szCs w:val="20"/>
        </w:rPr>
        <w:t>–</w:t>
      </w:r>
      <w:r w:rsidR="0065103E" w:rsidRPr="00FE01EF">
        <w:rPr>
          <w:rFonts w:asciiTheme="majorBidi" w:hAnsiTheme="majorBidi" w:cstheme="majorBidi"/>
          <w:sz w:val="20"/>
          <w:szCs w:val="20"/>
        </w:rPr>
        <w:t xml:space="preserve">rs187238 </w:t>
      </w:r>
      <w:r w:rsidR="0065103E">
        <w:rPr>
          <w:rFonts w:asciiTheme="majorBidi" w:hAnsiTheme="majorBidi" w:cstheme="majorBidi"/>
          <w:sz w:val="20"/>
          <w:szCs w:val="20"/>
        </w:rPr>
        <w:t xml:space="preserve">C&gt;G </w:t>
      </w:r>
      <w:r w:rsidR="0065103E" w:rsidRPr="00FE01EF">
        <w:rPr>
          <w:rFonts w:asciiTheme="majorBidi" w:hAnsiTheme="majorBidi" w:cstheme="majorBidi"/>
          <w:sz w:val="20"/>
          <w:szCs w:val="20"/>
        </w:rPr>
        <w:t xml:space="preserve">and </w:t>
      </w:r>
      <w:r w:rsidR="0065103E">
        <w:rPr>
          <w:rFonts w:asciiTheme="majorBidi" w:hAnsiTheme="majorBidi" w:cstheme="majorBidi"/>
          <w:sz w:val="20"/>
          <w:szCs w:val="20"/>
        </w:rPr>
        <w:t>–</w:t>
      </w:r>
      <w:r w:rsidR="0065103E" w:rsidRPr="00FE01EF">
        <w:rPr>
          <w:rFonts w:asciiTheme="majorBidi" w:hAnsiTheme="majorBidi" w:cstheme="majorBidi"/>
          <w:sz w:val="20"/>
          <w:szCs w:val="20"/>
        </w:rPr>
        <w:t xml:space="preserve">rs1946518 </w:t>
      </w:r>
      <w:r w:rsidR="0065103E">
        <w:rPr>
          <w:rFonts w:asciiTheme="majorBidi" w:hAnsiTheme="majorBidi" w:cstheme="majorBidi"/>
          <w:sz w:val="20"/>
          <w:szCs w:val="20"/>
        </w:rPr>
        <w:t>T&gt;G SNPs</w:t>
      </w:r>
      <w:r w:rsidR="0065103E">
        <w:rPr>
          <w:rFonts w:asciiTheme="majorBidi" w:hAnsiTheme="majorBidi" w:cstheme="majorBidi"/>
          <w:b/>
          <w:bCs/>
          <w:sz w:val="20"/>
          <w:szCs w:val="20"/>
        </w:rPr>
        <w:t>.</w:t>
      </w:r>
      <w:r w:rsidR="0065103E" w:rsidRPr="00FE01EF">
        <w:rPr>
          <w:rFonts w:asciiTheme="majorBidi" w:hAnsiTheme="majorBidi" w:cstheme="majorBidi"/>
          <w:sz w:val="20"/>
          <w:szCs w:val="20"/>
        </w:rPr>
        <w:t xml:space="preserve"> No </w:t>
      </w:r>
      <w:r w:rsidR="0065103E">
        <w:rPr>
          <w:rFonts w:asciiTheme="majorBidi" w:hAnsiTheme="majorBidi" w:cstheme="majorBidi"/>
          <w:sz w:val="20"/>
          <w:szCs w:val="20"/>
        </w:rPr>
        <w:t>robust</w:t>
      </w:r>
      <w:r w:rsidR="0065103E" w:rsidRPr="00FE01EF">
        <w:rPr>
          <w:rFonts w:asciiTheme="majorBidi" w:hAnsiTheme="majorBidi" w:cstheme="majorBidi"/>
          <w:sz w:val="20"/>
          <w:szCs w:val="20"/>
        </w:rPr>
        <w:t xml:space="preserve"> </w:t>
      </w:r>
      <w:r w:rsidR="0065103E">
        <w:rPr>
          <w:rFonts w:asciiTheme="majorBidi" w:hAnsiTheme="majorBidi" w:cstheme="majorBidi"/>
          <w:sz w:val="20"/>
          <w:szCs w:val="20"/>
        </w:rPr>
        <w:t>linkage disequilibrium</w:t>
      </w:r>
      <w:r w:rsidR="0065103E" w:rsidRPr="00FE01EF">
        <w:rPr>
          <w:rFonts w:asciiTheme="majorBidi" w:hAnsiTheme="majorBidi" w:cstheme="majorBidi"/>
          <w:sz w:val="20"/>
          <w:szCs w:val="20"/>
        </w:rPr>
        <w:t xml:space="preserve"> was </w:t>
      </w:r>
      <w:r w:rsidR="0065103E">
        <w:rPr>
          <w:rFonts w:asciiTheme="majorBidi" w:hAnsiTheme="majorBidi" w:cstheme="majorBidi"/>
          <w:sz w:val="20"/>
          <w:szCs w:val="20"/>
        </w:rPr>
        <w:t>seen</w:t>
      </w:r>
      <w:r w:rsidR="0065103E" w:rsidRPr="00FE01EF">
        <w:rPr>
          <w:rFonts w:asciiTheme="majorBidi" w:hAnsiTheme="majorBidi" w:cstheme="majorBidi"/>
          <w:sz w:val="20"/>
          <w:szCs w:val="20"/>
        </w:rPr>
        <w:t xml:space="preserve"> between the three studied SNPs.</w:t>
      </w:r>
      <w:r w:rsidR="0065103E">
        <w:rPr>
          <w:rFonts w:asciiTheme="majorBidi" w:hAnsiTheme="majorBidi" w:cstheme="majorBidi"/>
          <w:sz w:val="20"/>
          <w:szCs w:val="20"/>
        </w:rPr>
        <w:t xml:space="preserve"> </w:t>
      </w:r>
      <w:r w:rsidR="0065103E" w:rsidRPr="00FE01EF">
        <w:rPr>
          <w:rFonts w:asciiTheme="majorBidi" w:hAnsiTheme="majorBidi" w:cstheme="majorBidi"/>
          <w:i/>
          <w:iCs/>
          <w:sz w:val="20"/>
          <w:szCs w:val="20"/>
        </w:rPr>
        <w:t>IL-18</w:t>
      </w:r>
      <w:r w:rsidR="0065103E">
        <w:rPr>
          <w:rFonts w:asciiTheme="majorBidi" w:hAnsiTheme="majorBidi" w:cstheme="majorBidi"/>
          <w:sz w:val="20"/>
          <w:szCs w:val="20"/>
        </w:rPr>
        <w:t xml:space="preserve">, interleukin 18; SNP, single-nucleotide </w:t>
      </w:r>
      <w:r>
        <w:rPr>
          <w:rFonts w:asciiTheme="majorBidi" w:hAnsiTheme="majorBidi" w:cstheme="majorBidi"/>
          <w:sz w:val="20"/>
          <w:szCs w:val="20"/>
        </w:rPr>
        <w:t xml:space="preserve">polymorphism; </w:t>
      </w:r>
      <w:proofErr w:type="spellStart"/>
      <w:r>
        <w:rPr>
          <w:rFonts w:asciiTheme="majorBidi" w:hAnsiTheme="majorBidi" w:cstheme="majorBidi"/>
          <w:sz w:val="20"/>
          <w:szCs w:val="20"/>
        </w:rPr>
        <w:t>rs</w:t>
      </w:r>
      <w:proofErr w:type="spellEnd"/>
      <w:r>
        <w:rPr>
          <w:rFonts w:asciiTheme="majorBidi" w:hAnsiTheme="majorBidi" w:cstheme="majorBidi"/>
          <w:sz w:val="20"/>
          <w:szCs w:val="20"/>
        </w:rPr>
        <w:t>, reference SNP</w:t>
      </w:r>
    </w:p>
    <w:p w:rsidR="0065103E" w:rsidRDefault="006510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5103E" w:rsidRDefault="0065103E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</w:p>
    <w:p w:rsidR="0065103E" w:rsidRDefault="006510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0F6884">
      <w:pPr>
        <w:jc w:val="center"/>
        <w:rPr>
          <w:rFonts w:asciiTheme="majorBidi" w:hAnsiTheme="majorBidi" w:cstheme="majorBidi"/>
          <w:sz w:val="20"/>
          <w:szCs w:val="20"/>
        </w:rPr>
      </w:pPr>
      <w:r w:rsidRPr="003D75F1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3451AC14" wp14:editId="3C434E10">
            <wp:extent cx="4069621" cy="2747727"/>
            <wp:effectExtent l="0" t="0" r="7620" b="0"/>
            <wp:docPr id="6" name="Picture 6" descr="C:\Users\sistanalaptop\OneDrive\Desktop\WebLog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stanalaptop\OneDrive\Desktop\WebLogo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588" cy="275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13D" w:rsidRDefault="00DA3729" w:rsidP="004F28AD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Supplementary Fig 4</w:t>
      </w:r>
      <w:r w:rsidR="00ED213D" w:rsidRPr="00ED213D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proofErr w:type="gramStart"/>
      <w:r w:rsidR="00ED213D" w:rsidRPr="00ED213D">
        <w:rPr>
          <w:rFonts w:asciiTheme="majorBidi" w:hAnsiTheme="majorBidi" w:cstheme="majorBidi"/>
          <w:sz w:val="20"/>
          <w:szCs w:val="20"/>
        </w:rPr>
        <w:t>The</w:t>
      </w:r>
      <w:proofErr w:type="gramEnd"/>
      <w:r w:rsidR="00ED213D">
        <w:rPr>
          <w:rFonts w:asciiTheme="majorBidi" w:hAnsiTheme="majorBidi" w:cstheme="majorBidi"/>
          <w:sz w:val="20"/>
          <w:szCs w:val="20"/>
        </w:rPr>
        <w:t xml:space="preserve"> </w:t>
      </w:r>
      <w:r w:rsidR="00ED213D">
        <w:rPr>
          <w:rFonts w:asciiTheme="majorBidi" w:hAnsiTheme="majorBidi" w:cstheme="majorBidi"/>
          <w:i/>
          <w:iCs/>
          <w:sz w:val="20"/>
          <w:szCs w:val="20"/>
        </w:rPr>
        <w:t>WebLogo</w:t>
      </w:r>
      <w:r w:rsidR="00ED213D">
        <w:rPr>
          <w:rFonts w:asciiTheme="majorBidi" w:hAnsiTheme="majorBidi" w:cstheme="majorBidi"/>
          <w:sz w:val="20"/>
          <w:szCs w:val="20"/>
        </w:rPr>
        <w:t xml:space="preserve"> server indicated DNA sequence conservation around the studied SNPs loci with a 10-nucleotide flanking region. The red vertical line shows the positions of the SNP locus in humans and the </w:t>
      </w:r>
      <w:r w:rsidR="00ED213D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conservation of wild alleles across multiple mammalian species. </w:t>
      </w:r>
      <w:r w:rsidR="00ED213D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</w:rPr>
        <w:t xml:space="preserve">The height of the y-axis is the maximum entropy for the given sequence type. </w:t>
      </w:r>
      <w:r w:rsidR="00ED213D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The high nucleotide symbols stand for more conservation, while the small and more diverse ones demonstrate less conservation. SNP, single-nucleotide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polymorphism; </w:t>
      </w:r>
      <w:proofErr w:type="spellStart"/>
      <w:r>
        <w:rPr>
          <w:rFonts w:asciiTheme="majorBidi" w:hAnsiTheme="majorBidi" w:cstheme="majorBidi"/>
          <w:color w:val="000000" w:themeColor="text1"/>
          <w:sz w:val="20"/>
          <w:szCs w:val="20"/>
        </w:rPr>
        <w:t>rs</w:t>
      </w:r>
      <w:proofErr w:type="spellEnd"/>
      <w:r>
        <w:rPr>
          <w:rFonts w:asciiTheme="majorBidi" w:hAnsiTheme="majorBidi" w:cstheme="majorBidi"/>
          <w:color w:val="000000" w:themeColor="text1"/>
          <w:sz w:val="20"/>
          <w:szCs w:val="20"/>
        </w:rPr>
        <w:t>, reference SNP</w:t>
      </w: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CA4FAC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33E1E43" wp14:editId="62675F29">
            <wp:extent cx="5942857" cy="3428571"/>
            <wp:effectExtent l="0" t="0" r="127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13D" w:rsidRDefault="00ED213D" w:rsidP="00ED213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Theme="majorBidi" w:hAnsiTheme="majorBidi" w:cstheme="majorBidi"/>
          <w:color w:val="000000" w:themeColor="text1"/>
        </w:rPr>
      </w:pPr>
    </w:p>
    <w:p w:rsidR="00ED213D" w:rsidRDefault="00DA3729" w:rsidP="004F28A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Supplementary Fig 5</w:t>
      </w:r>
      <w:r w:rsidR="00ED213D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ED213D">
        <w:rPr>
          <w:rFonts w:asciiTheme="majorBidi" w:hAnsiTheme="majorBidi" w:cstheme="majorBidi"/>
          <w:sz w:val="20"/>
          <w:szCs w:val="20"/>
        </w:rPr>
        <w:t xml:space="preserve">The </w:t>
      </w:r>
      <w:proofErr w:type="spellStart"/>
      <w:r w:rsidR="00ED213D">
        <w:rPr>
          <w:rFonts w:asciiTheme="majorBidi" w:hAnsiTheme="majorBidi" w:cstheme="majorBidi"/>
          <w:i/>
          <w:iCs/>
          <w:sz w:val="20"/>
          <w:szCs w:val="20"/>
          <w:lang w:val="en"/>
        </w:rPr>
        <w:t>inBio</w:t>
      </w:r>
      <w:proofErr w:type="spellEnd"/>
      <w:r w:rsidR="00ED213D">
        <w:rPr>
          <w:rFonts w:asciiTheme="majorBidi" w:hAnsiTheme="majorBidi" w:cstheme="majorBidi"/>
          <w:i/>
          <w:iCs/>
          <w:sz w:val="20"/>
          <w:szCs w:val="20"/>
          <w:lang w:val="en"/>
        </w:rPr>
        <w:t xml:space="preserve"> Discover</w:t>
      </w:r>
      <w:r w:rsidR="00ED213D">
        <w:rPr>
          <w:rFonts w:asciiTheme="majorBidi" w:hAnsiTheme="majorBidi" w:cstheme="majorBidi"/>
          <w:i/>
          <w:iCs/>
          <w:sz w:val="20"/>
          <w:szCs w:val="20"/>
          <w:vertAlign w:val="superscript"/>
          <w:lang w:val="en"/>
        </w:rPr>
        <w:t>™</w:t>
      </w:r>
      <w:r w:rsidR="00ED213D">
        <w:rPr>
          <w:rFonts w:asciiTheme="majorBidi" w:hAnsiTheme="majorBidi" w:cstheme="majorBidi"/>
          <w:sz w:val="20"/>
          <w:szCs w:val="20"/>
          <w:vertAlign w:val="superscript"/>
          <w:lang w:val="en"/>
        </w:rPr>
        <w:t xml:space="preserve"> </w:t>
      </w:r>
      <w:r w:rsidR="00144DAF">
        <w:rPr>
          <w:rFonts w:asciiTheme="majorBidi" w:hAnsiTheme="majorBidi" w:cstheme="majorBidi"/>
          <w:sz w:val="20"/>
          <w:szCs w:val="20"/>
        </w:rPr>
        <w:t>database (available at</w:t>
      </w:r>
      <w:r w:rsidR="00ED213D">
        <w:rPr>
          <w:rFonts w:asciiTheme="majorBidi" w:hAnsiTheme="majorBidi" w:cstheme="majorBidi"/>
          <w:sz w:val="20"/>
          <w:szCs w:val="20"/>
        </w:rPr>
        <w:t xml:space="preserve"> </w:t>
      </w:r>
      <w:hyperlink r:id="rId15" w:anchor="_blank" w:history="1">
        <w:r w:rsidR="00ED213D">
          <w:rPr>
            <w:rStyle w:val="Hyperlink"/>
            <w:rFonts w:asciiTheme="majorBidi" w:hAnsiTheme="majorBidi" w:cstheme="majorBidi"/>
            <w:sz w:val="20"/>
            <w:szCs w:val="20"/>
          </w:rPr>
          <w:t>https://inbio-discover.intomics.com/map.html</w:t>
        </w:r>
      </w:hyperlink>
      <w:r w:rsidR="00ED213D">
        <w:rPr>
          <w:rFonts w:asciiTheme="majorBidi" w:hAnsiTheme="majorBidi" w:cstheme="majorBidi"/>
          <w:sz w:val="20"/>
          <w:szCs w:val="20"/>
        </w:rPr>
        <w:t>)</w:t>
      </w:r>
      <w:r w:rsidR="00ED213D">
        <w:rPr>
          <w:rFonts w:asciiTheme="majorBidi" w:hAnsiTheme="majorBidi" w:cstheme="majorBidi"/>
          <w:sz w:val="20"/>
          <w:szCs w:val="20"/>
          <w:lang w:val="en"/>
        </w:rPr>
        <w:t xml:space="preserve"> </w:t>
      </w:r>
      <w:r w:rsidR="00ED213D">
        <w:rPr>
          <w:rFonts w:asciiTheme="majorBidi" w:hAnsiTheme="majorBidi" w:cstheme="majorBidi"/>
          <w:sz w:val="20"/>
          <w:szCs w:val="20"/>
        </w:rPr>
        <w:t xml:space="preserve">predicted the protein-protein interaction network of IL-18. </w:t>
      </w:r>
      <w:r w:rsidR="00ED213D">
        <w:rPr>
          <w:rFonts w:asciiTheme="majorBidi" w:hAnsiTheme="majorBidi" w:cstheme="majorBidi"/>
          <w:sz w:val="20"/>
          <w:szCs w:val="20"/>
          <w:lang w:bidi="fa-IR"/>
        </w:rPr>
        <w:t xml:space="preserve">Edges </w:t>
      </w:r>
      <w:r w:rsidR="00144DAF">
        <w:rPr>
          <w:rFonts w:asciiTheme="majorBidi" w:hAnsiTheme="majorBidi" w:cstheme="majorBidi"/>
          <w:sz w:val="20"/>
          <w:szCs w:val="20"/>
          <w:lang w:bidi="fa-IR"/>
        </w:rPr>
        <w:t>along</w:t>
      </w:r>
      <w:r w:rsidR="00ED213D">
        <w:rPr>
          <w:rFonts w:asciiTheme="majorBidi" w:hAnsiTheme="majorBidi" w:cstheme="majorBidi"/>
          <w:sz w:val="20"/>
          <w:szCs w:val="20"/>
          <w:lang w:bidi="fa-IR"/>
        </w:rPr>
        <w:t xml:space="preserve"> which </w:t>
      </w:r>
      <w:r w:rsidR="00ED213D">
        <w:rPr>
          <w:rFonts w:asciiTheme="majorBidi" w:eastAsia="Calibri" w:hAnsiTheme="majorBidi" w:cstheme="majorBidi"/>
          <w:sz w:val="20"/>
          <w:szCs w:val="20"/>
        </w:rPr>
        <w:t xml:space="preserve">proteins </w:t>
      </w:r>
      <w:r w:rsidR="00144DAF">
        <w:rPr>
          <w:rFonts w:asciiTheme="majorBidi" w:eastAsia="Calibri" w:hAnsiTheme="majorBidi" w:cstheme="majorBidi"/>
          <w:sz w:val="20"/>
          <w:szCs w:val="20"/>
        </w:rPr>
        <w:t>interact</w:t>
      </w:r>
      <w:r w:rsidR="00ED213D">
        <w:rPr>
          <w:rFonts w:asciiTheme="majorBidi" w:eastAsia="Calibri" w:hAnsiTheme="majorBidi" w:cstheme="majorBidi"/>
          <w:sz w:val="20"/>
          <w:szCs w:val="20"/>
        </w:rPr>
        <w:t xml:space="preserve"> are indicated in </w:t>
      </w:r>
      <w:r w:rsidR="00144DAF">
        <w:rPr>
          <w:rFonts w:asciiTheme="majorBidi" w:eastAsia="Calibri" w:hAnsiTheme="majorBidi" w:cstheme="majorBidi"/>
          <w:b/>
          <w:bCs/>
          <w:sz w:val="20"/>
          <w:szCs w:val="20"/>
        </w:rPr>
        <w:t>b</w:t>
      </w:r>
      <w:r w:rsidR="00ED213D">
        <w:rPr>
          <w:rFonts w:asciiTheme="majorBidi" w:eastAsia="Calibri" w:hAnsiTheme="majorBidi" w:cstheme="majorBidi"/>
          <w:b/>
          <w:bCs/>
          <w:sz w:val="20"/>
          <w:szCs w:val="20"/>
        </w:rPr>
        <w:t>old</w:t>
      </w:r>
      <w:r w:rsidR="00ED213D">
        <w:rPr>
          <w:rFonts w:asciiTheme="majorBidi" w:hAnsiTheme="majorBidi" w:cstheme="majorBidi"/>
          <w:sz w:val="20"/>
          <w:szCs w:val="20"/>
        </w:rPr>
        <w:t>. CASP1, caspase 1; CASP4, caspase 4; TDGF1, teratocarcinoma-derived growth factor 1; ZNF747, zinc-finger protein 747; IL-6, interleukin 6; CDK15, cyclin-dependent kinase 15; SERPINB4, serpin B4; IL-18, interleukin 18; IL-18RAP, interleukin 18 receptor accessory protein; IL-18R1, interleukin 18 receptor 1; IL-18BP, interleukin 18-binding protein;</w:t>
      </w:r>
      <w:r>
        <w:rPr>
          <w:rFonts w:asciiTheme="majorBidi" w:hAnsiTheme="majorBidi" w:cstheme="majorBidi"/>
          <w:sz w:val="20"/>
          <w:szCs w:val="20"/>
        </w:rPr>
        <w:t xml:space="preserve"> WASHC3, WASH complex subunit 3</w:t>
      </w: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p w:rsidR="00ED213D" w:rsidRDefault="00ED213D" w:rsidP="00CA4FAC">
      <w:pPr>
        <w:jc w:val="center"/>
        <w:rPr>
          <w:rFonts w:asciiTheme="majorBidi" w:hAnsiTheme="majorBidi" w:cstheme="majorBidi"/>
          <w:sz w:val="20"/>
          <w:szCs w:val="20"/>
        </w:rPr>
      </w:pPr>
      <w:r w:rsidRPr="00B07BD0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7B331E17" wp14:editId="731659C1">
            <wp:extent cx="5943600" cy="3331210"/>
            <wp:effectExtent l="0" t="0" r="0" b="2540"/>
            <wp:docPr id="7" name="Picture 7" descr="C:\Users\sistanalaptop\OneDrive\Desktop\CD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stanalaptop\OneDrive\Desktop\CD14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13D" w:rsidRPr="00CA4FAC" w:rsidRDefault="00DA3729" w:rsidP="004F28AD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Supplementary Fig 6</w:t>
      </w:r>
      <w:r w:rsidR="00ED213D" w:rsidRPr="00CA4FAC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ED213D" w:rsidRPr="00CA4FAC">
        <w:rPr>
          <w:rFonts w:asciiTheme="majorBidi" w:hAnsiTheme="majorBidi" w:cstheme="majorBidi"/>
          <w:sz w:val="20"/>
          <w:szCs w:val="20"/>
        </w:rPr>
        <w:t xml:space="preserve">The </w:t>
      </w:r>
      <w:proofErr w:type="spellStart"/>
      <w:r w:rsidR="00ED213D" w:rsidRPr="00CA4FAC">
        <w:rPr>
          <w:rFonts w:asciiTheme="majorBidi" w:hAnsiTheme="majorBidi" w:cstheme="majorBidi"/>
          <w:i/>
          <w:iCs/>
          <w:sz w:val="20"/>
          <w:szCs w:val="20"/>
          <w:lang w:val="en"/>
        </w:rPr>
        <w:t>inBio</w:t>
      </w:r>
      <w:proofErr w:type="spellEnd"/>
      <w:r w:rsidR="00ED213D" w:rsidRPr="00CA4FAC">
        <w:rPr>
          <w:rFonts w:asciiTheme="majorBidi" w:hAnsiTheme="majorBidi" w:cstheme="majorBidi"/>
          <w:i/>
          <w:iCs/>
          <w:sz w:val="20"/>
          <w:szCs w:val="20"/>
          <w:lang w:val="en"/>
        </w:rPr>
        <w:t xml:space="preserve"> Discover</w:t>
      </w:r>
      <w:r w:rsidR="00ED213D" w:rsidRPr="00CA4FAC">
        <w:rPr>
          <w:rFonts w:asciiTheme="majorBidi" w:hAnsiTheme="majorBidi" w:cstheme="majorBidi"/>
          <w:i/>
          <w:iCs/>
          <w:sz w:val="20"/>
          <w:szCs w:val="20"/>
          <w:vertAlign w:val="superscript"/>
          <w:lang w:val="en"/>
        </w:rPr>
        <w:t>™</w:t>
      </w:r>
      <w:r w:rsidR="00CA4FAC">
        <w:rPr>
          <w:rFonts w:asciiTheme="majorBidi" w:hAnsiTheme="majorBidi" w:cstheme="majorBidi"/>
          <w:sz w:val="20"/>
          <w:szCs w:val="20"/>
          <w:vertAlign w:val="superscript"/>
          <w:lang w:val="en"/>
        </w:rPr>
        <w:t xml:space="preserve"> </w:t>
      </w:r>
      <w:r w:rsidR="00144DAF" w:rsidRPr="00CA4FAC">
        <w:rPr>
          <w:rFonts w:asciiTheme="majorBidi" w:hAnsiTheme="majorBidi" w:cstheme="majorBidi"/>
          <w:sz w:val="20"/>
          <w:szCs w:val="20"/>
        </w:rPr>
        <w:t>database (available at</w:t>
      </w:r>
      <w:r w:rsidR="00ED213D" w:rsidRPr="00CA4FAC">
        <w:rPr>
          <w:rFonts w:asciiTheme="majorBidi" w:hAnsiTheme="majorBidi" w:cstheme="majorBidi"/>
          <w:sz w:val="20"/>
          <w:szCs w:val="20"/>
        </w:rPr>
        <w:t xml:space="preserve"> </w:t>
      </w:r>
      <w:hyperlink r:id="rId17" w:anchor="_blank" w:history="1">
        <w:r w:rsidR="00ED213D" w:rsidRPr="00CA4FAC">
          <w:rPr>
            <w:rStyle w:val="Hyperlink"/>
            <w:rFonts w:asciiTheme="majorBidi" w:hAnsiTheme="majorBidi" w:cstheme="majorBidi"/>
            <w:sz w:val="20"/>
            <w:szCs w:val="20"/>
          </w:rPr>
          <w:t>https://inbio-discover.intomics.com/map.html</w:t>
        </w:r>
      </w:hyperlink>
      <w:r w:rsidR="00ED213D" w:rsidRPr="00CA4FAC">
        <w:rPr>
          <w:rFonts w:asciiTheme="majorBidi" w:hAnsiTheme="majorBidi" w:cstheme="majorBidi"/>
          <w:sz w:val="20"/>
          <w:szCs w:val="20"/>
        </w:rPr>
        <w:t>)</w:t>
      </w:r>
      <w:r w:rsidR="00ED213D" w:rsidRPr="00CA4FAC">
        <w:rPr>
          <w:rFonts w:asciiTheme="majorBidi" w:hAnsiTheme="majorBidi" w:cstheme="majorBidi"/>
          <w:sz w:val="20"/>
          <w:szCs w:val="20"/>
          <w:lang w:val="en"/>
        </w:rPr>
        <w:t xml:space="preserve"> </w:t>
      </w:r>
      <w:r w:rsidR="00ED213D" w:rsidRPr="00CA4FAC">
        <w:rPr>
          <w:rFonts w:asciiTheme="majorBidi" w:hAnsiTheme="majorBidi" w:cstheme="majorBidi"/>
          <w:sz w:val="20"/>
          <w:szCs w:val="20"/>
        </w:rPr>
        <w:t xml:space="preserve">predicted the protein-protein interaction network of CD14. </w:t>
      </w:r>
      <w:proofErr w:type="gramStart"/>
      <w:r w:rsidR="00ED213D" w:rsidRPr="00CA4FAC">
        <w:rPr>
          <w:rFonts w:asciiTheme="majorBidi" w:hAnsiTheme="majorBidi" w:cstheme="majorBidi"/>
          <w:sz w:val="20"/>
          <w:szCs w:val="20"/>
        </w:rPr>
        <w:t>CD14, cluster of differentiation antigen 14; LY96, lymphocyte antigen 96; TANK, TRAF family member-associated NF-</w:t>
      </w:r>
      <w:proofErr w:type="spellStart"/>
      <w:r w:rsidR="00ED213D" w:rsidRPr="00CA4FAC">
        <w:rPr>
          <w:rFonts w:asciiTheme="majorBidi" w:hAnsiTheme="majorBidi" w:cstheme="majorBidi"/>
          <w:sz w:val="20"/>
          <w:szCs w:val="20"/>
        </w:rPr>
        <w:t>kappaB</w:t>
      </w:r>
      <w:proofErr w:type="spellEnd"/>
      <w:r w:rsidR="00ED213D" w:rsidRPr="00CA4FAC">
        <w:rPr>
          <w:rFonts w:asciiTheme="majorBidi" w:hAnsiTheme="majorBidi" w:cstheme="majorBidi"/>
          <w:sz w:val="20"/>
          <w:szCs w:val="20"/>
        </w:rPr>
        <w:t xml:space="preserve"> activator; IRF3, interferon regulatory factor 3; MYD88, myeloid differentiation primary response protein MyD88; TAB2, TGF-beta-activated kinase 1 and MAP3K7-binding protein 2; TAB1, TGF-beta-activated kinase 1 and MAP3K7-binding protein 1; RIPK3, receptor-interacting serine/threonine-protein kinase 3; IKBKE, inhibitor of nuclear factor </w:t>
      </w:r>
      <w:proofErr w:type="spellStart"/>
      <w:r w:rsidR="00ED213D" w:rsidRPr="00CA4FAC">
        <w:rPr>
          <w:rFonts w:asciiTheme="majorBidi" w:hAnsiTheme="majorBidi" w:cstheme="majorBidi"/>
          <w:sz w:val="20"/>
          <w:szCs w:val="20"/>
        </w:rPr>
        <w:t>kappaB</w:t>
      </w:r>
      <w:proofErr w:type="spellEnd"/>
      <w:r w:rsidR="00ED213D" w:rsidRPr="00CA4FAC">
        <w:rPr>
          <w:rFonts w:asciiTheme="majorBidi" w:hAnsiTheme="majorBidi" w:cstheme="majorBidi"/>
          <w:sz w:val="20"/>
          <w:szCs w:val="20"/>
        </w:rPr>
        <w:t xml:space="preserve"> kinase subunit beta; TLR4, toll-like receptor 4; TAB3, TGF-beta-activated kinase 1 and MAP3K7-binding protein 3; TLR2, toll-like receptor 2; LBP, lipopolysaccharide-binding protein; FADD, FAS-associated death domain protein; TIRAP, toll/interleukin 1 receptor domain-containing adapter protein; ITGAM, integrin alpha-M; TLR6, toll-like receptor 6; IRAK1, interleukin 1 receptor-associated kinase 1; IRF7, interferon regulatory factor 7; TLR1, toll-like receptor 1; TRAF3, TNF receptor-associated factor 3; RIPK1, receptor-interacting serine/threonine-protein kinase 1; IRAK2, interleukin 1 receptor-associated kinase-like 2; IRAK4, interleukin 1 receptor-associated kinase-like 4; CD36, platelet glycoprotein 4 (or cluster of differentiation antigen 36); SARM1, NAD</w:t>
      </w:r>
      <w:r w:rsidR="00ED213D" w:rsidRPr="00CA4FAC">
        <w:rPr>
          <w:rFonts w:asciiTheme="majorBidi" w:hAnsiTheme="majorBidi" w:cstheme="majorBidi"/>
          <w:sz w:val="20"/>
          <w:szCs w:val="20"/>
          <w:vertAlign w:val="superscript"/>
        </w:rPr>
        <w:t>+</w:t>
      </w:r>
      <w:r w:rsidR="00ED213D" w:rsidRPr="00CA4FAC">
        <w:rPr>
          <w:rFonts w:asciiTheme="majorBidi" w:hAnsiTheme="majorBidi" w:cstheme="majorBidi"/>
          <w:sz w:val="20"/>
          <w:szCs w:val="20"/>
        </w:rPr>
        <w:t xml:space="preserve"> hydrolase SARM1; BTK, tyrosine-protein kinase BTK; TICAM2, TIR domain-containing adapter molecule 2; TICAM1, TIR domai</w:t>
      </w:r>
      <w:r>
        <w:rPr>
          <w:rFonts w:asciiTheme="majorBidi" w:hAnsiTheme="majorBidi" w:cstheme="majorBidi"/>
          <w:sz w:val="20"/>
          <w:szCs w:val="20"/>
        </w:rPr>
        <w:t>n-containing adapter molecule 1</w:t>
      </w:r>
      <w:proofErr w:type="gramEnd"/>
    </w:p>
    <w:p w:rsidR="00ED213D" w:rsidRPr="00AE6777" w:rsidRDefault="00ED213D" w:rsidP="00AE6777">
      <w:pPr>
        <w:jc w:val="both"/>
        <w:rPr>
          <w:rFonts w:asciiTheme="majorBidi" w:hAnsiTheme="majorBidi" w:cstheme="majorBidi"/>
          <w:sz w:val="20"/>
          <w:szCs w:val="20"/>
        </w:rPr>
      </w:pPr>
    </w:p>
    <w:sectPr w:rsidR="00ED213D" w:rsidRPr="00AE6777" w:rsidSect="007E341A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1EF" w:rsidRDefault="00BF41EF" w:rsidP="007E341A">
      <w:pPr>
        <w:spacing w:after="0" w:line="240" w:lineRule="auto"/>
      </w:pPr>
      <w:r>
        <w:separator/>
      </w:r>
    </w:p>
  </w:endnote>
  <w:endnote w:type="continuationSeparator" w:id="0">
    <w:p w:rsidR="00BF41EF" w:rsidRDefault="00BF41EF" w:rsidP="007E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0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18425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20D9" w:rsidRDefault="00F620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620D9" w:rsidRDefault="00F620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1EF" w:rsidRDefault="00BF41EF" w:rsidP="007E341A">
      <w:pPr>
        <w:spacing w:after="0" w:line="240" w:lineRule="auto"/>
      </w:pPr>
      <w:r>
        <w:separator/>
      </w:r>
    </w:p>
  </w:footnote>
  <w:footnote w:type="continuationSeparator" w:id="0">
    <w:p w:rsidR="00BF41EF" w:rsidRDefault="00BF41EF" w:rsidP="007E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0D9" w:rsidRPr="00F620D9" w:rsidRDefault="007E341A" w:rsidP="00F620D9">
    <w:pPr>
      <w:jc w:val="center"/>
      <w:rPr>
        <w:rFonts w:asciiTheme="majorBidi" w:hAnsiTheme="majorBidi" w:cstheme="majorBidi"/>
        <w:b/>
        <w:bCs/>
        <w:i/>
        <w:iCs/>
        <w:sz w:val="28"/>
        <w:szCs w:val="28"/>
      </w:rPr>
    </w:pPr>
    <w:proofErr w:type="spellStart"/>
    <w:r w:rsidRPr="00F620D9">
      <w:rPr>
        <w:rFonts w:asciiTheme="majorBidi" w:hAnsiTheme="majorBidi" w:cstheme="majorBidi"/>
        <w:b/>
        <w:bCs/>
        <w:i/>
        <w:iCs/>
        <w:sz w:val="28"/>
        <w:szCs w:val="28"/>
      </w:rPr>
      <w:t>Hepatology</w:t>
    </w:r>
    <w:proofErr w:type="spellEnd"/>
    <w:r w:rsidRPr="00F620D9">
      <w:rPr>
        <w:rFonts w:asciiTheme="majorBidi" w:hAnsiTheme="majorBidi" w:cstheme="majorBidi"/>
        <w:b/>
        <w:bCs/>
        <w:i/>
        <w:iCs/>
        <w:sz w:val="28"/>
        <w:szCs w:val="28"/>
      </w:rPr>
      <w:t xml:space="preserve"> International</w:t>
    </w:r>
    <w:r w:rsidR="00F620D9" w:rsidRPr="00F620D9">
      <w:rPr>
        <w:rFonts w:asciiTheme="majorBidi" w:hAnsiTheme="majorBidi" w:cstheme="majorBidi"/>
        <w:b/>
        <w:bCs/>
        <w:i/>
        <w:iCs/>
        <w:sz w:val="28"/>
        <w:szCs w:val="28"/>
      </w:rPr>
      <w:t xml:space="preserve"> </w:t>
    </w:r>
    <w:r w:rsidR="00F620D9">
      <w:rPr>
        <w:rFonts w:asciiTheme="majorBidi" w:hAnsiTheme="majorBidi" w:cstheme="majorBidi"/>
        <w:b/>
        <w:bCs/>
        <w:i/>
        <w:iCs/>
        <w:sz w:val="28"/>
        <w:szCs w:val="28"/>
      </w:rPr>
      <w:t xml:space="preserve">                                            </w:t>
    </w:r>
    <w:r w:rsidR="00F620D9" w:rsidRPr="00F620D9">
      <w:rPr>
        <w:rFonts w:asciiTheme="majorBidi" w:hAnsiTheme="majorBidi" w:cstheme="majorBidi"/>
        <w:b/>
        <w:bCs/>
        <w:i/>
        <w:iCs/>
        <w:sz w:val="28"/>
        <w:szCs w:val="28"/>
      </w:rPr>
      <w:t>Supplementary Information</w:t>
    </w:r>
  </w:p>
  <w:p w:rsidR="007E341A" w:rsidRPr="007E341A" w:rsidRDefault="007E341A">
    <w:pPr>
      <w:pStyle w:val="Header"/>
      <w:rPr>
        <w:rFonts w:asciiTheme="majorBidi" w:hAnsiTheme="majorBidi" w:cstheme="majorBidi"/>
        <w:i/>
        <w:i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2tjQwNLcwM7QwMjdW0lEKTi0uzszPAymwrAUAhgJgbiwAAAA="/>
  </w:docVars>
  <w:rsids>
    <w:rsidRoot w:val="00081FFB"/>
    <w:rsid w:val="00081FFB"/>
    <w:rsid w:val="000F6884"/>
    <w:rsid w:val="00144DAF"/>
    <w:rsid w:val="00307EE2"/>
    <w:rsid w:val="00391865"/>
    <w:rsid w:val="004F28AD"/>
    <w:rsid w:val="0065103E"/>
    <w:rsid w:val="00697B90"/>
    <w:rsid w:val="006E5A2D"/>
    <w:rsid w:val="00703464"/>
    <w:rsid w:val="007A0FC8"/>
    <w:rsid w:val="007E341A"/>
    <w:rsid w:val="00881863"/>
    <w:rsid w:val="009B2CD0"/>
    <w:rsid w:val="00A258CB"/>
    <w:rsid w:val="00A55C6D"/>
    <w:rsid w:val="00AE6777"/>
    <w:rsid w:val="00AF1E65"/>
    <w:rsid w:val="00B05C2C"/>
    <w:rsid w:val="00B472A3"/>
    <w:rsid w:val="00BF41EF"/>
    <w:rsid w:val="00CA4FAC"/>
    <w:rsid w:val="00CA759F"/>
    <w:rsid w:val="00DA3729"/>
    <w:rsid w:val="00ED213D"/>
    <w:rsid w:val="00EE0564"/>
    <w:rsid w:val="00F620D9"/>
    <w:rsid w:val="00F7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68097"/>
  <w15:chartTrackingRefBased/>
  <w15:docId w15:val="{9351B1B2-CAF8-41EA-8272-115465F71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D213D"/>
  </w:style>
  <w:style w:type="table" w:customStyle="1" w:styleId="TableGrid1">
    <w:name w:val="Table Grid1"/>
    <w:basedOn w:val="TableNormal"/>
    <w:uiPriority w:val="39"/>
    <w:rsid w:val="00ED213D"/>
    <w:pPr>
      <w:spacing w:after="0" w:line="240" w:lineRule="auto"/>
    </w:pPr>
    <w:rPr>
      <w:rFonts w:ascii="Times New Roman" w:hAnsi="Times New Roman" w:cs="0 Nazani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D213D"/>
    <w:rPr>
      <w:b/>
      <w:bCs/>
    </w:rPr>
  </w:style>
  <w:style w:type="character" w:styleId="Hyperlink">
    <w:name w:val="Hyperlink"/>
    <w:basedOn w:val="DefaultParagraphFont"/>
    <w:uiPriority w:val="99"/>
    <w:unhideWhenUsed/>
    <w:rsid w:val="00ED213D"/>
    <w:rPr>
      <w:color w:val="0563C1" w:themeColor="hyperlink"/>
      <w:u w:val="single"/>
    </w:rPr>
  </w:style>
  <w:style w:type="table" w:customStyle="1" w:styleId="TableGrid3">
    <w:name w:val="Table Grid3"/>
    <w:basedOn w:val="TableNormal"/>
    <w:next w:val="TableGrid"/>
    <w:uiPriority w:val="39"/>
    <w:rsid w:val="00651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51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341A"/>
    <w:pPr>
      <w:ind w:left="720"/>
      <w:contextualSpacing/>
    </w:pPr>
    <w:rPr>
      <w:rFonts w:ascii="Times New Roman" w:hAnsi="Times New Roman" w:cs="0 Nazani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E34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41A"/>
  </w:style>
  <w:style w:type="paragraph" w:styleId="Footer">
    <w:name w:val="footer"/>
    <w:basedOn w:val="Normal"/>
    <w:link w:val="FooterChar"/>
    <w:uiPriority w:val="99"/>
    <w:unhideWhenUsed/>
    <w:rsid w:val="007E34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hdimajidpour@gmail.com" TargetMode="External"/><Relationship Id="rId13" Type="http://schemas.openxmlformats.org/officeDocument/2006/relationships/image" Target="media/image4.tif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e.pahlavani@zaums.ac.ir" TargetMode="External"/><Relationship Id="rId12" Type="http://schemas.openxmlformats.org/officeDocument/2006/relationships/image" Target="media/image3.tiff"/><Relationship Id="rId17" Type="http://schemas.openxmlformats.org/officeDocument/2006/relationships/hyperlink" Target="https://inbio-discover.intomics.com/map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6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inbio-discover.intomics.com/map.html" TargetMode="External"/><Relationship Id="rId10" Type="http://schemas.openxmlformats.org/officeDocument/2006/relationships/hyperlink" Target="http://www.genome.ucsc.edu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81718-3A75-4005-A5D5-3D9E05C39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8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SARHADI</dc:creator>
  <cp:keywords/>
  <dc:description/>
  <cp:lastModifiedBy>MOHAMMAD SARHADI</cp:lastModifiedBy>
  <cp:revision>25</cp:revision>
  <dcterms:created xsi:type="dcterms:W3CDTF">2022-09-11T03:03:00Z</dcterms:created>
  <dcterms:modified xsi:type="dcterms:W3CDTF">2022-10-11T18:11:00Z</dcterms:modified>
</cp:coreProperties>
</file>