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77E" w:rsidRPr="005D0AE7" w:rsidRDefault="008E7341">
      <w:pPr>
        <w:spacing w:line="480" w:lineRule="auto"/>
        <w:ind w:firstLineChars="150" w:firstLine="66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D0AE7">
        <w:rPr>
          <w:rFonts w:ascii="Times New Roman" w:hAnsi="Times New Roman" w:cs="Times New Roman"/>
          <w:b/>
          <w:sz w:val="44"/>
          <w:szCs w:val="44"/>
        </w:rPr>
        <w:t>Supplementary Material</w:t>
      </w:r>
    </w:p>
    <w:p w:rsidR="005A777E" w:rsidRPr="005D0AE7" w:rsidRDefault="008E7341">
      <w:pPr>
        <w:spacing w:line="48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D0A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Preparation of Self</w:t>
      </w:r>
      <w:r w:rsidRPr="005D0A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r w:rsidRPr="005D0A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assembled Starch</w:t>
      </w:r>
      <w:r w:rsidRPr="005D0A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r w:rsidRPr="005D0A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based Organometallic Polymers and Their Efficient Adsorption of Mercury Ion in Water</w:t>
      </w:r>
    </w:p>
    <w:p w:rsidR="005A777E" w:rsidRPr="005D0AE7" w:rsidRDefault="008E7341">
      <w:pPr>
        <w:spacing w:line="48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Chao Geng, </w:t>
      </w: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PeiLin Yang, </w:t>
      </w: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Ruikang Lin, </w:t>
      </w: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Li Guo, Chao Yuan, </w:t>
      </w:r>
      <w:r w:rsidR="005D0AE7"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Bo Cui</w:t>
      </w:r>
      <w:r w:rsidR="005D0AE7"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, Yishan Fang</w:t>
      </w: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, </w:t>
      </w:r>
    </w:p>
    <w:p w:rsidR="005A777E" w:rsidRPr="005D0AE7" w:rsidRDefault="008E7341">
      <w:pPr>
        <w:widowControl/>
        <w:spacing w:line="480" w:lineRule="auto"/>
        <w:rPr>
          <w:rFonts w:ascii="Times New Roman" w:eastAsia="宋体" w:hAnsi="Times New Roman" w:cs="Times New Roman"/>
        </w:rPr>
      </w:pP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State Key Laboratory of Biobased Material and Green Papermaking, School of Food Science and Engineering, Qilu University of Technology, Shandong Academy of Sciences, Jinan, 250353 , China. </w:t>
      </w:r>
    </w:p>
    <w:p w:rsidR="005A777E" w:rsidRPr="005D0AE7" w:rsidRDefault="008E7341">
      <w:pPr>
        <w:widowControl/>
        <w:spacing w:line="480" w:lineRule="auto"/>
        <w:rPr>
          <w:rFonts w:ascii="Times New Roman" w:hAnsi="Times New Roman" w:cs="Times New Roman"/>
        </w:rPr>
      </w:pP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Tel. /fax: +86 0531 89631195 (Y. Fang</w:t>
      </w: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i</w:t>
      </w: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) </w:t>
      </w:r>
    </w:p>
    <w:p w:rsidR="005A777E" w:rsidRPr="005D0AE7" w:rsidRDefault="008E7341">
      <w:pPr>
        <w:widowControl/>
        <w:spacing w:line="480" w:lineRule="auto"/>
        <w:rPr>
          <w:rFonts w:ascii="Times New Roman" w:eastAsia="宋体" w:hAnsi="Times New Roman" w:cs="Times New Roman"/>
        </w:rPr>
      </w:pP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E-mail address: </w:t>
      </w:r>
      <w:r w:rsidRPr="005D0AE7">
        <w:rPr>
          <w:rFonts w:ascii="Times New Roman" w:eastAsia="宋体" w:hAnsi="Times New Roman" w:cs="Times New Roman"/>
          <w:color w:val="0000FF"/>
          <w:kern w:val="0"/>
          <w:sz w:val="24"/>
          <w:szCs w:val="24"/>
          <w:lang w:bidi="ar"/>
        </w:rPr>
        <w:t>fa</w:t>
      </w:r>
      <w:r w:rsidRPr="005D0AE7">
        <w:rPr>
          <w:rFonts w:ascii="Times New Roman" w:eastAsia="宋体" w:hAnsi="Times New Roman" w:cs="Times New Roman"/>
          <w:color w:val="0000FF"/>
          <w:kern w:val="0"/>
          <w:sz w:val="24"/>
          <w:szCs w:val="24"/>
          <w:lang w:bidi="ar"/>
        </w:rPr>
        <w:t xml:space="preserve">ngysh123@qlu.edu.cn </w:t>
      </w:r>
      <w:r w:rsidRPr="005D0AE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(Y. Fang)</w:t>
      </w: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8E7341">
      <w:pPr>
        <w:spacing w:line="480" w:lineRule="auto"/>
        <w:rPr>
          <w:rFonts w:ascii="Times New Roman" w:eastAsia="微软雅黑" w:hAnsi="Times New Roman" w:cs="Times New Roman"/>
          <w:b/>
          <w:color w:val="000000"/>
          <w:kern w:val="0"/>
          <w:sz w:val="28"/>
          <w:szCs w:val="28"/>
        </w:rPr>
      </w:pPr>
      <w:r w:rsidRPr="005D0AE7">
        <w:rPr>
          <w:rFonts w:ascii="Times New Roman" w:eastAsia="微软雅黑" w:hAnsi="Times New Roman" w:cs="Times New Roman"/>
          <w:b/>
          <w:color w:val="000000"/>
          <w:kern w:val="0"/>
          <w:sz w:val="28"/>
          <w:szCs w:val="28"/>
        </w:rPr>
        <w:lastRenderedPageBreak/>
        <w:t>Experimental details</w:t>
      </w:r>
    </w:p>
    <w:p w:rsidR="005A777E" w:rsidRPr="005D0AE7" w:rsidRDefault="008E7341">
      <w:pPr>
        <w:spacing w:line="480" w:lineRule="auto"/>
        <w:rPr>
          <w:rFonts w:ascii="Times New Roman" w:eastAsia="GulliverRM" w:hAnsi="Times New Roman" w:cs="Times New Roman"/>
          <w:b/>
          <w:bCs/>
          <w:kern w:val="0"/>
          <w:sz w:val="24"/>
          <w:szCs w:val="24"/>
        </w:rPr>
      </w:pPr>
      <w:r w:rsidRPr="005D0AE7">
        <w:rPr>
          <w:rFonts w:ascii="Times New Roman" w:eastAsia="GulliverRM" w:hAnsi="Times New Roman" w:cs="Times New Roman"/>
          <w:b/>
          <w:bCs/>
          <w:kern w:val="0"/>
          <w:sz w:val="24"/>
          <w:szCs w:val="24"/>
        </w:rPr>
        <w:t>Materials</w:t>
      </w:r>
    </w:p>
    <w:p w:rsidR="005A777E" w:rsidRPr="005D0AE7" w:rsidRDefault="008E7341">
      <w:pPr>
        <w:spacing w:line="480" w:lineRule="auto"/>
        <w:ind w:firstLineChars="150" w:firstLine="360"/>
        <w:rPr>
          <w:rFonts w:ascii="Times New Roman" w:eastAsia="GulliverRM" w:hAnsi="Times New Roman" w:cs="Times New Roman"/>
          <w:kern w:val="0"/>
          <w:sz w:val="24"/>
          <w:szCs w:val="24"/>
        </w:rPr>
      </w:pP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All chemical reagents were used as received without further purification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unless otherwise specified. The Glycerol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w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as purchased from Tianjin FUYU CHEMICAL Co., LTD and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the tungsten chloride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 w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as purchased from Shanghai Maclin Biochemical Technology Co., LTD. T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he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 potato starch was obtained by Gansu harvest Agricultural Technology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 Co., Ltd and The thiourea was purchased from Tianjin Zhiyuan Chemical Reagent Co. LTD.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Potassium dihydrogen phosphate, dipotassium hydrogenphosphate, hydrochloric acid and sodium hydroxide were purchased from Tianjin Dingsheng Xinhua Co., LTD. The solutio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ns were prepared with ultrapure water. </w:t>
      </w:r>
    </w:p>
    <w:p w:rsidR="005A777E" w:rsidRPr="005D0AE7" w:rsidRDefault="008E7341">
      <w:pPr>
        <w:autoSpaceDE w:val="0"/>
        <w:autoSpaceDN w:val="0"/>
        <w:adjustRightInd w:val="0"/>
        <w:spacing w:line="480" w:lineRule="auto"/>
        <w:rPr>
          <w:rFonts w:ascii="Times New Roman" w:eastAsia="GulliverRM" w:hAnsi="Times New Roman" w:cs="Times New Roman"/>
          <w:b/>
          <w:bCs/>
          <w:kern w:val="0"/>
          <w:sz w:val="24"/>
          <w:szCs w:val="24"/>
        </w:rPr>
      </w:pPr>
      <w:r w:rsidRPr="005D0AE7">
        <w:rPr>
          <w:rFonts w:ascii="Times New Roman" w:eastAsia="GulliverRM" w:hAnsi="Times New Roman" w:cs="Times New Roman"/>
          <w:b/>
          <w:bCs/>
          <w:kern w:val="0"/>
          <w:sz w:val="24"/>
          <w:szCs w:val="24"/>
        </w:rPr>
        <w:t>A</w:t>
      </w:r>
      <w:r w:rsidRPr="005D0AE7">
        <w:rPr>
          <w:rFonts w:ascii="Times New Roman" w:eastAsia="GulliverRM" w:hAnsi="Times New Roman" w:cs="Times New Roman"/>
          <w:b/>
          <w:bCs/>
          <w:kern w:val="0"/>
          <w:sz w:val="24"/>
          <w:szCs w:val="24"/>
        </w:rPr>
        <w:t>pparatus</w:t>
      </w:r>
    </w:p>
    <w:p w:rsidR="005A777E" w:rsidRPr="005D0AE7" w:rsidRDefault="008E7341">
      <w:pPr>
        <w:spacing w:line="480" w:lineRule="auto"/>
        <w:ind w:firstLineChars="150" w:firstLine="360"/>
        <w:rPr>
          <w:rFonts w:ascii="Times New Roman" w:hAnsi="Times New Roman" w:cs="Times New Roman"/>
          <w:sz w:val="24"/>
        </w:rPr>
      </w:pPr>
      <w:r w:rsidRPr="005D0AE7">
        <w:rPr>
          <w:rFonts w:ascii="Times New Roman" w:hAnsi="Times New Roman" w:cs="Times New Roman"/>
          <w:kern w:val="0"/>
          <w:sz w:val="24"/>
          <w:lang w:val="en-GB"/>
        </w:rPr>
        <w:t>The</w:t>
      </w:r>
      <w:r w:rsidRPr="005D0AE7">
        <w:rPr>
          <w:rFonts w:ascii="Times New Roman" w:hAnsi="Times New Roman" w:cs="Times New Roman"/>
        </w:rPr>
        <w:t xml:space="preserve"> </w:t>
      </w:r>
      <w:r w:rsidRPr="005D0AE7">
        <w:rPr>
          <w:rFonts w:ascii="Times New Roman" w:hAnsi="Times New Roman" w:cs="Times New Roman"/>
          <w:kern w:val="0"/>
          <w:sz w:val="24"/>
          <w:lang w:val="en-GB"/>
        </w:rPr>
        <w:t xml:space="preserve">structure of the materials was performed by Scanning electron microscopy (Regulus 8220, Hitachi High-Technologies Corporation, Japan) and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the structural stability of the </w:t>
      </w:r>
      <w:r w:rsidRPr="005D0AE7">
        <w:rPr>
          <w:rFonts w:ascii="Times New Roman" w:hAnsi="Times New Roman" w:cs="Times New Roman"/>
          <w:kern w:val="0"/>
          <w:sz w:val="24"/>
          <w:lang w:val="en-GB"/>
        </w:rPr>
        <w:t>materials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 were investigated usin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g a thermal analyzer (STA 6000, PerkinElmer, Shelton, USA). 3 mg of the sample was tested from 30 °C to 800 °C under nitrogen atmosphere with 20 mL/min flow rate and the heating rate was 10 °C/min.</w:t>
      </w:r>
      <w:r w:rsidRPr="005D0AE7">
        <w:rPr>
          <w:rFonts w:ascii="Times New Roman" w:hAnsi="Times New Roman" w:cs="Times New Roman"/>
          <w:kern w:val="0"/>
          <w:sz w:val="24"/>
        </w:rPr>
        <w:t xml:space="preserve"> </w:t>
      </w:r>
      <w:r w:rsidRPr="005D0AE7">
        <w:rPr>
          <w:rFonts w:ascii="Times New Roman" w:hAnsi="Times New Roman" w:cs="Times New Roman"/>
          <w:kern w:val="0"/>
          <w:sz w:val="24"/>
          <w:lang w:val="en-GB"/>
        </w:rPr>
        <w:t>Zeta potential of the materials was determined by Zetasize</w:t>
      </w:r>
      <w:r w:rsidRPr="005D0AE7">
        <w:rPr>
          <w:rFonts w:ascii="Times New Roman" w:hAnsi="Times New Roman" w:cs="Times New Roman"/>
          <w:kern w:val="0"/>
          <w:sz w:val="24"/>
          <w:lang w:val="en-GB"/>
        </w:rPr>
        <w:t xml:space="preserve">r Nano-ZS90 (Malvern Instruments, Westborough, MA, USA). Prior to the test, the materials were dispersed in a solution of pH 1-10 to determine the potential.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The X-ray</w:t>
      </w:r>
      <w:r w:rsidRPr="005D0AE7">
        <w:rPr>
          <w:rFonts w:ascii="Times New Roman" w:hAnsi="Times New Roman" w:cs="Times New Roman"/>
          <w:sz w:val="24"/>
          <w:szCs w:val="24"/>
        </w:rPr>
        <w:t xml:space="preserve"> diffraction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 pattern was measured from 4 to 70° with a scanning speed of 4°/min by using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a D8-Advance X-ray diffractometer (Bruker AXS Co., Ltd., Karlsruhe, Germany) and the Cu-Kα radiation was used under the 20 mA and 40 kV conditions.</w:t>
      </w:r>
      <w:r w:rsidRPr="005D0AE7">
        <w:rPr>
          <w:rFonts w:ascii="Times New Roman" w:hAnsi="Times New Roman" w:cs="Times New Roman"/>
          <w:kern w:val="0"/>
          <w:sz w:val="24"/>
        </w:rPr>
        <w:t xml:space="preserve">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The FTIR was performed by using a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lastRenderedPageBreak/>
        <w:t>Fourier transform infrared spectrometer (PerkinElmer, Shelton, USA) with a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 resolution of 4 cm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  <w:vertAlign w:val="superscript"/>
        </w:rPr>
        <w:t>−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  <w:vertAlign w:val="superscript"/>
        </w:rPr>
        <w:t>1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.</w:t>
      </w:r>
      <w:r w:rsidRPr="005D0AE7">
        <w:rPr>
          <w:rFonts w:ascii="Times New Roman" w:hAnsi="Times New Roman" w:cs="Times New Roman"/>
          <w:sz w:val="24"/>
          <w:szCs w:val="24"/>
        </w:rPr>
        <w:t xml:space="preserve"> X-ray photoelectron spectroscopy</w:t>
      </w:r>
      <w:r w:rsidRPr="005D0AE7">
        <w:rPr>
          <w:rFonts w:ascii="Times New Roman" w:hAnsi="Times New Roman" w:cs="Times New Roman"/>
          <w:sz w:val="24"/>
        </w:rPr>
        <w:t xml:space="preserve"> was analyzed by EscaLab Xi</w:t>
      </w:r>
      <w:r w:rsidRPr="005D0AE7">
        <w:rPr>
          <w:rFonts w:ascii="Times New Roman" w:hAnsi="Times New Roman" w:cs="Times New Roman"/>
          <w:sz w:val="24"/>
          <w:vertAlign w:val="superscript"/>
        </w:rPr>
        <w:t>+</w:t>
      </w:r>
      <w:r w:rsidRPr="005D0AE7">
        <w:rPr>
          <w:rFonts w:ascii="Times New Roman" w:hAnsi="Times New Roman" w:cs="Times New Roman"/>
          <w:sz w:val="24"/>
        </w:rPr>
        <w:t xml:space="preserve"> X-ray photoelectron spectrometer (Thermo Scientific, West Sussex, UK) with a monochromatic Al-Kα radiation. The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spectrum</w:t>
      </w:r>
      <w:r w:rsidRPr="005D0AE7">
        <w:rPr>
          <w:rFonts w:ascii="Times New Roman" w:hAnsi="Times New Roman" w:cs="Times New Roman"/>
          <w:sz w:val="24"/>
        </w:rPr>
        <w:t xml:space="preserve"> was previously calibrated and the energy was referenced to C1s at 284.8 eV.</w:t>
      </w:r>
      <w:r w:rsidRPr="005D0AE7">
        <w:rPr>
          <w:rFonts w:ascii="Times New Roman" w:hAnsi="Times New Roman" w:cs="Times New Roman"/>
          <w:sz w:val="24"/>
        </w:rPr>
        <w:t xml:space="preserve">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Electrochemical behaviors were measured on CHI 660E (Shanghai Chenhua Instrument Co., LTD, Shanghai,</w:t>
      </w:r>
      <w:r w:rsidRPr="005D0AE7">
        <w:rPr>
          <w:rFonts w:ascii="Times New Roman" w:hAnsi="Times New Roman" w:cs="Times New Roman"/>
        </w:rPr>
        <w:t xml:space="preserve"> 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>China) by differential pulse voltammetry (DPV) with conventional three electro</w:t>
      </w:r>
      <w:r w:rsidRPr="005D0AE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de system. </w:t>
      </w:r>
    </w:p>
    <w:p w:rsidR="005A777E" w:rsidRPr="005D0AE7" w:rsidRDefault="005A777E">
      <w:pPr>
        <w:autoSpaceDE w:val="0"/>
        <w:autoSpaceDN w:val="0"/>
        <w:adjustRightInd w:val="0"/>
        <w:spacing w:line="480" w:lineRule="auto"/>
        <w:rPr>
          <w:rFonts w:ascii="Times New Roman" w:eastAsia="GulliverRM" w:hAnsi="Times New Roman" w:cs="Times New Roman"/>
          <w:kern w:val="0"/>
          <w:sz w:val="24"/>
          <w:szCs w:val="24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5A777E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</w:p>
    <w:p w:rsidR="005A777E" w:rsidRPr="005D0AE7" w:rsidRDefault="008E7341">
      <w:pPr>
        <w:pStyle w:val="VAFigureCaption"/>
        <w:ind w:firstLineChars="0" w:firstLine="0"/>
        <w:rPr>
          <w:b/>
          <w:color w:val="000000"/>
          <w:sz w:val="28"/>
          <w:szCs w:val="28"/>
        </w:rPr>
      </w:pPr>
      <w:r w:rsidRPr="005D0AE7">
        <w:rPr>
          <w:b/>
          <w:color w:val="000000"/>
          <w:sz w:val="28"/>
          <w:szCs w:val="28"/>
        </w:rPr>
        <w:lastRenderedPageBreak/>
        <w:t>Figure</w:t>
      </w:r>
      <w:r w:rsidRPr="005D0AE7">
        <w:rPr>
          <w:b/>
          <w:color w:val="000000"/>
          <w:sz w:val="28"/>
          <w:szCs w:val="28"/>
        </w:rPr>
        <w:t>s</w:t>
      </w:r>
      <w:r w:rsidRPr="005D0AE7">
        <w:rPr>
          <w:b/>
          <w:color w:val="000000"/>
          <w:sz w:val="28"/>
          <w:szCs w:val="28"/>
        </w:rPr>
        <w:t xml:space="preserve"> </w:t>
      </w:r>
      <w:r w:rsidRPr="005D0AE7">
        <w:rPr>
          <w:b/>
          <w:color w:val="000000"/>
          <w:sz w:val="28"/>
          <w:szCs w:val="28"/>
        </w:rPr>
        <w:t>and Tables</w:t>
      </w:r>
    </w:p>
    <w:p w:rsidR="005A777E" w:rsidRPr="005D0AE7" w:rsidRDefault="008E7341">
      <w:pPr>
        <w:spacing w:line="480" w:lineRule="auto"/>
        <w:rPr>
          <w:rFonts w:ascii="Times New Roman" w:hAnsi="Times New Roman" w:cs="Times New Roman"/>
        </w:rPr>
      </w:pPr>
      <w:r w:rsidRPr="005D0A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S1.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Fitting equations of the adsorption kinetics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Hg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Ⅱ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adsorption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and MB adsorption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TH@WO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/SP.</w:t>
      </w:r>
    </w:p>
    <w:tbl>
      <w:tblPr>
        <w:tblW w:w="91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3"/>
        <w:gridCol w:w="3053"/>
        <w:gridCol w:w="3054"/>
      </w:tblGrid>
      <w:tr w:rsidR="005A777E" w:rsidRPr="005D0AE7">
        <w:trPr>
          <w:trHeight w:val="984"/>
          <w:jc w:val="center"/>
        </w:trPr>
        <w:tc>
          <w:tcPr>
            <w:tcW w:w="3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Object</w:t>
            </w:r>
          </w:p>
        </w:tc>
        <w:tc>
          <w:tcPr>
            <w:tcW w:w="3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Pseudo-first-order equation</w:t>
            </w:r>
          </w:p>
        </w:tc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Pseudo-second-order equation</w:t>
            </w:r>
          </w:p>
        </w:tc>
      </w:tr>
      <w:tr w:rsidR="005A777E" w:rsidRPr="005D0AE7">
        <w:trPr>
          <w:trHeight w:val="678"/>
          <w:jc w:val="center"/>
        </w:trPr>
        <w:tc>
          <w:tcPr>
            <w:tcW w:w="3053" w:type="dxa"/>
            <w:tcBorders>
              <w:top w:val="single" w:sz="4" w:space="0" w:color="auto"/>
            </w:tcBorders>
            <w:vAlign w:val="center"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Borders>
              <w:top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y=ax+b</w:t>
            </w:r>
          </w:p>
        </w:tc>
        <w:tc>
          <w:tcPr>
            <w:tcW w:w="3054" w:type="dxa"/>
            <w:tcBorders>
              <w:top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y=ax+b</w:t>
            </w:r>
          </w:p>
        </w:tc>
      </w:tr>
      <w:tr w:rsidR="005A777E" w:rsidRPr="005D0AE7">
        <w:trPr>
          <w:trHeight w:val="771"/>
          <w:jc w:val="center"/>
        </w:trPr>
        <w:tc>
          <w:tcPr>
            <w:tcW w:w="305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</w:rPr>
              <w:t>Hg</w:t>
            </w:r>
            <w:r w:rsidRPr="005D0AE7">
              <w:rPr>
                <w:rFonts w:ascii="Times New Roman" w:hAnsi="Times New Roman" w:cs="Times New Roman"/>
              </w:rPr>
              <w:t xml:space="preserve"> </w:t>
            </w:r>
            <w:r w:rsidRPr="005D0AE7">
              <w:rPr>
                <w:rFonts w:ascii="Times New Roman" w:hAnsi="Times New Roman" w:cs="Times New Roman"/>
              </w:rPr>
              <w:t>(</w:t>
            </w:r>
            <w:r w:rsidRPr="005D0AE7">
              <w:rPr>
                <w:rFonts w:ascii="Times New Roman" w:hAnsi="Times New Roman" w:cs="Times New Roman"/>
              </w:rPr>
              <w:t>Ⅱ</w:t>
            </w:r>
            <w:r w:rsidRPr="005D0A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5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0.00555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x+</w:t>
            </w:r>
            <w:r w:rsidRPr="005D0AE7">
              <w:rPr>
                <w:rFonts w:ascii="Times New Roman" w:hAnsi="Times New Roman" w:cs="Times New Roman"/>
              </w:rPr>
              <w:t>2.6621</w:t>
            </w:r>
          </w:p>
        </w:tc>
        <w:tc>
          <w:tcPr>
            <w:tcW w:w="3054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y=0.0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00449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x+0.0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0176</w:t>
            </w:r>
          </w:p>
        </w:tc>
      </w:tr>
      <w:tr w:rsidR="005A777E" w:rsidRPr="005D0AE7">
        <w:trPr>
          <w:trHeight w:val="818"/>
          <w:jc w:val="center"/>
        </w:trPr>
        <w:tc>
          <w:tcPr>
            <w:tcW w:w="3053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MB</w:t>
            </w:r>
          </w:p>
        </w:tc>
        <w:tc>
          <w:tcPr>
            <w:tcW w:w="3053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</w:t>
            </w:r>
            <w:r w:rsidRPr="005D0AE7">
              <w:rPr>
                <w:rFonts w:ascii="Times New Roman" w:hAnsi="Times New Roman" w:cs="Times New Roman"/>
              </w:rPr>
              <w:t>0.00946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x+</w:t>
            </w:r>
            <w:r w:rsidRPr="005D0AE7">
              <w:rPr>
                <w:rFonts w:ascii="Times New Roman" w:hAnsi="Times New Roman" w:cs="Times New Roman"/>
              </w:rPr>
              <w:t>1.7957</w:t>
            </w:r>
          </w:p>
        </w:tc>
        <w:tc>
          <w:tcPr>
            <w:tcW w:w="3054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y=0.00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535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x+0.0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483</w:t>
            </w:r>
          </w:p>
        </w:tc>
      </w:tr>
    </w:tbl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8E734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D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S2.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Fitting data of kinetic model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Hg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Ⅱ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adsorption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and MB adsorption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TH@WO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/SP.</w:t>
      </w:r>
    </w:p>
    <w:tbl>
      <w:tblPr>
        <w:tblW w:w="9480" w:type="dxa"/>
        <w:jc w:val="center"/>
        <w:tblBorders>
          <w:top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1185"/>
        <w:gridCol w:w="1317"/>
        <w:gridCol w:w="1053"/>
        <w:gridCol w:w="1186"/>
        <w:gridCol w:w="1185"/>
        <w:gridCol w:w="1185"/>
        <w:gridCol w:w="1185"/>
      </w:tblGrid>
      <w:tr w:rsidR="005A777E" w:rsidRPr="005D0AE7">
        <w:trPr>
          <w:trHeight w:val="723"/>
          <w:jc w:val="center"/>
        </w:trPr>
        <w:tc>
          <w:tcPr>
            <w:tcW w:w="1184" w:type="dxa"/>
            <w:vMerge w:val="restart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Object</w:t>
            </w:r>
          </w:p>
        </w:tc>
        <w:tc>
          <w:tcPr>
            <w:tcW w:w="1185" w:type="dxa"/>
            <w:vMerge w:val="restart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w w:val="105"/>
                <w:kern w:val="0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q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vertAlign w:val="subscript"/>
                <w:lang w:val="en-GB"/>
              </w:rPr>
              <w:t>e,e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(mg/g)</w:t>
            </w:r>
          </w:p>
        </w:tc>
        <w:tc>
          <w:tcPr>
            <w:tcW w:w="3556" w:type="dxa"/>
            <w:gridSpan w:val="3"/>
            <w:tcBorders>
              <w:bottom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Pseudo-first-order equation</w:t>
            </w:r>
          </w:p>
        </w:tc>
        <w:tc>
          <w:tcPr>
            <w:tcW w:w="3555" w:type="dxa"/>
            <w:gridSpan w:val="3"/>
            <w:tcBorders>
              <w:bottom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Pseudo-second-order equation</w:t>
            </w:r>
          </w:p>
        </w:tc>
      </w:tr>
      <w:tr w:rsidR="005A777E" w:rsidRPr="005D0AE7">
        <w:trPr>
          <w:trHeight w:val="711"/>
          <w:jc w:val="center"/>
        </w:trPr>
        <w:tc>
          <w:tcPr>
            <w:tcW w:w="1184" w:type="dxa"/>
            <w:vMerge/>
            <w:tcBorders>
              <w:bottom w:val="single" w:sz="4" w:space="0" w:color="000000"/>
            </w:tcBorders>
            <w:vAlign w:val="center"/>
          </w:tcPr>
          <w:p w:rsidR="005A777E" w:rsidRPr="005D0AE7" w:rsidRDefault="005A777E">
            <w:pPr>
              <w:spacing w:line="480" w:lineRule="auto"/>
              <w:ind w:firstLineChars="150" w:firstLine="315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85" w:type="dxa"/>
            <w:vMerge/>
            <w:tcBorders>
              <w:bottom w:val="single" w:sz="4" w:space="0" w:color="000000"/>
            </w:tcBorders>
            <w:vAlign w:val="center"/>
          </w:tcPr>
          <w:p w:rsidR="005A777E" w:rsidRPr="005D0AE7" w:rsidRDefault="005A777E">
            <w:pPr>
              <w:spacing w:line="480" w:lineRule="auto"/>
              <w:ind w:firstLineChars="150" w:firstLine="315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A777E" w:rsidRPr="005D0AE7" w:rsidRDefault="008E734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w w:val="105"/>
                <w:kern w:val="0"/>
                <w:vertAlign w:val="subscript"/>
                <w:lang w:val="en-GB"/>
              </w:rPr>
            </w:pPr>
            <w:r w:rsidRPr="005D0AE7">
              <w:rPr>
                <w:rFonts w:ascii="Times New Roman" w:hAnsi="Times New Roman" w:cs="Times New Roman"/>
                <w:i/>
                <w:iCs/>
                <w:w w:val="105"/>
                <w:kern w:val="0"/>
                <w:lang w:val="en-GB"/>
              </w:rPr>
              <w:t>q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vertAlign w:val="subscript"/>
                <w:lang w:val="en-GB"/>
              </w:rPr>
              <w:t>e,c</w:t>
            </w:r>
          </w:p>
          <w:p w:rsidR="005A777E" w:rsidRPr="005D0AE7" w:rsidRDefault="008E734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w w:val="105"/>
                <w:kern w:val="0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(mg/g)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i/>
                <w:iCs/>
                <w:w w:val="105"/>
                <w:kern w:val="0"/>
                <w:lang w:val="en-GB"/>
              </w:rPr>
              <w:t>R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vertAlign w:val="superscript"/>
                <w:lang w:val="en-GB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K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vertAlign w:val="subscript"/>
                <w:lang w:val="en-GB"/>
              </w:rPr>
              <w:t>1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(h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vertAlign w:val="superscript"/>
                <w:lang w:val="en-GB"/>
              </w:rPr>
              <w:t>-1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)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A777E" w:rsidRPr="005D0AE7" w:rsidRDefault="008E734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w w:val="105"/>
                <w:kern w:val="0"/>
                <w:vertAlign w:val="subscript"/>
                <w:lang w:val="en-GB"/>
              </w:rPr>
            </w:pPr>
            <w:r w:rsidRPr="005D0AE7">
              <w:rPr>
                <w:rFonts w:ascii="Times New Roman" w:hAnsi="Times New Roman" w:cs="Times New Roman"/>
                <w:i/>
                <w:iCs/>
                <w:w w:val="105"/>
                <w:kern w:val="0"/>
                <w:lang w:val="en-GB"/>
              </w:rPr>
              <w:t>q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vertAlign w:val="subscript"/>
                <w:lang w:val="en-GB"/>
              </w:rPr>
              <w:t>e,c</w:t>
            </w:r>
          </w:p>
          <w:p w:rsidR="005A777E" w:rsidRPr="005D0AE7" w:rsidRDefault="008E734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w w:val="105"/>
                <w:kern w:val="0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(mg/g)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i/>
                <w:iCs/>
                <w:w w:val="105"/>
                <w:kern w:val="0"/>
                <w:lang w:val="en-GB"/>
              </w:rPr>
              <w:t>R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vertAlign w:val="superscript"/>
                <w:lang w:val="en-GB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K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vertAlign w:val="subscript"/>
                <w:lang w:val="en-GB"/>
              </w:rPr>
              <w:t>1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(h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vertAlign w:val="superscript"/>
                <w:lang w:val="en-GB"/>
              </w:rPr>
              <w:t>-1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)</w:t>
            </w:r>
          </w:p>
        </w:tc>
      </w:tr>
      <w:tr w:rsidR="005A777E" w:rsidRPr="005D0AE7">
        <w:trPr>
          <w:trHeight w:val="711"/>
          <w:jc w:val="center"/>
        </w:trPr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</w:rPr>
              <w:t>Hg(</w:t>
            </w:r>
            <w:r w:rsidRPr="005D0AE7">
              <w:rPr>
                <w:rFonts w:ascii="Times New Roman" w:hAnsi="Times New Roman" w:cs="Times New Roman"/>
              </w:rPr>
              <w:t>Ⅱ</w:t>
            </w:r>
            <w:r w:rsidRPr="005D0A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85" w:type="dxa"/>
            <w:tcBorders>
              <w:top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2201.16</w:t>
            </w:r>
          </w:p>
        </w:tc>
        <w:tc>
          <w:tcPr>
            <w:tcW w:w="1317" w:type="dxa"/>
            <w:tcBorders>
              <w:top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432.7449</w:t>
            </w:r>
          </w:p>
        </w:tc>
        <w:tc>
          <w:tcPr>
            <w:tcW w:w="1053" w:type="dxa"/>
            <w:tcBorders>
              <w:top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</w:rPr>
              <w:t>0.4632</w:t>
            </w:r>
          </w:p>
        </w:tc>
        <w:tc>
          <w:tcPr>
            <w:tcW w:w="1186" w:type="dxa"/>
            <w:tcBorders>
              <w:top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0.7669</w:t>
            </w:r>
          </w:p>
        </w:tc>
        <w:tc>
          <w:tcPr>
            <w:tcW w:w="1185" w:type="dxa"/>
            <w:tcBorders>
              <w:top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</w:rPr>
              <w:t>2</w:t>
            </w:r>
            <w:r w:rsidRPr="005D0AE7">
              <w:rPr>
                <w:rFonts w:ascii="Times New Roman" w:hAnsi="Times New Roman" w:cs="Times New Roman"/>
              </w:rPr>
              <w:t>227.1715</w:t>
            </w:r>
          </w:p>
        </w:tc>
        <w:tc>
          <w:tcPr>
            <w:tcW w:w="1185" w:type="dxa"/>
            <w:tcBorders>
              <w:top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0.999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0.00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687</w:t>
            </w:r>
          </w:p>
        </w:tc>
      </w:tr>
      <w:tr w:rsidR="005A777E" w:rsidRPr="005D0AE7">
        <w:trPr>
          <w:trHeight w:val="751"/>
          <w:jc w:val="center"/>
        </w:trPr>
        <w:tc>
          <w:tcPr>
            <w:tcW w:w="1184" w:type="dxa"/>
            <w:tcBorders>
              <w:bottom w:val="single" w:sz="12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MB</w:t>
            </w:r>
          </w:p>
        </w:tc>
        <w:tc>
          <w:tcPr>
            <w:tcW w:w="1185" w:type="dxa"/>
            <w:tcBorders>
              <w:bottom w:val="single" w:sz="12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175.01</w:t>
            </w:r>
          </w:p>
        </w:tc>
        <w:tc>
          <w:tcPr>
            <w:tcW w:w="1317" w:type="dxa"/>
            <w:tcBorders>
              <w:bottom w:val="single" w:sz="12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62.7735</w:t>
            </w:r>
          </w:p>
        </w:tc>
        <w:tc>
          <w:tcPr>
            <w:tcW w:w="1053" w:type="dxa"/>
            <w:tcBorders>
              <w:bottom w:val="single" w:sz="12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</w:rPr>
              <w:t>0.8305</w:t>
            </w:r>
          </w:p>
        </w:tc>
        <w:tc>
          <w:tcPr>
            <w:tcW w:w="1186" w:type="dxa"/>
            <w:tcBorders>
              <w:bottom w:val="single" w:sz="12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1.3072</w:t>
            </w:r>
          </w:p>
        </w:tc>
        <w:tc>
          <w:tcPr>
            <w:tcW w:w="1185" w:type="dxa"/>
            <w:tcBorders>
              <w:bottom w:val="single" w:sz="12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186.7258</w:t>
            </w:r>
          </w:p>
        </w:tc>
        <w:tc>
          <w:tcPr>
            <w:tcW w:w="1185" w:type="dxa"/>
            <w:tcBorders>
              <w:bottom w:val="single" w:sz="12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0.99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81</w:t>
            </w:r>
          </w:p>
        </w:tc>
        <w:tc>
          <w:tcPr>
            <w:tcW w:w="1185" w:type="dxa"/>
            <w:tcBorders>
              <w:bottom w:val="single" w:sz="12" w:space="0" w:color="000000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0.0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3556</w:t>
            </w:r>
          </w:p>
        </w:tc>
      </w:tr>
    </w:tbl>
    <w:p w:rsidR="005A777E" w:rsidRPr="005D0AE7" w:rsidRDefault="005A777E">
      <w:pPr>
        <w:spacing w:line="480" w:lineRule="auto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77E" w:rsidRPr="005D0AE7" w:rsidRDefault="005A777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A777E" w:rsidRPr="005D0AE7" w:rsidRDefault="008E73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0AE7">
        <w:rPr>
          <w:rFonts w:ascii="Times New Roman" w:hAnsi="Times New Roman" w:cs="Times New Roman"/>
          <w:b/>
          <w:sz w:val="24"/>
          <w:szCs w:val="24"/>
        </w:rPr>
        <w:lastRenderedPageBreak/>
        <w:t>Table S3.</w:t>
      </w:r>
      <w:r w:rsidRPr="005D0AE7">
        <w:rPr>
          <w:rFonts w:ascii="Times New Roman" w:hAnsi="Times New Roman" w:cs="Times New Roman"/>
          <w:sz w:val="24"/>
          <w:szCs w:val="24"/>
        </w:rPr>
        <w:t xml:space="preserve"> Fitting equations of the adsorption isotherms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Hg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Ⅱ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adsorption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and MB adsorption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TH@WO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/SP.</w:t>
      </w:r>
    </w:p>
    <w:tbl>
      <w:tblPr>
        <w:tblW w:w="91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3"/>
        <w:gridCol w:w="3053"/>
        <w:gridCol w:w="3054"/>
      </w:tblGrid>
      <w:tr w:rsidR="005A777E" w:rsidRPr="005D0AE7">
        <w:trPr>
          <w:trHeight w:val="984"/>
          <w:jc w:val="center"/>
        </w:trPr>
        <w:tc>
          <w:tcPr>
            <w:tcW w:w="3053" w:type="dxa"/>
            <w:vMerge w:val="restart"/>
            <w:tcBorders>
              <w:top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Object</w:t>
            </w:r>
          </w:p>
        </w:tc>
        <w:tc>
          <w:tcPr>
            <w:tcW w:w="3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Langmuir equation</w:t>
            </w:r>
          </w:p>
        </w:tc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Freundlich equation</w:t>
            </w:r>
          </w:p>
        </w:tc>
      </w:tr>
      <w:tr w:rsidR="005A777E" w:rsidRPr="005D0AE7">
        <w:trPr>
          <w:trHeight w:val="678"/>
          <w:jc w:val="center"/>
        </w:trPr>
        <w:tc>
          <w:tcPr>
            <w:tcW w:w="3053" w:type="dxa"/>
            <w:vMerge/>
            <w:vAlign w:val="center"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Borders>
              <w:top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y=ax+b</w:t>
            </w:r>
          </w:p>
        </w:tc>
        <w:tc>
          <w:tcPr>
            <w:tcW w:w="3054" w:type="dxa"/>
            <w:tcBorders>
              <w:top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y=ax+b</w:t>
            </w:r>
          </w:p>
        </w:tc>
      </w:tr>
      <w:tr w:rsidR="005A777E" w:rsidRPr="005D0AE7">
        <w:trPr>
          <w:trHeight w:val="771"/>
          <w:jc w:val="center"/>
        </w:trPr>
        <w:tc>
          <w:tcPr>
            <w:tcW w:w="305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</w:rPr>
              <w:t>Hg(</w:t>
            </w:r>
            <w:r w:rsidRPr="005D0AE7">
              <w:rPr>
                <w:rFonts w:ascii="Times New Roman" w:hAnsi="Times New Roman" w:cs="Times New Roman"/>
              </w:rPr>
              <w:t>Ⅱ</w:t>
            </w:r>
            <w:r w:rsidRPr="005D0A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5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</w:t>
            </w:r>
            <w:r w:rsidRPr="005D0AE7">
              <w:rPr>
                <w:rFonts w:ascii="Times New Roman" w:hAnsi="Times New Roman" w:cs="Times New Roman"/>
              </w:rPr>
              <w:t>0.0004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x+</w:t>
            </w:r>
            <w:r w:rsidRPr="005D0AE7">
              <w:rPr>
                <w:rFonts w:ascii="Times New Roman" w:hAnsi="Times New Roman" w:cs="Times New Roman"/>
              </w:rPr>
              <w:t>0.00406</w:t>
            </w:r>
          </w:p>
        </w:tc>
        <w:tc>
          <w:tcPr>
            <w:tcW w:w="3054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y=0.4335x+2.4981</w:t>
            </w:r>
          </w:p>
        </w:tc>
      </w:tr>
      <w:tr w:rsidR="005A777E" w:rsidRPr="005D0AE7">
        <w:trPr>
          <w:trHeight w:val="818"/>
          <w:jc w:val="center"/>
        </w:trPr>
        <w:tc>
          <w:tcPr>
            <w:tcW w:w="3053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MB</w:t>
            </w:r>
          </w:p>
        </w:tc>
        <w:tc>
          <w:tcPr>
            <w:tcW w:w="3053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</w:t>
            </w:r>
            <w:r w:rsidRPr="005D0AE7">
              <w:rPr>
                <w:rFonts w:ascii="Times New Roman" w:hAnsi="Times New Roman" w:cs="Times New Roman"/>
              </w:rPr>
              <w:t>0.00553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x+</w:t>
            </w:r>
            <w:r w:rsidRPr="005D0AE7">
              <w:rPr>
                <w:rFonts w:ascii="Times New Roman" w:hAnsi="Times New Roman" w:cs="Times New Roman"/>
              </w:rPr>
              <w:t>0.00481</w:t>
            </w:r>
          </w:p>
        </w:tc>
        <w:tc>
          <w:tcPr>
            <w:tcW w:w="3054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y=0.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2536</w:t>
            </w: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x+1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.8436</w:t>
            </w:r>
          </w:p>
        </w:tc>
      </w:tr>
    </w:tbl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8E734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S4.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Fitting data of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adsorption isotherm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Hg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Ⅱ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MB adsorption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TH@WO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/SP.</w:t>
      </w:r>
    </w:p>
    <w:tbl>
      <w:tblPr>
        <w:tblW w:w="952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1359"/>
        <w:gridCol w:w="1361"/>
        <w:gridCol w:w="1360"/>
        <w:gridCol w:w="1360"/>
        <w:gridCol w:w="1360"/>
        <w:gridCol w:w="1361"/>
      </w:tblGrid>
      <w:tr w:rsidR="005A777E" w:rsidRPr="005D0AE7">
        <w:trPr>
          <w:trHeight w:val="577"/>
          <w:jc w:val="center"/>
        </w:trPr>
        <w:tc>
          <w:tcPr>
            <w:tcW w:w="1359" w:type="dxa"/>
            <w:vMerge w:val="restart"/>
            <w:tcBorders>
              <w:top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Object</w:t>
            </w:r>
          </w:p>
        </w:tc>
        <w:tc>
          <w:tcPr>
            <w:tcW w:w="4080" w:type="dxa"/>
            <w:gridSpan w:val="3"/>
            <w:tcBorders>
              <w:top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Langmuir equation</w:t>
            </w:r>
          </w:p>
        </w:tc>
        <w:tc>
          <w:tcPr>
            <w:tcW w:w="4081" w:type="dxa"/>
            <w:gridSpan w:val="3"/>
            <w:tcBorders>
              <w:top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Freundlich equation</w:t>
            </w:r>
          </w:p>
        </w:tc>
      </w:tr>
      <w:tr w:rsidR="005A777E" w:rsidRPr="005D0AE7">
        <w:trPr>
          <w:trHeight w:val="554"/>
          <w:jc w:val="center"/>
        </w:trPr>
        <w:tc>
          <w:tcPr>
            <w:tcW w:w="1359" w:type="dxa"/>
            <w:vMerge/>
            <w:tcBorders>
              <w:bottom w:val="single" w:sz="4" w:space="0" w:color="auto"/>
            </w:tcBorders>
            <w:vAlign w:val="center"/>
          </w:tcPr>
          <w:p w:rsidR="005A777E" w:rsidRPr="005D0AE7" w:rsidRDefault="005A777E">
            <w:pPr>
              <w:spacing w:line="480" w:lineRule="auto"/>
              <w:ind w:firstLineChars="150" w:firstLine="315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w w:val="105"/>
                <w:kern w:val="0"/>
                <w:vertAlign w:val="subscript"/>
                <w:lang w:val="en-GB"/>
              </w:rPr>
            </w:pPr>
            <w:r w:rsidRPr="005D0AE7">
              <w:rPr>
                <w:rFonts w:ascii="Times New Roman" w:hAnsi="Times New Roman" w:cs="Times New Roman"/>
                <w:i/>
                <w:w w:val="105"/>
                <w:kern w:val="0"/>
                <w:lang w:val="en-GB"/>
              </w:rPr>
              <w:t>q</w:t>
            </w:r>
            <w:r w:rsidRPr="005D0AE7">
              <w:rPr>
                <w:rFonts w:ascii="Times New Roman" w:hAnsi="Times New Roman" w:cs="Times New Roman"/>
                <w:i/>
                <w:w w:val="105"/>
                <w:kern w:val="0"/>
                <w:vertAlign w:val="subscript"/>
                <w:lang w:val="en-GB"/>
              </w:rPr>
              <w:t>m</w:t>
            </w:r>
          </w:p>
          <w:p w:rsidR="005A777E" w:rsidRPr="005D0AE7" w:rsidRDefault="008E734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i/>
                <w:w w:val="105"/>
                <w:kern w:val="0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(mg/g)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5D0AE7">
              <w:rPr>
                <w:rFonts w:ascii="Times New Roman" w:hAnsi="Times New Roman" w:cs="Times New Roman"/>
                <w:i/>
                <w:w w:val="105"/>
                <w:kern w:val="0"/>
                <w:lang w:val="en-GB"/>
              </w:rPr>
              <w:t>b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5D0AE7">
              <w:rPr>
                <w:rFonts w:ascii="Times New Roman" w:hAnsi="Times New Roman" w:cs="Times New Roman"/>
                <w:i/>
                <w:w w:val="105"/>
                <w:kern w:val="0"/>
                <w:lang w:val="en-GB"/>
              </w:rPr>
              <w:t>R</w:t>
            </w:r>
            <w:r w:rsidRPr="005D0AE7">
              <w:rPr>
                <w:rFonts w:ascii="Times New Roman" w:hAnsi="Times New Roman" w:cs="Times New Roman"/>
                <w:i/>
                <w:w w:val="105"/>
                <w:kern w:val="0"/>
                <w:vertAlign w:val="superscript"/>
                <w:lang w:val="en-GB"/>
              </w:rPr>
              <w:t>2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5D0AE7">
              <w:rPr>
                <w:rFonts w:ascii="Times New Roman" w:hAnsi="Times New Roman" w:cs="Times New Roman"/>
                <w:i/>
                <w:w w:val="105"/>
                <w:kern w:val="0"/>
                <w:lang w:val="en-GB"/>
              </w:rPr>
              <w:t>n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5D0AE7">
              <w:rPr>
                <w:rFonts w:ascii="Times New Roman" w:hAnsi="Times New Roman" w:cs="Times New Roman"/>
                <w:i/>
                <w:w w:val="105"/>
                <w:kern w:val="0"/>
                <w:lang w:val="en-GB"/>
              </w:rPr>
              <w:t>K</w:t>
            </w:r>
            <w:r w:rsidRPr="005D0AE7">
              <w:rPr>
                <w:rFonts w:ascii="Times New Roman" w:hAnsi="Times New Roman" w:cs="Times New Roman"/>
                <w:i/>
                <w:w w:val="105"/>
                <w:kern w:val="0"/>
                <w:vertAlign w:val="subscript"/>
                <w:lang w:val="en-GB"/>
              </w:rPr>
              <w:t>f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5D0AE7">
              <w:rPr>
                <w:rFonts w:ascii="Times New Roman" w:hAnsi="Times New Roman" w:cs="Times New Roman"/>
                <w:i/>
                <w:w w:val="105"/>
                <w:kern w:val="0"/>
                <w:lang w:val="en-GB"/>
              </w:rPr>
              <w:t>R</w:t>
            </w:r>
            <w:r w:rsidRPr="005D0AE7">
              <w:rPr>
                <w:rFonts w:ascii="Times New Roman" w:hAnsi="Times New Roman" w:cs="Times New Roman"/>
                <w:i/>
                <w:w w:val="105"/>
                <w:kern w:val="0"/>
                <w:vertAlign w:val="superscript"/>
                <w:lang w:val="en-GB"/>
              </w:rPr>
              <w:t>2</w:t>
            </w:r>
          </w:p>
        </w:tc>
      </w:tr>
      <w:tr w:rsidR="005A777E" w:rsidRPr="005D0AE7">
        <w:trPr>
          <w:trHeight w:val="554"/>
          <w:jc w:val="center"/>
        </w:trPr>
        <w:tc>
          <w:tcPr>
            <w:tcW w:w="1359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</w:rPr>
              <w:t>Hg(</w:t>
            </w:r>
            <w:r w:rsidRPr="005D0AE7">
              <w:rPr>
                <w:rFonts w:ascii="Times New Roman" w:hAnsi="Times New Roman" w:cs="Times New Roman"/>
              </w:rPr>
              <w:t>Ⅱ</w:t>
            </w:r>
            <w:r w:rsidRPr="005D0A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9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2305.66</w:t>
            </w:r>
          </w:p>
        </w:tc>
        <w:tc>
          <w:tcPr>
            <w:tcW w:w="1361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</w:rPr>
              <w:t>0.1068</w:t>
            </w:r>
          </w:p>
        </w:tc>
        <w:tc>
          <w:tcPr>
            <w:tcW w:w="1360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0.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9961</w:t>
            </w:r>
          </w:p>
        </w:tc>
        <w:tc>
          <w:tcPr>
            <w:tcW w:w="1360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2.3068</w:t>
            </w:r>
          </w:p>
        </w:tc>
        <w:tc>
          <w:tcPr>
            <w:tcW w:w="1360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314.8473</w:t>
            </w:r>
          </w:p>
        </w:tc>
        <w:tc>
          <w:tcPr>
            <w:tcW w:w="1361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0.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9171</w:t>
            </w:r>
          </w:p>
        </w:tc>
      </w:tr>
      <w:tr w:rsidR="005A777E" w:rsidRPr="005D0AE7">
        <w:trPr>
          <w:trHeight w:val="577"/>
          <w:jc w:val="center"/>
        </w:trPr>
        <w:tc>
          <w:tcPr>
            <w:tcW w:w="1359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MB</w:t>
            </w:r>
          </w:p>
        </w:tc>
        <w:tc>
          <w:tcPr>
            <w:tcW w:w="1359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180.83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</w:rPr>
              <w:t>1.1497</w:t>
            </w:r>
          </w:p>
        </w:tc>
        <w:tc>
          <w:tcPr>
            <w:tcW w:w="1360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0.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9998</w:t>
            </w:r>
          </w:p>
        </w:tc>
        <w:tc>
          <w:tcPr>
            <w:tcW w:w="1360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3.9432</w:t>
            </w:r>
          </w:p>
        </w:tc>
        <w:tc>
          <w:tcPr>
            <w:tcW w:w="1360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69.7590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D0AE7">
              <w:rPr>
                <w:rFonts w:ascii="Times New Roman" w:hAnsi="Times New Roman" w:cs="Times New Roman"/>
                <w:w w:val="105"/>
                <w:kern w:val="0"/>
                <w:lang w:val="en-GB"/>
              </w:rPr>
              <w:t>0.</w:t>
            </w:r>
            <w:r w:rsidRPr="005D0AE7">
              <w:rPr>
                <w:rFonts w:ascii="Times New Roman" w:hAnsi="Times New Roman" w:cs="Times New Roman"/>
                <w:w w:val="105"/>
                <w:kern w:val="0"/>
              </w:rPr>
              <w:t>8884</w:t>
            </w:r>
          </w:p>
        </w:tc>
      </w:tr>
    </w:tbl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</w:rPr>
      </w:pPr>
    </w:p>
    <w:p w:rsidR="005A777E" w:rsidRPr="005D0AE7" w:rsidRDefault="005A777E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777E" w:rsidRPr="005D0AE7" w:rsidRDefault="005A777E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777E" w:rsidRPr="005D0AE7" w:rsidRDefault="008E734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S5.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Comparison of the equilibrium time and adsorption capacities with other</w:t>
      </w:r>
    </w:p>
    <w:p w:rsidR="005A777E" w:rsidRPr="005D0AE7" w:rsidRDefault="008E734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adsorbents for Hg(II) and MB .</w:t>
      </w:r>
    </w:p>
    <w:tbl>
      <w:tblPr>
        <w:tblStyle w:val="61"/>
        <w:tblW w:w="8931" w:type="dxa"/>
        <w:jc w:val="center"/>
        <w:tblLook w:val="04A0" w:firstRow="1" w:lastRow="0" w:firstColumn="1" w:lastColumn="0" w:noHBand="0" w:noVBand="1"/>
      </w:tblPr>
      <w:tblGrid>
        <w:gridCol w:w="3292"/>
        <w:gridCol w:w="1695"/>
        <w:gridCol w:w="1584"/>
        <w:gridCol w:w="2360"/>
      </w:tblGrid>
      <w:tr w:rsidR="005A777E" w:rsidRPr="005D0AE7" w:rsidTr="005A7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vMerge w:val="restar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Adsorbents</w:t>
            </w:r>
          </w:p>
        </w:tc>
        <w:tc>
          <w:tcPr>
            <w:tcW w:w="3279" w:type="dxa"/>
            <w:gridSpan w:val="2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Adsorption capacity m Q (mg/g) /Equilibrium</w:t>
            </w:r>
          </w:p>
          <w:p w:rsidR="005A777E" w:rsidRPr="005D0AE7" w:rsidRDefault="008E734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time (min)</w:t>
            </w:r>
          </w:p>
        </w:tc>
        <w:tc>
          <w:tcPr>
            <w:tcW w:w="236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References</w:t>
            </w:r>
          </w:p>
        </w:tc>
      </w:tr>
      <w:tr w:rsidR="005A777E" w:rsidRPr="005D0AE7" w:rsidTr="005A77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Hg(II)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</w:p>
        </w:tc>
        <w:tc>
          <w:tcPr>
            <w:tcW w:w="23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5A77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77E" w:rsidRPr="005D0AE7" w:rsidTr="005A777E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Melamine-grafted chitosan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490.7/240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 w:rsidP="005D0A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5D0AE7"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ADDIN EN.CITE &lt;EndNote&gt;&lt;Cite&gt;&lt;Author&gt;Ge&lt;/Author&gt;&lt;Year&gt;2020&lt;/Year&gt;&lt;RecNum&gt;81&lt;/RecNum&gt;&lt;DisplayText&gt;(Ge &amp;amp;Du 2020)&lt;/DisplayText&gt;&lt;record&gt;&lt;rec-number&gt;81&lt;/rec-number&gt;&lt;foreign-keys&gt;&lt;key app="EN" db-id="ts9dfpf26epwtue5vzpxwff2t0vvzdp0df9v" timestamp="1633612318"&gt;81&lt;/key&gt;&lt;/foreign-keys&gt;&lt;ref-type name="Journal Article"&gt;17&lt;/ref-type&gt;&lt;contributors&gt;&lt;authors&gt;&lt;author&gt;Ge, Huacai&lt;/author&gt;&lt;author&gt;Du, Juan&lt;/author&gt;&lt;/authors&gt;&lt;/contributors&gt;&lt;titles&gt;&lt;title&gt;Selective adsorption of Pb(II) and Hg(II) on melamine-grafted chitosan&lt;/title&gt;&lt;secondary-title&gt;International Journal of Biological Macromolecules&lt;/secondary-title&gt;&lt;/titles&gt;&lt;periodical&gt;&lt;full-title&gt;International Journal of Biological Macromolecules&lt;/full-title&gt;&lt;/periodical&gt;&lt;pages&gt;1880-1887&lt;/pages&gt;&lt;volume&gt;162&lt;/volume&gt;&lt;keywords&gt;&lt;keyword&gt;Chitosan modification&lt;/keyword&gt;&lt;keyword&gt;Heavy metal ions&lt;/keyword&gt;&lt;keyword&gt;Selective adsorption&lt;/keyword&gt;&lt;/keywords&gt;&lt;dates&gt;&lt;year&gt;2020&lt;/year&gt;&lt;pub-dates&gt;&lt;date&gt;2020/11/01/&lt;/date&gt;&lt;/pub-dates&gt;&lt;/dates&gt;&lt;isbn&gt;0141-8130&lt;/isbn&gt;&lt;urls&gt;&lt;related-urls&gt;&lt;url&gt;https://www.sciencedirect.com/science/article/pii/S0141813020341593&lt;/url&gt;&lt;/related-urls&gt;&lt;/urls&gt;&lt;electronic-resource-num&gt;https://doi.org/10.1016/j.ijbiomac.2020.08.070&lt;/electronic-resource-num&gt;&lt;/record&gt;&lt;/Cite&gt;&lt;/EndNote&gt;</w:instrTex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</w:t>
            </w:r>
            <w:hyperlink w:anchor="_ENREF_1" w:tooltip="Ge, 2020 #81" w:history="1">
              <w:r w:rsidR="005D0AE7" w:rsidRPr="005D0AE7">
                <w:rPr>
                  <w:rStyle w:val="a6"/>
                  <w:rFonts w:ascii="Times New Roman" w:hAnsi="Times New Roman" w:cs="Times New Roman"/>
                  <w:u w:val="none"/>
                </w:rPr>
                <w:t>Ge &amp;Du 2020</w:t>
              </w:r>
            </w:hyperlink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)</w: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5A777E" w:rsidRPr="005D0AE7" w:rsidTr="005A777E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MOF-MA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1080/10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:rsidR="005A777E" w:rsidRPr="005D0AE7" w:rsidRDefault="008E7341" w:rsidP="005D0A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5D0AE7"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ADDIN EN.CITE &lt;EndNote&gt;&lt;Cite&gt;&lt;Author&gt;Wang&lt;/Author&gt;&lt;Year&gt;2020&lt;/Year&gt;&lt;RecNum&gt;82&lt;/RecNum&gt;&lt;DisplayText&gt;(Wang et al. 2020)&lt;/DisplayText&gt;&lt;record&gt;&lt;rec-number&gt;82&lt;/rec-number&gt;&lt;foreign-keys&gt;&lt;key app="EN" db-id="ts9dfpf26epwtue5vzpxwff2t0vvzdp0df9v" timestamp="1633612705"&gt;82&lt;/key&gt;&lt;/foreign-keys&gt;&lt;ref-type name="Journal Article"&gt;17&lt;/ref-type&gt;&lt;contributors&gt;&lt;authors&gt;&lt;author&gt;Wang, Chen&lt;/author&gt;&lt;author&gt;Lin, Guo&lt;/author&gt;&lt;author&gt;Xi, Yunhao&lt;/author&gt;&lt;author&gt;Li, Xiteng&lt;/author&gt;&lt;author&gt;Huang, Zhen&lt;/author&gt;&lt;author&gt;Wang, Shixing&lt;/author&gt;&lt;author&gt;Zhao, Jiling&lt;/author&gt;&lt;author&gt;Zhang, Libo&lt;/author&gt;&lt;/authors&gt;&lt;/contributors&gt;&lt;titles&gt;&lt;title&gt;Development of mercaptosuccinic anchored MOF through one-step preparation to enhance adsorption capacity and selectivity for Hg(II) and Pb(II)&lt;/title&gt;&lt;secondary-title&gt;Journal of Molecular Liquids&lt;/secondary-title&gt;&lt;/titles&gt;&lt;periodical&gt;&lt;full-title&gt;Journal of Molecular Liquids&lt;/full-title&gt;&lt;/periodical&gt;&lt;pages&gt;113896&lt;/pages&gt;&lt;volume&gt;317&lt;/volume&gt;&lt;keywords&gt;&lt;keyword&gt;Hg(II)&lt;/keyword&gt;&lt;keyword&gt;Pb(II)&lt;/keyword&gt;&lt;keyword&gt;Adsorption&lt;/keyword&gt;&lt;keyword&gt;Isotherm&lt;/keyword&gt;&lt;keyword&gt;Kinetic&lt;/keyword&gt;&lt;keyword&gt;DFT&lt;/keyword&gt;&lt;/keywords&gt;&lt;dates&gt;&lt;year&gt;2020&lt;/year&gt;&lt;pub-dates&gt;&lt;date&gt;2020/11/01/&lt;/date&gt;&lt;/pub-dates&gt;&lt;/dates&gt;&lt;isbn&gt;0167-7322&lt;/isbn&gt;&lt;urls&gt;&lt;related-urls&gt;&lt;url&gt;https://www.sciencedirect.com/science/article/pii/S0167732220307303&lt;/url&gt;&lt;/related-urls&gt;&lt;/urls&gt;&lt;electronic-resource-num&gt;https://doi.org/10.1016/j.molliq.2020.113896&lt;/electronic-resource-num&gt;&lt;/record&gt;&lt;/Cite&gt;&lt;/EndNote&gt;</w:instrTex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</w:t>
            </w:r>
            <w:hyperlink w:anchor="_ENREF_9" w:tooltip="Wang, 2020 #82" w:history="1">
              <w:r w:rsidR="005D0AE7" w:rsidRPr="005D0AE7">
                <w:rPr>
                  <w:rStyle w:val="a6"/>
                  <w:rFonts w:ascii="Times New Roman" w:hAnsi="Times New Roman" w:cs="Times New Roman"/>
                  <w:u w:val="none"/>
                </w:rPr>
                <w:t>Wang et al. 2020</w:t>
              </w:r>
            </w:hyperlink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)</w: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5A777E" w:rsidRPr="005D0AE7" w:rsidTr="005A777E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MnFe2O4@Zn-Al LDHs@Cel@AGB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1200/30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9.28/25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:rsidR="005A777E" w:rsidRPr="005D0AE7" w:rsidRDefault="008E7341" w:rsidP="005D0A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5D0AE7"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ADDIN EN.CITE &lt;EndNote&gt;&lt;Cite&gt;&lt;Author&gt;Mahmoud&lt;/Author&gt;&lt;Year&gt;2021&lt;/Year&gt;&lt;RecNum&gt;83&lt;/RecNum&gt;&lt;DisplayText&gt;(Mahmoud et al. 2021)&lt;/DisplayText&gt;&lt;record&gt;&lt;rec-number&gt;83&lt;/rec-number&gt;&lt;foreign-keys&gt;&lt;key app="EN" db-id="ts9dfpf26epwtue5vzpxwff2t0vvzdp0df9v" timestamp="1633613022"&gt;83&lt;/key&gt;&lt;/foreign-keys&gt;&lt;ref-type name="Journal Article"&gt;17&lt;/ref-type&gt;&lt;contributors&gt;&lt;authors&gt;&lt;author&gt;Mahmoud, Mohamed E.&lt;/author&gt;&lt;author&gt;El-Bahy, Salah M.&lt;/author&gt;&lt;author&gt;Elweshahy, Shimaa M. T.&lt;/author&gt;&lt;/authors&gt;&lt;/contributors&gt;&lt;titles&gt;&lt;title&gt;Decorated Mn-ferrite nanoparticle@Zn–Al layered double hydroxide@Cellulose@ activated biochar nanocomposite for efficient remediation of methylene blue and mercury (II)&lt;/title&gt;&lt;secondary-title&gt;Bioresource Technology&lt;/secondary-title&gt;&lt;/titles&gt;&lt;periodical&gt;&lt;full-title&gt;Bioresource Technology&lt;/full-title&gt;&lt;/periodical&gt;&lt;pages&gt;126029&lt;/pages&gt;&lt;volume&gt;342&lt;/volume&gt;&lt;keywords&gt;&lt;keyword&gt;Cellulose, Mn-ferrite nanoparticle&lt;/keyword&gt;&lt;keyword&gt;Layered double hydroxide&lt;/keyword&gt;&lt;keyword&gt;Activated grapes stalks-derived biochar&lt;/keyword&gt;&lt;keyword&gt;Methylene blue dye and Hg(II) removal&lt;/keyword&gt;&lt;/keywords&gt;&lt;dates&gt;&lt;year&gt;2021&lt;/year&gt;&lt;pub-dates&gt;&lt;date&gt;2021/12/01/&lt;/date&gt;&lt;/pub-dates&gt;&lt;/dates&gt;&lt;isbn&gt;0960-8524&lt;/isbn&gt;&lt;urls&gt;&lt;related-urls&gt;&lt;url&gt;https://www.sciencedirect.com/science/article/pii/S0960852421013717&lt;/url&gt;&lt;/related-urls&gt;&lt;/urls&gt;&lt;electronic-resource-num&gt;https://doi.org/10.1016/j.biortech.2021.126029&lt;/electronic-resource-num&gt;&lt;/record&gt;&lt;/Cite&gt;&lt;/EndNote&gt;</w:instrTex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</w:t>
            </w:r>
            <w:hyperlink w:anchor="_ENREF_4" w:tooltip="Mahmoud, 2021 #83" w:history="1">
              <w:r w:rsidR="005D0AE7" w:rsidRPr="005D0AE7">
                <w:rPr>
                  <w:rStyle w:val="a6"/>
                  <w:rFonts w:ascii="Times New Roman" w:hAnsi="Times New Roman" w:cs="Times New Roman"/>
                  <w:u w:val="none"/>
                </w:rPr>
                <w:t>Mahmoud et al. 2021</w:t>
              </w:r>
            </w:hyperlink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)</w: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5A777E" w:rsidRPr="005D0AE7" w:rsidTr="005A777E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GO-EDTA-CS nanocomposite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24/120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41/180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:rsidR="005A777E" w:rsidRPr="005D0AE7" w:rsidRDefault="008E7341" w:rsidP="005D0A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5D0AE7"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ADDIN EN.CITE &lt;EndNote&gt;&lt;Cite&gt;&lt;Author&gt;Verma&lt;/Author&gt;&lt;Year&gt;2022&lt;/Year&gt;&lt;RecNum&gt;84&lt;/RecNum&gt;&lt;DisplayText&gt;(Verma et al. 2022)&lt;/DisplayText&gt;&lt;record&gt;&lt;rec-number&gt;84&lt;/rec-number&gt;&lt;foreign-keys&gt;&lt;key app="EN" db-id="ts9dfpf26epwtue5vzpxwff2t0vvzdp0df9v" timestamp="1633613687"&gt;84&lt;/key&gt;&lt;/foreign-keys&gt;&lt;ref-type name="Journal Article"&gt;17&lt;/ref-type&gt;&lt;contributors&gt;&lt;authors&gt;&lt;author&gt;Verma, Monu&lt;/author&gt;&lt;author&gt;Lee, Ingyu&lt;/author&gt;&lt;author&gt;Oh, Joosung&lt;/author&gt;&lt;author&gt;Kumar, Vinod&lt;/author&gt;&lt;author&gt;Kim, Hyunook&lt;/author&gt;&lt;/authors&gt;&lt;/contributors&gt;&lt;titles&gt;&lt;title&gt;Synthesis of EDTA-functionalized graphene oxide-chitosan nanocomposite for simultaneous removal of inorganic and organic pollutants from complex wastewater&lt;/title&gt;&lt;secondary-title&gt;Chemosphere&lt;/secondary-title&gt;&lt;/titles&gt;&lt;periodical&gt;&lt;full-title&gt;Chemosphere&lt;/full-title&gt;&lt;/periodical&gt;&lt;pages&gt;132385&lt;/pages&gt;&lt;volume&gt;287&lt;/volume&gt;&lt;keywords&gt;&lt;keyword&gt;Kinetics&lt;/keyword&gt;&lt;keyword&gt;Monolayer adsorption&lt;/keyword&gt;&lt;keyword&gt;Multiple pollutants&lt;/keyword&gt;&lt;keyword&gt;Reproducibility&lt;/keyword&gt;&lt;keyword&gt;Wastewater&lt;/keyword&gt;&lt;/keywords&gt;&lt;dates&gt;&lt;year&gt;2022&lt;/year&gt;&lt;pub-dates&gt;&lt;date&gt;2022/01/01/&lt;/date&gt;&lt;/pub-dates&gt;&lt;/dates&gt;&lt;isbn&gt;0045-6535&lt;/isbn&gt;&lt;urls&gt;&lt;related-urls&gt;&lt;url&gt;https://www.sciencedirect.com/science/article/pii/S0045653521028575&lt;/url&gt;&lt;/related-urls&gt;&lt;/urls&gt;&lt;electronic-resource-num&gt;https://doi.org/10.1016/j.chemosphere.2021.132385&lt;/electronic-resource-num&gt;&lt;/record&gt;&lt;/Cite&gt;&lt;/EndNote&gt;</w:instrTex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</w:t>
            </w:r>
            <w:hyperlink w:anchor="_ENREF_8" w:tooltip="Verma, 2022 #84" w:history="1">
              <w:r w:rsidR="005D0AE7" w:rsidRPr="005D0AE7">
                <w:rPr>
                  <w:rStyle w:val="a6"/>
                  <w:rFonts w:ascii="Times New Roman" w:hAnsi="Times New Roman" w:cs="Times New Roman"/>
                  <w:u w:val="none"/>
                </w:rPr>
                <w:t>Verma et al. 2022</w:t>
              </w:r>
            </w:hyperlink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)</w: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5A777E" w:rsidRPr="005D0AE7" w:rsidTr="005A777E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Silica-polyamide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4.6/50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:rsidR="005A777E" w:rsidRPr="005D0AE7" w:rsidRDefault="008E7341" w:rsidP="005D0A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5D0AE7"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ADDIN EN.CITE &lt;EndNote&gt;&lt;Cite&gt;&lt;Author&gt;Osman&lt;/Author&gt;&lt;Year&gt;2020&lt;/Year&gt;&lt;RecNum&gt;85&lt;/RecNum&gt;&lt;DisplayText&gt;(Osman et al. 2020)&lt;/DisplayText&gt;&lt;record&gt;&lt;rec-number&gt;85&lt;/rec-number&gt;&lt;foreign-keys&gt;&lt;key app="EN" db-id="ts9dfpf26epwtue5vzpxwff2t0vvzdp0df9v" timestamp="1633614574"&gt;85&lt;/key&gt;&lt;/foreign-keys&gt;&lt;ref-type name="Journal Article"&gt;17&lt;/ref-type&gt;&lt;contributors&gt;&lt;authors&gt;&lt;author&gt;Osman, Abdalghaffar Mohammad&lt;/author&gt;&lt;author&gt;Hendi, A. H.&lt;/author&gt;&lt;author&gt;Saleh, Tawfik A.&lt;/author&gt;&lt;/authors&gt;&lt;/contributors&gt;&lt;titles&gt;&lt;title&gt;Simultaneous adsorption of dye and toxic metal ions using an interfacially polymerized silica/polyamide nanocomposite: Kinetic and thermodynamic studies&lt;/title&gt;&lt;secondary-title&gt;Journal of Molecular Liquids&lt;/secondary-title&gt;&lt;/titles&gt;&lt;periodical&gt;&lt;full-title&gt;Journal of Molecular Liquids&lt;/full-title&gt;&lt;/periodical&gt;&lt;pages&gt;113640&lt;/pages&gt;&lt;volume&gt;314&lt;/volume&gt;&lt;keywords&gt;&lt;keyword&gt;Water purification&lt;/keyword&gt;&lt;keyword&gt;Advanced SiPA nanocomposite&lt;/keyword&gt;&lt;keyword&gt;MB adsorption&lt;/keyword&gt;&lt;keyword&gt;Isotherm&lt;/keyword&gt;&lt;keyword&gt;Kinetic&lt;/keyword&gt;&lt;/keywords&gt;&lt;dates&gt;&lt;year&gt;2020&lt;/year&gt;&lt;pub-dates&gt;&lt;date&gt;2020/09/15/&lt;/date&gt;&lt;/pub-dates&gt;&lt;/dates&gt;&lt;isbn&gt;0167-7322&lt;/isbn&gt;&lt;urls&gt;&lt;related-urls&gt;&lt;url&gt;https://www.sciencedirect.com/science/article/pii/S0167732220318663&lt;/url&gt;&lt;/related-urls&gt;&lt;/urls&gt;&lt;electronic-resource-num&gt;https://doi.org/10.1016/j.molliq.2020.113640&lt;/electronic-resource-num&gt;&lt;/record&gt;&lt;/Cite&gt;&lt;/EndNote&gt;</w:instrTex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</w:t>
            </w:r>
            <w:hyperlink w:anchor="_ENREF_5" w:tooltip="Osman, 2020 #85" w:history="1">
              <w:r w:rsidR="005D0AE7" w:rsidRPr="005D0AE7">
                <w:rPr>
                  <w:rStyle w:val="a6"/>
                  <w:rFonts w:ascii="Times New Roman" w:hAnsi="Times New Roman" w:cs="Times New Roman"/>
                  <w:u w:val="none"/>
                </w:rPr>
                <w:t>Osman et al. 2020</w:t>
              </w:r>
            </w:hyperlink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)</w: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5A777E" w:rsidRPr="005D0AE7" w:rsidTr="005A777E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Oxone modified hydrochar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6.7/480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:rsidR="005A777E" w:rsidRPr="005D0AE7" w:rsidRDefault="008E7341" w:rsidP="005D0A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5D0AE7"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ADDIN EN.CITE &lt;EndNote&gt;&lt;Cite&gt;&lt;Author&gt;Madduri&lt;/Author&gt;&lt;Year&gt;2020&lt;/Year&gt;&lt;RecNum&gt;86&lt;/RecNum&gt;&lt;DisplayText&gt;(Madduri et al. 2020)&lt;/DisplayText&gt;&lt;record&gt;&lt;rec-number&gt;86&lt;/rec-number&gt;&lt;foreign-keys&gt;&lt;key app="EN" db-id="ts9dfpf26epwtue5vzpxwff2t0vvzdp0df9v" timestamp="1633614952"&gt;86&lt;/key&gt;&lt;/foreign-keys&gt;&lt;ref-type name="Journal Article"&gt;17&lt;/ref-type&gt;&lt;contributors&gt;&lt;authors&gt;&lt;author&gt;Madduri, Sunith&lt;/author&gt;&lt;author&gt;Elsayed, Islam&lt;/author&gt;&lt;author&gt;Hassan, El Barbary&lt;/author&gt;&lt;/authors&gt;&lt;/contributors&gt;&lt;titles&gt;&lt;title&gt;Novel oxone treated hydrochar for the removal of Pb(II) and methylene blue (MB) dye from aqueous solutions&lt;/title&gt;&lt;secondary-title&gt;Chemosphere&lt;/secondary-title&gt;&lt;/titles&gt;&lt;periodical&gt;&lt;full-title&gt;Chemosphere&lt;/full-title&gt;&lt;/periodical&gt;&lt;pages&gt;127683&lt;/pages&gt;&lt;volume&gt;260&lt;/volume&gt;&lt;keywords&gt;&lt;keyword&gt;Hydrochar&lt;/keyword&gt;&lt;keyword&gt;Oxone&lt;/keyword&gt;&lt;keyword&gt;Heavy metals&lt;/keyword&gt;&lt;keyword&gt;Methylene blue&lt;/keyword&gt;&lt;keyword&gt;Sorption&lt;/keyword&gt;&lt;keyword&gt;Water treatment&lt;/keyword&gt;&lt;/keywords&gt;&lt;dates&gt;&lt;year&gt;2020&lt;/year&gt;&lt;pub-dates&gt;&lt;date&gt;2020/12/01/&lt;/date&gt;&lt;/pub-dates&gt;&lt;/dates&gt;&lt;isbn&gt;0045-6535&lt;/isbn&gt;&lt;urls&gt;&lt;related-urls&gt;&lt;url&gt;https://www.sciencedirect.com/science/article/pii/S0045653520318786&lt;/url&gt;&lt;/related-urls&gt;&lt;/urls&gt;&lt;electronic-resource-num&gt;https://doi.org/10.1016/j.chemosphere.2020.127683&lt;/electronic-resource-num&gt;&lt;/record&gt;&lt;/Cite&gt;&lt;/EndNote&gt;</w:instrTex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</w:t>
            </w:r>
            <w:hyperlink w:anchor="_ENREF_3" w:tooltip="Madduri, 2020 #86" w:history="1">
              <w:r w:rsidR="005D0AE7" w:rsidRPr="005D0AE7">
                <w:rPr>
                  <w:rStyle w:val="a6"/>
                  <w:rFonts w:ascii="Times New Roman" w:hAnsi="Times New Roman" w:cs="Times New Roman"/>
                  <w:u w:val="none"/>
                </w:rPr>
                <w:t>Madduri et al. 2020</w:t>
              </w:r>
            </w:hyperlink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)</w: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5A777E" w:rsidRPr="005D0AE7" w:rsidTr="005A777E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GONRs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3.02/12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:rsidR="005A777E" w:rsidRPr="005D0AE7" w:rsidRDefault="008E7341" w:rsidP="005D0A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5D0AE7"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ADDIN EN.CITE &lt;EndNote&gt;&lt;Cite&gt;&lt;Author&gt;Sadeghi&lt;/Author&gt;&lt;Year&gt;2020&lt;/Year&gt;&lt;RecNum&gt;87&lt;/RecNum&gt;&lt;DisplayText&gt;(Sadeghi et al. 2020)&lt;/DisplayText&gt;&lt;record&gt;&lt;rec-number&gt;87&lt;/rec-number&gt;&lt;foreign-keys&gt;&lt;key app="EN" db-id="ts9dfpf26epwtue5vzpxwff2t0vvzdp0df9v" timestamp="1633617080"&gt;87&lt;/key&gt;&lt;/foreign-keys&gt;&lt;ref-type name="Journal Article"&gt;17&lt;/ref-type&gt;&lt;contributors&gt;&lt;authors&gt;&lt;author&gt;Sadeghi, Mohammad Hadi&lt;/author&gt;&lt;author&gt;Tofighy, Maryam Ahmadzadeh&lt;/author&gt;&lt;author&gt;Mohammadi, Toraj&lt;/author&gt;&lt;/authors&gt;&lt;/contributors&gt;&lt;titles&gt;&lt;title&gt;One-dimensional graphene for efficient aqueous heavy metal adsorption: Rapid removal of arsenic and mercury ions by graphene oxide nanoribbons (GONRs)&lt;/title&gt;&lt;secondary-title&gt;Chemosphere&lt;/secondary-title&gt;&lt;/titles&gt;&lt;periodical&gt;&lt;full-title&gt;Chemosphere&lt;/full-title&gt;&lt;/periodical&gt;&lt;pages&gt;126647&lt;/pages&gt;&lt;volume&gt;253&lt;/volume&gt;&lt;keywords&gt;&lt;keyword&gt;Graphene oxide nanoribbons&lt;/keyword&gt;&lt;keyword&gt;Arsenic&lt;/keyword&gt;&lt;keyword&gt;Mercury&lt;/keyword&gt;&lt;keyword&gt;Adsorption isotherm&lt;/keyword&gt;&lt;keyword&gt;Adsorption kinetic&lt;/keyword&gt;&lt;/keywords&gt;&lt;dates&gt;&lt;year&gt;2020&lt;/year&gt;&lt;pub-dates&gt;&lt;date&gt;2020/08/01/&lt;/date&gt;&lt;/pub-dates&gt;&lt;/dates&gt;&lt;isbn&gt;0045-6535&lt;/isbn&gt;&lt;urls&gt;&lt;related-urls&gt;&lt;url&gt;https://www.sciencedirect.com/science/article/pii/S0045653520308407&lt;/url&gt;&lt;/related-urls&gt;&lt;/urls&gt;&lt;electronic-resource-num&gt;https://doi.org/10.1016/j.chemosphere.2020.126647&lt;/electronic-resource-num&gt;&lt;/record&gt;&lt;/Cite&gt;&lt;/EndNote&gt;</w:instrTex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</w:t>
            </w:r>
            <w:hyperlink w:anchor="_ENREF_7" w:tooltip="Sadeghi, 2020 #87" w:history="1">
              <w:r w:rsidR="005D0AE7" w:rsidRPr="005D0AE7">
                <w:rPr>
                  <w:rStyle w:val="a6"/>
                  <w:rFonts w:ascii="Times New Roman" w:hAnsi="Times New Roman" w:cs="Times New Roman"/>
                  <w:u w:val="none"/>
                </w:rPr>
                <w:t>Sadeghi et al. 2020</w:t>
              </w:r>
            </w:hyperlink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)</w: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5A777E" w:rsidRPr="005D0AE7" w:rsidTr="005A777E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BSH–MMT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04.79/360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:rsidR="005A777E" w:rsidRPr="005D0AE7" w:rsidRDefault="008E7341" w:rsidP="005D0A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5D0AE7"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ADDIN EN.CITE &lt;EndNote&gt;&lt;Cite&gt;&lt;Author&gt;Pei&lt;/Author&gt;&lt;Year&gt;2022&lt;/Year&gt;&lt;RecNum&gt;88&lt;/RecNum&gt;&lt;DisplayText&gt;(Pei et al. 2022)&lt;/DisplayText&gt;&lt;record&gt;&lt;rec-number&gt;88&lt;/rec-number&gt;&lt;foreign-keys&gt;&lt;key app="EN" db-id="ts9dfpf26epwtue5vzpxwff2t0vvzdp0df9v" timestamp="1633617519"&gt;88&lt;/key&gt;&lt;/foreign-keys&gt;&lt;ref-type name="Journal Article"&gt;17&lt;/ref-type&gt;&lt;contributors&gt;&lt;authors&gt;&lt;author&gt;Pei, Penggang&lt;/author&gt;&lt;author&gt;Xu, Yingming&lt;/author&gt;&lt;author&gt;Wang, Lin&lt;/author&gt;&lt;author&gt;Liang, Xuefeng&lt;/author&gt;&lt;author&gt;Sun, Yuebing&lt;/author&gt;&lt;/authors&gt;&lt;/contributors&gt;&lt;titles&gt;&lt;title&gt;Thiol-functionalized montmorillonite prepared by one-step mechanochemical grafting and its adsorption performance for mercury and methylmercury&lt;/title&gt;&lt;secondary-title&gt;Science of The Total Environment&lt;/secondary-title&gt;&lt;/titles&gt;&lt;periodical&gt;&lt;full-title&gt;Science of The Total Environment&lt;/full-title&gt;&lt;/periodical&gt;&lt;pages&gt;150510&lt;/pages&gt;&lt;volume&gt;806&lt;/volume&gt;&lt;keywords&gt;&lt;keyword&gt;Montmorillonite&lt;/keyword&gt;&lt;keyword&gt;Thiol functionalization&lt;/keyword&gt;&lt;keyword&gt;Mechanochemical grafting&lt;/keyword&gt;&lt;keyword&gt;Mercury adsorption&lt;/keyword&gt;&lt;keyword&gt;Ligand complexation&lt;/keyword&gt;&lt;/keywords&gt;&lt;dates&gt;&lt;year&gt;2022&lt;/year&gt;&lt;pub-dates&gt;&lt;date&gt;2022/02/01/&lt;/date&gt;&lt;/pub-dates&gt;&lt;/dates&gt;&lt;isbn&gt;0048-9697&lt;/isbn&gt;&lt;urls&gt;&lt;related-urls&gt;&lt;url&gt;https://www.sciencedirect.com/science/article/pii/S004896972105587X&lt;/url&gt;&lt;/related-urls&gt;&lt;/urls&gt;&lt;electronic-resource-num&gt;https://doi.org/10.1016/j.scitotenv.2021.150510&lt;/electronic-resource-num&gt;&lt;/record&gt;&lt;/Cite&gt;&lt;/EndNote&gt;</w:instrTex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</w:t>
            </w:r>
            <w:hyperlink w:anchor="_ENREF_6" w:tooltip="Pei, 2022 #88" w:history="1">
              <w:r w:rsidR="005D0AE7" w:rsidRPr="005D0AE7">
                <w:rPr>
                  <w:rStyle w:val="a6"/>
                  <w:rFonts w:ascii="Times New Roman" w:hAnsi="Times New Roman" w:cs="Times New Roman"/>
                  <w:u w:val="none"/>
                </w:rPr>
                <w:t>Pei et al. 2022</w:t>
              </w:r>
            </w:hyperlink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)</w: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5A777E" w:rsidRPr="005D0AE7" w:rsidTr="005A777E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Salecan/GO sponge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63/60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:rsidR="005A777E" w:rsidRPr="005D0AE7" w:rsidRDefault="008E7341" w:rsidP="005D0A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5D0AE7"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ADDIN EN.CITE &lt;EndNote&gt;&lt;Cite&gt;&lt;Author&gt;Hu&lt;/Author&gt;&lt;Year&gt;2021&lt;/Year&gt;&lt;RecNum&gt;89&lt;/RecNum&gt;&lt;DisplayText&gt;(Hu et al. 2021)&lt;/DisplayText&gt;&lt;record&gt;&lt;rec-number&gt;89&lt;/rec-number&gt;&lt;foreign-keys&gt;&lt;key app="EN" db-id="ts9dfpf26epwtue5vzpxwff2t0vvzdp0df9v" timestamp="1633618328"&gt;89&lt;/key&gt;&lt;/foreign-keys&gt;&lt;ref-type name="Journal Article"&gt;17&lt;/ref-type&gt;&lt;contributors&gt;&lt;authors&gt;&lt;author&gt;Hu, Xinyu&lt;/author&gt;&lt;author&gt;Yan, Linlin&lt;/author&gt;&lt;author&gt;Wang, Yongmei&lt;/author&gt;&lt;author&gt;Xu, Man&lt;/author&gt;&lt;/authors&gt;&lt;/contributors&gt;&lt;titles&gt;&lt;title&gt;Ion-imprinted sponge produced by ice template-assisted freeze drying of salecan and graphene oxide nanosheets for highly selective adsorption of mercury (II) ion&lt;/title&gt;&lt;secondary-title&gt;Carbohydrate Polymers&lt;/secondary-title&gt;&lt;/titles&gt;&lt;periodical&gt;&lt;full-title&gt;Carbohydrate Polymers&lt;/full-title&gt;&lt;/periodical&gt;&lt;pages&gt;117622&lt;/pages&gt;&lt;volume&gt;258&lt;/volume&gt;&lt;keywords&gt;&lt;keyword&gt;Graphene oxide nanosheets&lt;/keyword&gt;&lt;keyword&gt;Salecan&lt;/keyword&gt;&lt;keyword&gt;Ice template-assisted freeze drying&lt;/keyword&gt;&lt;keyword&gt;Ion-imprinting technology&lt;/keyword&gt;&lt;keyword&gt;Strong selectivity toward Hg&lt;/keyword&gt;&lt;/keywords&gt;&lt;dates&gt;&lt;year&gt;2021&lt;/year&gt;&lt;pub-dates&gt;&lt;date&gt;2021/04/15/&lt;/date&gt;&lt;/pub-dates&gt;&lt;/dates&gt;&lt;isbn&gt;0144-8617&lt;/isbn&gt;&lt;urls&gt;&lt;related-urls&gt;&lt;url&gt;https://www.sciencedirect.com/science/article/pii/S0144861721000102&lt;/url&gt;&lt;/related-urls&gt;&lt;/urls&gt;&lt;electronic-resource-num&gt;https://doi.org/10.1016/j.carbpol.2021.117622&lt;/electronic-resource-num&gt;&lt;/record&gt;&lt;/Cite&gt;&lt;/EndNote&gt;</w:instrTex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(</w:t>
            </w:r>
            <w:hyperlink w:anchor="_ENREF_2" w:tooltip="Hu, 2021 #89" w:history="1">
              <w:r w:rsidR="005D0AE7" w:rsidRPr="005D0AE7">
                <w:rPr>
                  <w:rStyle w:val="a6"/>
                  <w:rFonts w:ascii="Times New Roman" w:hAnsi="Times New Roman" w:cs="Times New Roman"/>
                  <w:u w:val="none"/>
                </w:rPr>
                <w:t>Hu et al. 2021</w:t>
              </w:r>
            </w:hyperlink>
            <w:r w:rsidR="005D0AE7" w:rsidRPr="005D0AE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)</w:t>
            </w:r>
            <w:r w:rsidRPr="005D0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5A777E" w:rsidRPr="005D0AE7" w:rsidTr="005A777E">
        <w:trPr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2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TH@WO</w:t>
            </w: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x</w:t>
            </w:r>
            <w:r w:rsidRPr="005D0AE7">
              <w:rPr>
                <w:rFonts w:ascii="Times New Roman" w:hAnsi="Times New Roman" w:cs="Times New Roman"/>
                <w:b w:val="0"/>
                <w:sz w:val="24"/>
                <w:szCs w:val="24"/>
              </w:rPr>
              <w:t>/SP</w:t>
            </w:r>
          </w:p>
        </w:tc>
        <w:tc>
          <w:tcPr>
            <w:tcW w:w="1695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2201.16/30</w:t>
            </w:r>
          </w:p>
        </w:tc>
        <w:tc>
          <w:tcPr>
            <w:tcW w:w="1584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sz w:val="24"/>
                <w:szCs w:val="24"/>
              </w:rPr>
              <w:t>175.01/90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5A777E" w:rsidRPr="005D0AE7" w:rsidRDefault="008E734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AE7">
              <w:rPr>
                <w:rFonts w:ascii="Times New Roman" w:hAnsi="Times New Roman" w:cs="Times New Roman"/>
                <w:bCs/>
                <w:sz w:val="24"/>
                <w:szCs w:val="24"/>
              </w:rPr>
              <w:t>this work</w:t>
            </w:r>
          </w:p>
        </w:tc>
      </w:tr>
    </w:tbl>
    <w:p w:rsidR="005A777E" w:rsidRPr="005D0AE7" w:rsidRDefault="005A777E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777E" w:rsidRPr="005D0AE7" w:rsidRDefault="005A777E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777E" w:rsidRPr="005D0AE7" w:rsidRDefault="005A777E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777E" w:rsidRPr="005D0AE7" w:rsidRDefault="008E734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S6.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Binding energy before and after adsorption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Hg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Ⅱ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MB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TH@WO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/SP.</w:t>
      </w:r>
    </w:p>
    <w:tbl>
      <w:tblPr>
        <w:tblW w:w="992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2126"/>
        <w:gridCol w:w="1985"/>
        <w:gridCol w:w="2126"/>
      </w:tblGrid>
      <w:tr w:rsidR="005A777E" w:rsidRPr="005D0AE7">
        <w:trPr>
          <w:trHeight w:val="463"/>
          <w:jc w:val="center"/>
        </w:trPr>
        <w:tc>
          <w:tcPr>
            <w:tcW w:w="368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  <w:w w:val="105"/>
                <w:kern w:val="0"/>
                <w:lang w:val="en-GB"/>
              </w:rPr>
              <w:t>Object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Original (eV)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Loded with Hg (eV)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Loded with MB (eV)</w:t>
            </w:r>
          </w:p>
        </w:tc>
      </w:tr>
      <w:tr w:rsidR="005A777E" w:rsidRPr="005D0AE7">
        <w:trPr>
          <w:trHeight w:val="452"/>
          <w:jc w:val="center"/>
        </w:trPr>
        <w:tc>
          <w:tcPr>
            <w:tcW w:w="1843" w:type="dxa"/>
            <w:vMerge w:val="restart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Hg4f</w:t>
            </w: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Hg4f</w:t>
            </w:r>
            <w:r w:rsidRPr="005D0AE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7/2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103.30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Hg4f</w:t>
            </w:r>
            <w:r w:rsidRPr="005D0AE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5/2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106.22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 w:val="restart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W4f</w:t>
            </w: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W4f</w:t>
            </w:r>
            <w:r w:rsidRPr="005D0AE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7/2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Ⅵ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6.10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6.09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6.15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W4f</w:t>
            </w:r>
            <w:r w:rsidRPr="005D0AE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5/2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Ⅵ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8.24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8.23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8.29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W4f</w:t>
            </w:r>
            <w:r w:rsidRPr="005D0AE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7/2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Ⅴ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5.31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35.53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W4f</w:t>
            </w:r>
            <w:r w:rsidRPr="005D0AE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5/2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Ⅴ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7.38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37.60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 w:val="restart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S2p</w:t>
            </w: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S2p</w:t>
            </w:r>
            <w:r w:rsidRPr="005D0AE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3/2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63.61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64.04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63.64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S2p</w:t>
            </w:r>
            <w:r w:rsidRPr="005D0AE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1/2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64.71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65.14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64.74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 w:val="restart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N1s</w:t>
            </w: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C–N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99.93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00.09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00.02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N–H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01.89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02.15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01.85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 w:val="restart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C1s</w:t>
            </w: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–C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84.80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84.80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284.80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–O/C–N/C–S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86.21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86.31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86.23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=O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89.04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89.15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89.05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 w:val="restart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O1s</w:t>
            </w: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O–W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31.12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31.55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31.15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O–C/O=C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32.44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32.75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32.43</w:t>
            </w:r>
          </w:p>
        </w:tc>
      </w:tr>
      <w:tr w:rsidR="005A777E" w:rsidRPr="005D0AE7">
        <w:trPr>
          <w:trHeight w:val="475"/>
          <w:jc w:val="center"/>
        </w:trPr>
        <w:tc>
          <w:tcPr>
            <w:tcW w:w="1843" w:type="dxa"/>
            <w:vMerge/>
          </w:tcPr>
          <w:p w:rsidR="005A777E" w:rsidRPr="005D0AE7" w:rsidRDefault="005A77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H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33.37</w:t>
            </w:r>
          </w:p>
        </w:tc>
        <w:tc>
          <w:tcPr>
            <w:tcW w:w="1985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33.64</w:t>
            </w:r>
          </w:p>
        </w:tc>
        <w:tc>
          <w:tcPr>
            <w:tcW w:w="2126" w:type="dxa"/>
            <w:vAlign w:val="center"/>
          </w:tcPr>
          <w:p w:rsidR="005A777E" w:rsidRPr="005D0AE7" w:rsidRDefault="008E734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0AE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5D0AE7">
              <w:rPr>
                <w:rFonts w:ascii="Times New Roman" w:hAnsi="Times New Roman" w:cs="Times New Roman"/>
                <w:color w:val="000000" w:themeColor="text1"/>
              </w:rPr>
              <w:t>33.40</w:t>
            </w:r>
          </w:p>
        </w:tc>
      </w:tr>
    </w:tbl>
    <w:p w:rsidR="005A777E" w:rsidRPr="005D0AE7" w:rsidRDefault="005A777E">
      <w:pPr>
        <w:spacing w:line="480" w:lineRule="auto"/>
        <w:ind w:firstLineChars="150" w:firstLine="315"/>
        <w:rPr>
          <w:rFonts w:ascii="Times New Roman" w:hAnsi="Times New Roman" w:cs="Times New Roman"/>
          <w:color w:val="000000" w:themeColor="text1"/>
        </w:rPr>
      </w:pPr>
    </w:p>
    <w:p w:rsidR="005A777E" w:rsidRPr="005D0AE7" w:rsidRDefault="005A777E">
      <w:pPr>
        <w:pStyle w:val="VAFigureCaption"/>
        <w:ind w:firstLineChars="150" w:firstLine="360"/>
        <w:jc w:val="center"/>
        <w:rPr>
          <w:color w:val="000000"/>
        </w:rPr>
      </w:pPr>
    </w:p>
    <w:p w:rsidR="005A777E" w:rsidRPr="005D0AE7" w:rsidRDefault="008E7341">
      <w:pPr>
        <w:pStyle w:val="VAFigureCaption"/>
        <w:ind w:firstLineChars="150" w:firstLine="360"/>
        <w:jc w:val="center"/>
        <w:rPr>
          <w:color w:val="000000"/>
        </w:rPr>
      </w:pPr>
      <w:r w:rsidRPr="005D0AE7">
        <w:rPr>
          <w:noProof/>
          <w:color w:val="000000"/>
        </w:rPr>
        <w:drawing>
          <wp:inline distT="0" distB="0" distL="0" distR="0">
            <wp:extent cx="5274310" cy="5690870"/>
            <wp:effectExtent l="0" t="0" r="2540" b="5080"/>
            <wp:docPr id="3" name="图片 3" descr="C:\Users\49853\Desktop\self-2021.10.2\Figure S2-改下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49853\Desktop\self-2021.10.2\Figure S2-改下标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77E" w:rsidRPr="005D0AE7" w:rsidRDefault="008E734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AE7">
        <w:rPr>
          <w:rFonts w:ascii="Times New Roman" w:hAnsi="Times New Roman" w:cs="Times New Roman"/>
          <w:b/>
          <w:sz w:val="24"/>
          <w:szCs w:val="24"/>
        </w:rPr>
        <w:t>Figure S</w:t>
      </w:r>
      <w:r w:rsidRPr="005D0AE7">
        <w:rPr>
          <w:rFonts w:ascii="Times New Roman" w:hAnsi="Times New Roman" w:cs="Times New Roman"/>
          <w:b/>
          <w:sz w:val="24"/>
          <w:szCs w:val="24"/>
        </w:rPr>
        <w:t>1</w:t>
      </w:r>
      <w:r w:rsidRPr="005D0AE7">
        <w:rPr>
          <w:rFonts w:ascii="Times New Roman" w:hAnsi="Times New Roman" w:cs="Times New Roman"/>
          <w:b/>
          <w:sz w:val="24"/>
          <w:szCs w:val="24"/>
        </w:rPr>
        <w:t>.</w:t>
      </w:r>
      <w:r w:rsidRPr="005D0AE7">
        <w:rPr>
          <w:rFonts w:ascii="Times New Roman" w:hAnsi="Times New Roman" w:cs="Times New Roman"/>
          <w:sz w:val="24"/>
          <w:szCs w:val="24"/>
        </w:rPr>
        <w:t xml:space="preserve"> Comparison of the XPS spectra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before and after adsorption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MB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TH@WO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5D0AE7">
        <w:rPr>
          <w:rFonts w:ascii="Times New Roman" w:hAnsi="Times New Roman" w:cs="Times New Roman"/>
          <w:color w:val="000000" w:themeColor="text1"/>
          <w:sz w:val="24"/>
          <w:szCs w:val="24"/>
        </w:rPr>
        <w:t>/SP.</w:t>
      </w:r>
    </w:p>
    <w:p w:rsidR="005A777E" w:rsidRPr="005D0AE7" w:rsidRDefault="005A777E">
      <w:pPr>
        <w:pStyle w:val="VAFigureCaption"/>
        <w:ind w:firstLineChars="0" w:firstLine="0"/>
        <w:rPr>
          <w:color w:val="000000"/>
        </w:rPr>
      </w:pPr>
    </w:p>
    <w:p w:rsidR="005A777E" w:rsidRPr="005D0AE7" w:rsidRDefault="005D0AE7" w:rsidP="005D0AE7">
      <w:pPr>
        <w:pStyle w:val="TDAcknowledgments"/>
        <w:spacing w:beforeLines="50" w:before="156" w:afterLines="50" w:after="156"/>
        <w:ind w:firstLine="0"/>
        <w:rPr>
          <w:rFonts w:ascii="Times New Roman" w:hAnsi="Times New Roman"/>
          <w:b/>
          <w:color w:val="000000" w:themeColor="text1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 w:themeColor="text1"/>
          <w:kern w:val="2"/>
          <w:sz w:val="28"/>
          <w:szCs w:val="28"/>
          <w:lang w:val="en-GB" w:eastAsia="zh-CN"/>
        </w:rPr>
        <w:lastRenderedPageBreak/>
        <w:t>R</w:t>
      </w:r>
      <w:r w:rsidR="008E7341" w:rsidRPr="005D0AE7">
        <w:rPr>
          <w:rFonts w:ascii="Times New Roman" w:hAnsi="Times New Roman"/>
          <w:b/>
          <w:color w:val="000000" w:themeColor="text1"/>
          <w:kern w:val="2"/>
          <w:sz w:val="28"/>
          <w:szCs w:val="28"/>
          <w:lang w:val="en-GB" w:eastAsia="zh-CN"/>
        </w:rPr>
        <w:t>eferences</w:t>
      </w:r>
      <w:bookmarkStart w:id="0" w:name="_GoBack"/>
      <w:bookmarkEnd w:id="0"/>
    </w:p>
    <w:p w:rsidR="005D0AE7" w:rsidRPr="005D0AE7" w:rsidRDefault="008E7341" w:rsidP="005D0AE7">
      <w:pPr>
        <w:pStyle w:val="EndNoteBibliography"/>
        <w:spacing w:line="480" w:lineRule="auto"/>
        <w:ind w:left="720" w:hanging="720"/>
        <w:rPr>
          <w:noProof/>
        </w:rPr>
      </w:pPr>
      <w:r w:rsidRPr="005D0AE7">
        <w:rPr>
          <w:color w:val="000000"/>
        </w:rPr>
        <w:fldChar w:fldCharType="begin"/>
      </w:r>
      <w:r w:rsidRPr="005D0AE7">
        <w:rPr>
          <w:color w:val="000000"/>
        </w:rPr>
        <w:instrText xml:space="preserve"> ADDIN EN.REFLIST </w:instrText>
      </w:r>
      <w:r w:rsidRPr="005D0AE7">
        <w:rPr>
          <w:color w:val="000000"/>
        </w:rPr>
        <w:fldChar w:fldCharType="separate"/>
      </w:r>
      <w:bookmarkStart w:id="1" w:name="_ENREF_1"/>
      <w:r w:rsidR="005D0AE7" w:rsidRPr="005D0AE7">
        <w:rPr>
          <w:noProof/>
        </w:rPr>
        <w:t>Ge H, Du J (2020): Selective adsorption of Pb(II) and Hg(II) on melamine-grafted chitosan. International Journal of Biological Macromolecules 162, 1880-1887</w:t>
      </w:r>
      <w:bookmarkEnd w:id="1"/>
    </w:p>
    <w:p w:rsidR="005D0AE7" w:rsidRPr="005D0AE7" w:rsidRDefault="005D0AE7" w:rsidP="005D0AE7">
      <w:pPr>
        <w:pStyle w:val="EndNoteBibliography"/>
        <w:spacing w:line="480" w:lineRule="auto"/>
        <w:ind w:left="720" w:hanging="720"/>
        <w:rPr>
          <w:noProof/>
        </w:rPr>
      </w:pPr>
      <w:bookmarkStart w:id="2" w:name="_ENREF_2"/>
      <w:r w:rsidRPr="005D0AE7">
        <w:rPr>
          <w:noProof/>
        </w:rPr>
        <w:t>Hu X, Yan L, Wang Y, Xu M (2021): Ion-imprinted sponge produced by ice template-assisted freeze drying of salecan and graphene oxide nanosheets for highly selective adsorption of mercury (II) ion. Carbohydrate Polymers 258, 117622</w:t>
      </w:r>
      <w:bookmarkEnd w:id="2"/>
    </w:p>
    <w:p w:rsidR="005D0AE7" w:rsidRPr="005D0AE7" w:rsidRDefault="005D0AE7" w:rsidP="005D0AE7">
      <w:pPr>
        <w:pStyle w:val="EndNoteBibliography"/>
        <w:spacing w:line="480" w:lineRule="auto"/>
        <w:ind w:left="720" w:hanging="720"/>
        <w:rPr>
          <w:noProof/>
        </w:rPr>
      </w:pPr>
      <w:bookmarkStart w:id="3" w:name="_ENREF_3"/>
      <w:r w:rsidRPr="005D0AE7">
        <w:rPr>
          <w:noProof/>
        </w:rPr>
        <w:t>Madduri S, Elsayed I, Hassan EB (2020): Novel oxone treated hydrochar for the removal of Pb(II) and methylene blue (MB) dye from aqueous solutions. Chemosphere 260, 127683</w:t>
      </w:r>
      <w:bookmarkEnd w:id="3"/>
    </w:p>
    <w:p w:rsidR="005D0AE7" w:rsidRPr="005D0AE7" w:rsidRDefault="005D0AE7" w:rsidP="005D0AE7">
      <w:pPr>
        <w:pStyle w:val="EndNoteBibliography"/>
        <w:spacing w:line="480" w:lineRule="auto"/>
        <w:ind w:left="720" w:hanging="720"/>
        <w:rPr>
          <w:noProof/>
        </w:rPr>
      </w:pPr>
      <w:bookmarkStart w:id="4" w:name="_ENREF_4"/>
      <w:r w:rsidRPr="005D0AE7">
        <w:rPr>
          <w:noProof/>
        </w:rPr>
        <w:t>Mahmoud ME, El-Bahy SM, Elweshahy SMT (2021): Decorated Mn-ferrite nanoparticle@Zn–Al layered double hydroxide@Cellulose@ activated biochar nanocomposite for efficient remediation of methylene blue and mercury (II). Bioresource Technology 342, 126029</w:t>
      </w:r>
      <w:bookmarkEnd w:id="4"/>
    </w:p>
    <w:p w:rsidR="005D0AE7" w:rsidRPr="005D0AE7" w:rsidRDefault="005D0AE7" w:rsidP="005D0AE7">
      <w:pPr>
        <w:pStyle w:val="EndNoteBibliography"/>
        <w:spacing w:line="480" w:lineRule="auto"/>
        <w:ind w:left="720" w:hanging="720"/>
        <w:rPr>
          <w:noProof/>
        </w:rPr>
      </w:pPr>
      <w:bookmarkStart w:id="5" w:name="_ENREF_5"/>
      <w:r w:rsidRPr="005D0AE7">
        <w:rPr>
          <w:noProof/>
        </w:rPr>
        <w:t>Osman AM, Hendi AH, Saleh TA (2020): Simultaneous adsorption of dye and toxic metal ions using an interfacially polymerized silica/polyamide nanocomposite: Kinetic and thermodynamic studies. Journal of Molecular Liquids 314, 113640</w:t>
      </w:r>
      <w:bookmarkEnd w:id="5"/>
    </w:p>
    <w:p w:rsidR="005D0AE7" w:rsidRPr="005D0AE7" w:rsidRDefault="005D0AE7" w:rsidP="005D0AE7">
      <w:pPr>
        <w:pStyle w:val="EndNoteBibliography"/>
        <w:spacing w:line="480" w:lineRule="auto"/>
        <w:ind w:left="720" w:hanging="720"/>
        <w:rPr>
          <w:noProof/>
        </w:rPr>
      </w:pPr>
      <w:bookmarkStart w:id="6" w:name="_ENREF_6"/>
      <w:r w:rsidRPr="005D0AE7">
        <w:rPr>
          <w:noProof/>
        </w:rPr>
        <w:t>Pei P, Xu Y, Wang L, Liang X, Sun Y (2022): Thiol-functionalized montmorillonite prepared by one-step mechanochemical grafting and its adsorption performance for mercury and methylmercury. Science of The Total Environment 806, 150510</w:t>
      </w:r>
      <w:bookmarkEnd w:id="6"/>
    </w:p>
    <w:p w:rsidR="005D0AE7" w:rsidRPr="005D0AE7" w:rsidRDefault="005D0AE7" w:rsidP="005D0AE7">
      <w:pPr>
        <w:pStyle w:val="EndNoteBibliography"/>
        <w:spacing w:line="480" w:lineRule="auto"/>
        <w:ind w:left="720" w:hanging="720"/>
        <w:rPr>
          <w:noProof/>
        </w:rPr>
      </w:pPr>
      <w:bookmarkStart w:id="7" w:name="_ENREF_7"/>
      <w:r w:rsidRPr="005D0AE7">
        <w:rPr>
          <w:noProof/>
        </w:rPr>
        <w:t xml:space="preserve">Sadeghi MH, Tofighy MA, Mohammadi T (2020): One-dimensional graphene for efficient aqueous heavy metal adsorption: Rapid removal of arsenic and </w:t>
      </w:r>
      <w:r w:rsidRPr="005D0AE7">
        <w:rPr>
          <w:noProof/>
        </w:rPr>
        <w:lastRenderedPageBreak/>
        <w:t>mercury ions by graphene oxide nanoribbons (GONRs). Chemosphere 253, 126647</w:t>
      </w:r>
      <w:bookmarkEnd w:id="7"/>
    </w:p>
    <w:p w:rsidR="005D0AE7" w:rsidRPr="005D0AE7" w:rsidRDefault="005D0AE7" w:rsidP="005D0AE7">
      <w:pPr>
        <w:pStyle w:val="EndNoteBibliography"/>
        <w:spacing w:line="480" w:lineRule="auto"/>
        <w:ind w:left="720" w:hanging="720"/>
        <w:rPr>
          <w:noProof/>
        </w:rPr>
      </w:pPr>
      <w:bookmarkStart w:id="8" w:name="_ENREF_8"/>
      <w:r w:rsidRPr="005D0AE7">
        <w:rPr>
          <w:noProof/>
        </w:rPr>
        <w:t>Verma M, Lee I, Oh J, Kumar V, Kim H (2022): Synthesis of EDTA-functionalized graphene oxide-chitosan nanocomposite for simultaneous removal of inorganic and organic pollutants from complex wastewater. Chemosphere 287, 132385</w:t>
      </w:r>
      <w:bookmarkEnd w:id="8"/>
    </w:p>
    <w:p w:rsidR="005D0AE7" w:rsidRPr="005D0AE7" w:rsidRDefault="005D0AE7" w:rsidP="005D0AE7">
      <w:pPr>
        <w:pStyle w:val="EndNoteBibliography"/>
        <w:spacing w:line="480" w:lineRule="auto"/>
        <w:ind w:left="720" w:hanging="720"/>
        <w:rPr>
          <w:noProof/>
        </w:rPr>
      </w:pPr>
      <w:bookmarkStart w:id="9" w:name="_ENREF_9"/>
      <w:r w:rsidRPr="005D0AE7">
        <w:rPr>
          <w:noProof/>
        </w:rPr>
        <w:t>Wang C, Lin G, Xi Y, Li X, Huang Z, Wang S, Zhao J, Zhang L (2020): Development of mercaptosuccinic anchored MOF through one-step preparation to enhance adsorption capacity and selectivity for Hg(II) and Pb(II). Journal of Molecular Liquids 317, 113896</w:t>
      </w:r>
      <w:bookmarkEnd w:id="9"/>
    </w:p>
    <w:p w:rsidR="005A777E" w:rsidRPr="005D0AE7" w:rsidRDefault="008E7341" w:rsidP="005D0AE7">
      <w:pPr>
        <w:pStyle w:val="VAFigureCaption"/>
        <w:ind w:left="485" w:hangingChars="202" w:hanging="485"/>
        <w:jc w:val="both"/>
        <w:rPr>
          <w:color w:val="000000"/>
        </w:rPr>
      </w:pPr>
      <w:r w:rsidRPr="005D0AE7">
        <w:rPr>
          <w:color w:val="000000"/>
        </w:rPr>
        <w:fldChar w:fldCharType="end"/>
      </w:r>
    </w:p>
    <w:sectPr w:rsidR="005A777E" w:rsidRPr="005D0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341" w:rsidRDefault="008E7341" w:rsidP="005D0AE7">
      <w:r>
        <w:separator/>
      </w:r>
    </w:p>
  </w:endnote>
  <w:endnote w:type="continuationSeparator" w:id="0">
    <w:p w:rsidR="008E7341" w:rsidRDefault="008E7341" w:rsidP="005D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RM">
    <w:altName w:val="宋体"/>
    <w:charset w:val="86"/>
    <w:family w:val="auto"/>
    <w:pitch w:val="default"/>
    <w:sig w:usb0="00000000" w:usb1="00000000" w:usb2="00000010" w:usb3="00000000" w:csb0="000C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341" w:rsidRDefault="008E7341" w:rsidP="005D0AE7">
      <w:r>
        <w:separator/>
      </w:r>
    </w:p>
  </w:footnote>
  <w:footnote w:type="continuationSeparator" w:id="0">
    <w:p w:rsidR="008E7341" w:rsidRDefault="008E7341" w:rsidP="005D0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wMDI3YjNmNTEzNDNhN2ViMzIxZWEwY2FlYzI5Yj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Sci Pollut Res (N-Y)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/Libraries&gt;"/>
  </w:docVars>
  <w:rsids>
    <w:rsidRoot w:val="00026FD2"/>
    <w:rsid w:val="00026FD2"/>
    <w:rsid w:val="0003286C"/>
    <w:rsid w:val="000469EE"/>
    <w:rsid w:val="00052BFC"/>
    <w:rsid w:val="00073095"/>
    <w:rsid w:val="000B4BFA"/>
    <w:rsid w:val="00307168"/>
    <w:rsid w:val="003375BE"/>
    <w:rsid w:val="00396851"/>
    <w:rsid w:val="00396B79"/>
    <w:rsid w:val="003F20DA"/>
    <w:rsid w:val="00457072"/>
    <w:rsid w:val="004D3E2D"/>
    <w:rsid w:val="0055166A"/>
    <w:rsid w:val="005906F1"/>
    <w:rsid w:val="005A777E"/>
    <w:rsid w:val="005D0AE7"/>
    <w:rsid w:val="005D2AEB"/>
    <w:rsid w:val="006F4698"/>
    <w:rsid w:val="00707D53"/>
    <w:rsid w:val="0073421C"/>
    <w:rsid w:val="00750B00"/>
    <w:rsid w:val="007D012A"/>
    <w:rsid w:val="007D32C3"/>
    <w:rsid w:val="00874614"/>
    <w:rsid w:val="00881764"/>
    <w:rsid w:val="008C3C2C"/>
    <w:rsid w:val="008E7341"/>
    <w:rsid w:val="008F5858"/>
    <w:rsid w:val="009D1556"/>
    <w:rsid w:val="00A122C2"/>
    <w:rsid w:val="00A4700C"/>
    <w:rsid w:val="00A62C61"/>
    <w:rsid w:val="00AC085F"/>
    <w:rsid w:val="00AF384A"/>
    <w:rsid w:val="00B82DB5"/>
    <w:rsid w:val="00C93AB1"/>
    <w:rsid w:val="00D7051F"/>
    <w:rsid w:val="00D72802"/>
    <w:rsid w:val="00DB50E4"/>
    <w:rsid w:val="00E3415E"/>
    <w:rsid w:val="00E600A0"/>
    <w:rsid w:val="00F12A24"/>
    <w:rsid w:val="00F227C2"/>
    <w:rsid w:val="00F273C7"/>
    <w:rsid w:val="00F50E28"/>
    <w:rsid w:val="00FA0BAF"/>
    <w:rsid w:val="00FF7C67"/>
    <w:rsid w:val="040A11AC"/>
    <w:rsid w:val="0D862167"/>
    <w:rsid w:val="21565408"/>
    <w:rsid w:val="27495B73"/>
    <w:rsid w:val="28245E7B"/>
    <w:rsid w:val="2A162EE7"/>
    <w:rsid w:val="3F207245"/>
    <w:rsid w:val="4B070586"/>
    <w:rsid w:val="54AE7F73"/>
    <w:rsid w:val="58853F91"/>
    <w:rsid w:val="5D460D6B"/>
    <w:rsid w:val="5F833D60"/>
    <w:rsid w:val="60A82773"/>
    <w:rsid w:val="692D1C6F"/>
    <w:rsid w:val="6969199F"/>
    <w:rsid w:val="6BD01835"/>
    <w:rsid w:val="7012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4F9BC1-4AFE-4146-B194-4DF177C6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VAFigureCaption">
    <w:name w:val="VA_Figure_Caption"/>
    <w:basedOn w:val="a"/>
    <w:qFormat/>
    <w:pPr>
      <w:widowControl/>
      <w:adjustRightInd w:val="0"/>
      <w:snapToGrid w:val="0"/>
      <w:spacing w:after="200" w:line="480" w:lineRule="auto"/>
      <w:ind w:firstLineChars="100" w:firstLine="240"/>
      <w:jc w:val="left"/>
    </w:pPr>
    <w:rPr>
      <w:rFonts w:ascii="Times New Roman" w:eastAsia="微软雅黑" w:hAnsi="Times New Roman" w:cs="Times New Roman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table" w:customStyle="1" w:styleId="61">
    <w:name w:val="清单表 6 彩色1"/>
    <w:basedOn w:val="a1"/>
    <w:uiPriority w:val="51"/>
    <w:qFormat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DAcknowledgments">
    <w:name w:val="TD_Acknowledgments"/>
    <w:basedOn w:val="a"/>
    <w:next w:val="a"/>
    <w:qFormat/>
    <w:pPr>
      <w:widowControl/>
      <w:spacing w:before="200" w:after="200" w:line="480" w:lineRule="auto"/>
      <w:ind w:firstLine="202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rFonts w:ascii="Times New Roman" w:hAnsi="Times New Roman" w:cs="Times New Roman"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qFormat/>
    <w:rPr>
      <w:rFonts w:ascii="Times New Roman" w:hAnsi="Times New Roman" w:cs="Times New Roman"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Char"/>
    <w:qFormat/>
    <w:pPr>
      <w:jc w:val="left"/>
    </w:pPr>
    <w:rPr>
      <w:rFonts w:ascii="Times New Roman" w:hAnsi="Times New Roman" w:cs="Times New Roman"/>
      <w:sz w:val="24"/>
    </w:rPr>
  </w:style>
  <w:style w:type="character" w:customStyle="1" w:styleId="EndNoteBibliographyChar">
    <w:name w:val="EndNote Bibliography Char"/>
    <w:basedOn w:val="a0"/>
    <w:link w:val="EndNoteBibliography"/>
    <w:qFormat/>
    <w:rPr>
      <w:rFonts w:ascii="Times New Roman" w:hAnsi="Times New Roman" w:cs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3010</Words>
  <Characters>17160</Characters>
  <Application>Microsoft Office Word</Application>
  <DocSecurity>0</DocSecurity>
  <Lines>143</Lines>
  <Paragraphs>40</Paragraphs>
  <ScaleCrop>false</ScaleCrop>
  <Company>Microsoft</Company>
  <LinksUpToDate>false</LinksUpToDate>
  <CharactersWithSpaces>20130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 超</dc:creator>
  <cp:lastModifiedBy>耿 超</cp:lastModifiedBy>
  <cp:revision>19</cp:revision>
  <dcterms:created xsi:type="dcterms:W3CDTF">2021-09-01T14:01:00Z</dcterms:created>
  <dcterms:modified xsi:type="dcterms:W3CDTF">2022-10-19T02:05:00Z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13C3D45CDE26491D8EA963F2369BDC6D</vt:lpwstr>
  </property>
</Properties>
</file>