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CB14F" w14:textId="3DBB4BEE" w:rsidR="0064058D" w:rsidRPr="00DF5CC5" w:rsidRDefault="0064058D" w:rsidP="0064058D">
      <w:pPr>
        <w:spacing w:after="280"/>
        <w:jc w:val="center"/>
        <w:rPr>
          <w:rFonts w:asciiTheme="majorBidi" w:hAnsiTheme="majorBidi" w:cstheme="majorBidi"/>
          <w:b/>
          <w:bCs/>
          <w:sz w:val="28"/>
          <w:szCs w:val="28"/>
        </w:rPr>
      </w:pPr>
      <w:bookmarkStart w:id="0" w:name="_Hlk104888103"/>
      <w:r w:rsidRPr="00DF5CC5">
        <w:rPr>
          <w:rFonts w:asciiTheme="majorBidi" w:hAnsiTheme="majorBidi" w:cstheme="majorBidi"/>
          <w:b/>
          <w:bCs/>
          <w:sz w:val="28"/>
          <w:szCs w:val="28"/>
        </w:rPr>
        <w:t>ROS-mediated</w:t>
      </w:r>
      <w:r w:rsidRPr="00DF5CC5">
        <w:t xml:space="preserve"> </w:t>
      </w:r>
      <w:r w:rsidRPr="00DF5CC5">
        <w:rPr>
          <w:rFonts w:asciiTheme="majorBidi" w:hAnsiTheme="majorBidi" w:cstheme="majorBidi"/>
          <w:b/>
          <w:bCs/>
          <w:sz w:val="28"/>
          <w:szCs w:val="28"/>
        </w:rPr>
        <w:t>antitumor activity, apoptosis, and molecular docking studies of platinum (II) complexes bearing 2-(</w:t>
      </w:r>
      <w:proofErr w:type="spellStart"/>
      <w:r w:rsidRPr="00DF5CC5">
        <w:rPr>
          <w:rFonts w:asciiTheme="majorBidi" w:hAnsiTheme="majorBidi" w:cstheme="majorBidi"/>
          <w:b/>
          <w:bCs/>
          <w:sz w:val="28"/>
          <w:szCs w:val="28"/>
        </w:rPr>
        <w:t>diphenylphosphino</w:t>
      </w:r>
      <w:proofErr w:type="spellEnd"/>
      <w:r w:rsidRPr="00DF5CC5">
        <w:rPr>
          <w:rFonts w:asciiTheme="majorBidi" w:hAnsiTheme="majorBidi" w:cstheme="majorBidi"/>
          <w:b/>
          <w:bCs/>
          <w:sz w:val="28"/>
          <w:szCs w:val="28"/>
        </w:rPr>
        <w:t>)pyridine ligand</w:t>
      </w:r>
    </w:p>
    <w:p w14:paraId="28F85DE1" w14:textId="24DC67D5" w:rsidR="00DF5CC5" w:rsidRPr="00DF5CC5" w:rsidRDefault="00DF5CC5" w:rsidP="00DF5CC5">
      <w:pPr>
        <w:jc w:val="both"/>
        <w:rPr>
          <w:rFonts w:cs="Times New Roman"/>
          <w:i/>
          <w:iCs/>
          <w:color w:val="000000" w:themeColor="text1"/>
          <w:lang w:val="en-GB"/>
        </w:rPr>
      </w:pPr>
      <w:r w:rsidRPr="00DF5CC5">
        <w:rPr>
          <w:rFonts w:cs="Times New Roman"/>
          <w:i/>
          <w:iCs/>
          <w:color w:val="000000" w:themeColor="text1"/>
        </w:rPr>
        <w:t xml:space="preserve">Masood </w:t>
      </w:r>
      <w:proofErr w:type="spellStart"/>
      <w:r w:rsidRPr="00DF5CC5">
        <w:rPr>
          <w:rFonts w:cs="Times New Roman"/>
          <w:i/>
          <w:iCs/>
          <w:color w:val="000000" w:themeColor="text1"/>
        </w:rPr>
        <w:t>Fereidoonnezhad</w:t>
      </w:r>
      <w:proofErr w:type="spellEnd"/>
      <w:r w:rsidR="00DF7A51">
        <w:rPr>
          <w:rFonts w:cs="Times New Roman"/>
          <w:i/>
          <w:iCs/>
          <w:color w:val="000000" w:themeColor="text1"/>
        </w:rPr>
        <w:t xml:space="preserve"> </w:t>
      </w:r>
      <w:proofErr w:type="spellStart"/>
      <w:proofErr w:type="gramStart"/>
      <w:r w:rsidRPr="00DF5CC5">
        <w:rPr>
          <w:rFonts w:cs="Times New Roman"/>
          <w:i/>
          <w:iCs/>
          <w:color w:val="000000" w:themeColor="text1"/>
          <w:vertAlign w:val="superscript"/>
          <w:lang w:val="en-GB"/>
        </w:rPr>
        <w:t>a,b</w:t>
      </w:r>
      <w:proofErr w:type="spellEnd"/>
      <w:proofErr w:type="gramEnd"/>
      <w:r w:rsidR="00DF7A51" w:rsidRPr="00DF7A51">
        <w:rPr>
          <w:rFonts w:cs="Times New Roman"/>
          <w:i/>
          <w:iCs/>
          <w:color w:val="000000" w:themeColor="text1"/>
          <w:lang w:val="en-GB"/>
        </w:rPr>
        <w:t>,</w:t>
      </w:r>
      <w:r w:rsidRPr="00DF5CC5">
        <w:rPr>
          <w:rFonts w:cs="Times New Roman"/>
          <w:i/>
          <w:iCs/>
          <w:color w:val="000000" w:themeColor="text1"/>
          <w:lang w:val="en-GB"/>
        </w:rPr>
        <w:t xml:space="preserve"> </w:t>
      </w:r>
      <w:proofErr w:type="spellStart"/>
      <w:r w:rsidRPr="00DF5CC5">
        <w:rPr>
          <w:rFonts w:cs="Times New Roman"/>
          <w:i/>
          <w:iCs/>
          <w:color w:val="000000" w:themeColor="text1"/>
          <w:lang w:val="en-GB"/>
        </w:rPr>
        <w:t>Sedigheh</w:t>
      </w:r>
      <w:proofErr w:type="spellEnd"/>
      <w:r w:rsidRPr="00DF5CC5">
        <w:rPr>
          <w:rFonts w:cs="Times New Roman"/>
          <w:i/>
          <w:iCs/>
          <w:color w:val="000000" w:themeColor="text1"/>
          <w:lang w:val="en-GB"/>
        </w:rPr>
        <w:t xml:space="preserve"> </w:t>
      </w:r>
      <w:proofErr w:type="spellStart"/>
      <w:r w:rsidRPr="00DF5CC5">
        <w:rPr>
          <w:rFonts w:cs="Times New Roman"/>
          <w:i/>
          <w:iCs/>
          <w:color w:val="000000" w:themeColor="text1"/>
          <w:lang w:val="en-GB"/>
        </w:rPr>
        <w:t>Abedanzadeh</w:t>
      </w:r>
      <w:proofErr w:type="spellEnd"/>
      <w:r w:rsidR="00DF7A51">
        <w:rPr>
          <w:rFonts w:cs="Times New Roman"/>
          <w:i/>
          <w:iCs/>
          <w:color w:val="000000" w:themeColor="text1"/>
          <w:lang w:val="en-GB"/>
        </w:rPr>
        <w:t xml:space="preserve"> </w:t>
      </w:r>
      <w:r w:rsidRPr="00DF5CC5">
        <w:rPr>
          <w:rFonts w:cs="Times New Roman"/>
          <w:i/>
          <w:iCs/>
          <w:color w:val="000000" w:themeColor="text1"/>
          <w:vertAlign w:val="superscript"/>
          <w:lang w:val="en-GB"/>
        </w:rPr>
        <w:t xml:space="preserve">c </w:t>
      </w:r>
      <w:proofErr w:type="spellStart"/>
      <w:r w:rsidRPr="00DF5CC5">
        <w:rPr>
          <w:rFonts w:cs="Times New Roman"/>
          <w:i/>
          <w:iCs/>
          <w:color w:val="000000" w:themeColor="text1"/>
          <w:lang w:val="en-GB"/>
        </w:rPr>
        <w:t>Mehrafarin</w:t>
      </w:r>
      <w:proofErr w:type="spellEnd"/>
      <w:r w:rsidRPr="00DF5CC5">
        <w:rPr>
          <w:rFonts w:cs="Times New Roman"/>
          <w:i/>
          <w:iCs/>
          <w:color w:val="000000" w:themeColor="text1"/>
          <w:lang w:val="en-GB"/>
        </w:rPr>
        <w:t xml:space="preserve"> Bagherzadeh</w:t>
      </w:r>
      <w:r w:rsidR="00DF7A51">
        <w:rPr>
          <w:rFonts w:cs="Times New Roman"/>
          <w:i/>
          <w:iCs/>
          <w:color w:val="000000" w:themeColor="text1"/>
          <w:lang w:val="en-GB"/>
        </w:rPr>
        <w:t xml:space="preserve"> </w:t>
      </w:r>
      <w:r w:rsidRPr="00DF5CC5">
        <w:rPr>
          <w:rFonts w:cs="Times New Roman"/>
          <w:i/>
          <w:iCs/>
          <w:color w:val="000000" w:themeColor="text1"/>
          <w:vertAlign w:val="superscript"/>
          <w:lang w:val="en-GB"/>
        </w:rPr>
        <w:t>b</w:t>
      </w:r>
      <w:r w:rsidR="00DF7A51" w:rsidRPr="00DF7A51">
        <w:rPr>
          <w:rFonts w:cs="Times New Roman"/>
          <w:i/>
          <w:iCs/>
          <w:color w:val="000000" w:themeColor="text1"/>
          <w:lang w:val="en-GB"/>
        </w:rPr>
        <w:t>,</w:t>
      </w:r>
      <w:r w:rsidRPr="00DF5CC5">
        <w:rPr>
          <w:rFonts w:cs="Times New Roman"/>
          <w:i/>
          <w:iCs/>
          <w:color w:val="000000" w:themeColor="text1"/>
          <w:lang w:val="en-GB"/>
        </w:rPr>
        <w:t xml:space="preserve"> </w:t>
      </w:r>
      <w:proofErr w:type="spellStart"/>
      <w:r w:rsidRPr="00DF5CC5">
        <w:rPr>
          <w:rFonts w:cs="Times New Roman"/>
          <w:i/>
          <w:iCs/>
          <w:color w:val="000000" w:themeColor="text1"/>
        </w:rPr>
        <w:t>Gisou</w:t>
      </w:r>
      <w:proofErr w:type="spellEnd"/>
      <w:r w:rsidRPr="00DF5CC5">
        <w:rPr>
          <w:rFonts w:cs="Times New Roman"/>
          <w:i/>
          <w:iCs/>
          <w:color w:val="000000" w:themeColor="text1"/>
        </w:rPr>
        <w:t xml:space="preserve"> </w:t>
      </w:r>
      <w:proofErr w:type="spellStart"/>
      <w:r w:rsidRPr="00DF5CC5">
        <w:rPr>
          <w:rFonts w:cs="Times New Roman"/>
          <w:i/>
          <w:iCs/>
          <w:color w:val="000000" w:themeColor="text1"/>
        </w:rPr>
        <w:t>Foroutan</w:t>
      </w:r>
      <w:proofErr w:type="spellEnd"/>
      <w:r w:rsidR="00DF7A51">
        <w:rPr>
          <w:rFonts w:cs="Times New Roman"/>
          <w:i/>
          <w:iCs/>
          <w:color w:val="000000" w:themeColor="text1"/>
        </w:rPr>
        <w:t xml:space="preserve"> </w:t>
      </w:r>
      <w:r w:rsidRPr="00DF5CC5">
        <w:rPr>
          <w:rFonts w:cs="Times New Roman"/>
          <w:i/>
          <w:iCs/>
          <w:color w:val="000000" w:themeColor="text1"/>
          <w:vertAlign w:val="superscript"/>
        </w:rPr>
        <w:t>b</w:t>
      </w:r>
      <w:r w:rsidR="00DF7A51" w:rsidRPr="00DF7A51">
        <w:rPr>
          <w:rFonts w:cs="Times New Roman"/>
          <w:i/>
          <w:iCs/>
          <w:color w:val="000000" w:themeColor="text1"/>
        </w:rPr>
        <w:t>,</w:t>
      </w:r>
      <w:r w:rsidRPr="00DF5CC5">
        <w:rPr>
          <w:rFonts w:cs="Times New Roman"/>
          <w:i/>
          <w:iCs/>
          <w:color w:val="000000" w:themeColor="text1"/>
        </w:rPr>
        <w:t xml:space="preserve"> </w:t>
      </w:r>
      <w:r w:rsidRPr="00DF5CC5">
        <w:rPr>
          <w:rFonts w:cs="Times New Roman"/>
          <w:i/>
          <w:iCs/>
          <w:color w:val="000000" w:themeColor="text1"/>
          <w:lang w:val="en-GB"/>
        </w:rPr>
        <w:t xml:space="preserve">Mohammad Javad </w:t>
      </w:r>
      <w:proofErr w:type="spellStart"/>
      <w:r w:rsidRPr="00DF5CC5">
        <w:rPr>
          <w:rFonts w:cs="Times New Roman"/>
          <w:i/>
          <w:iCs/>
          <w:color w:val="000000" w:themeColor="text1"/>
          <w:lang w:val="en-GB"/>
        </w:rPr>
        <w:t>Khodayar</w:t>
      </w:r>
      <w:proofErr w:type="spellEnd"/>
      <w:r w:rsidR="00DF7A51">
        <w:rPr>
          <w:rFonts w:cs="Times New Roman"/>
          <w:i/>
          <w:iCs/>
          <w:color w:val="000000" w:themeColor="text1"/>
          <w:lang w:val="en-GB"/>
        </w:rPr>
        <w:t xml:space="preserve"> </w:t>
      </w:r>
      <w:r w:rsidRPr="00DF5CC5">
        <w:rPr>
          <w:rFonts w:cs="Times New Roman"/>
          <w:i/>
          <w:iCs/>
          <w:color w:val="000000" w:themeColor="text1"/>
          <w:vertAlign w:val="superscript"/>
          <w:lang w:val="en-GB"/>
        </w:rPr>
        <w:t>a</w:t>
      </w:r>
      <w:r w:rsidR="00DF7A51">
        <w:rPr>
          <w:rFonts w:cs="Times New Roman"/>
          <w:i/>
          <w:iCs/>
          <w:color w:val="000000" w:themeColor="text1"/>
          <w:lang w:val="en-GB"/>
        </w:rPr>
        <w:t>,</w:t>
      </w:r>
      <w:r w:rsidRPr="00DF5CC5">
        <w:rPr>
          <w:rFonts w:cs="Times New Roman"/>
          <w:i/>
          <w:iCs/>
          <w:color w:val="000000" w:themeColor="text1"/>
          <w:lang w:val="en-GB"/>
        </w:rPr>
        <w:t xml:space="preserve"> Mohammad </w:t>
      </w:r>
      <w:proofErr w:type="spellStart"/>
      <w:r w:rsidRPr="00DF5CC5">
        <w:rPr>
          <w:rFonts w:cs="Times New Roman"/>
          <w:i/>
          <w:iCs/>
          <w:color w:val="000000" w:themeColor="text1"/>
          <w:lang w:val="en-GB"/>
        </w:rPr>
        <w:t>Panahimehr</w:t>
      </w:r>
      <w:proofErr w:type="spellEnd"/>
      <w:r w:rsidR="00DF7A51">
        <w:rPr>
          <w:rFonts w:cs="Times New Roman"/>
          <w:i/>
          <w:iCs/>
          <w:color w:val="000000" w:themeColor="text1"/>
          <w:lang w:val="en-GB"/>
        </w:rPr>
        <w:t xml:space="preserve"> </w:t>
      </w:r>
      <w:r w:rsidR="00DF7A51">
        <w:rPr>
          <w:rFonts w:cs="Times New Roman"/>
          <w:i/>
          <w:iCs/>
          <w:color w:val="000000" w:themeColor="text1"/>
          <w:vertAlign w:val="superscript"/>
          <w:lang w:val="en-GB"/>
        </w:rPr>
        <w:t>d</w:t>
      </w:r>
      <w:r w:rsidRPr="00DF5CC5">
        <w:rPr>
          <w:rFonts w:cs="Times New Roman"/>
          <w:i/>
          <w:iCs/>
          <w:color w:val="000000" w:themeColor="text1"/>
        </w:rPr>
        <w:t>,</w:t>
      </w:r>
      <w:r w:rsidRPr="00DF5CC5">
        <w:rPr>
          <w:rFonts w:cs="Times New Roman"/>
          <w:i/>
          <w:iCs/>
          <w:color w:val="000000" w:themeColor="text1"/>
          <w:lang w:val="en-GB"/>
        </w:rPr>
        <w:t xml:space="preserve"> Ayyub Mojaddami </w:t>
      </w:r>
      <w:proofErr w:type="spellStart"/>
      <w:r w:rsidRPr="00DF5CC5">
        <w:rPr>
          <w:rFonts w:cs="Times New Roman"/>
          <w:i/>
          <w:iCs/>
          <w:color w:val="000000" w:themeColor="text1"/>
          <w:vertAlign w:val="superscript"/>
          <w:lang w:val="en-GB"/>
        </w:rPr>
        <w:t>a,b</w:t>
      </w:r>
      <w:proofErr w:type="spellEnd"/>
      <w:r w:rsidRPr="00DF5CC5">
        <w:rPr>
          <w:rFonts w:cs="Times New Roman"/>
          <w:i/>
          <w:iCs/>
          <w:color w:val="000000" w:themeColor="text1"/>
          <w:vertAlign w:val="superscript"/>
          <w:lang w:val="en-GB"/>
        </w:rPr>
        <w:t>,</w:t>
      </w:r>
      <w:r w:rsidRPr="00DF5CC5">
        <w:rPr>
          <w:rFonts w:cs="Times New Roman"/>
          <w:i/>
          <w:iCs/>
          <w:color w:val="000000" w:themeColor="text1"/>
          <w:lang w:val="en-GB"/>
        </w:rPr>
        <w:t xml:space="preserve">* </w:t>
      </w:r>
    </w:p>
    <w:p w14:paraId="579968D0" w14:textId="77777777" w:rsidR="0064058D" w:rsidRPr="00DF5CC5" w:rsidRDefault="0064058D" w:rsidP="0064058D">
      <w:pPr>
        <w:spacing w:line="240" w:lineRule="auto"/>
        <w:jc w:val="both"/>
        <w:rPr>
          <w:rFonts w:cs="Times New Roman"/>
          <w:i/>
          <w:iCs/>
          <w:color w:val="000000" w:themeColor="text1"/>
          <w:lang w:val="en-GB"/>
        </w:rPr>
      </w:pPr>
    </w:p>
    <w:p w14:paraId="3356D8A4" w14:textId="77777777" w:rsidR="0064058D" w:rsidRPr="00DF5CC5" w:rsidRDefault="0064058D" w:rsidP="0064058D">
      <w:pPr>
        <w:jc w:val="both"/>
        <w:rPr>
          <w:rFonts w:cs="Times New Roman"/>
          <w:color w:val="000000" w:themeColor="text1"/>
        </w:rPr>
      </w:pPr>
      <w:proofErr w:type="spellStart"/>
      <w:r w:rsidRPr="00DF5CC5">
        <w:rPr>
          <w:rFonts w:cs="Times New Roman"/>
          <w:color w:val="000000" w:themeColor="text1"/>
          <w:vertAlign w:val="superscript"/>
        </w:rPr>
        <w:t>a</w:t>
      </w:r>
      <w:r w:rsidRPr="00DF5CC5">
        <w:rPr>
          <w:rFonts w:cs="Times New Roman"/>
          <w:color w:val="000000" w:themeColor="text1"/>
        </w:rPr>
        <w:t>Toxicology</w:t>
      </w:r>
      <w:proofErr w:type="spellEnd"/>
      <w:r w:rsidRPr="00DF5CC5">
        <w:rPr>
          <w:rFonts w:cs="Times New Roman"/>
          <w:color w:val="000000" w:themeColor="text1"/>
        </w:rPr>
        <w:t xml:space="preserve"> Research Center, Medical Basic Sciences Research Institute, Ahvaz </w:t>
      </w:r>
      <w:proofErr w:type="spellStart"/>
      <w:r w:rsidRPr="00DF5CC5">
        <w:rPr>
          <w:rFonts w:cs="Times New Roman"/>
          <w:color w:val="000000" w:themeColor="text1"/>
        </w:rPr>
        <w:t>Jundishapur</w:t>
      </w:r>
      <w:proofErr w:type="spellEnd"/>
      <w:r w:rsidRPr="00DF5CC5">
        <w:rPr>
          <w:rFonts w:cs="Times New Roman"/>
          <w:color w:val="000000" w:themeColor="text1"/>
        </w:rPr>
        <w:t xml:space="preserve"> University of Medical Sciences</w:t>
      </w:r>
      <w:r w:rsidRPr="00DF5CC5">
        <w:rPr>
          <w:rFonts w:cs="Times New Roman" w:hint="cs"/>
          <w:color w:val="000000" w:themeColor="text1"/>
          <w:rtl/>
        </w:rPr>
        <w:t>,</w:t>
      </w:r>
      <w:r w:rsidRPr="00DF5CC5">
        <w:rPr>
          <w:rFonts w:cs="Times New Roman" w:hint="cs"/>
          <w:color w:val="000000" w:themeColor="text1"/>
        </w:rPr>
        <w:t xml:space="preserve"> </w:t>
      </w:r>
      <w:r w:rsidRPr="00DF5CC5">
        <w:rPr>
          <w:rFonts w:cs="Times New Roman"/>
          <w:color w:val="000000" w:themeColor="text1"/>
        </w:rPr>
        <w:t>Ahvaz, Iran.</w:t>
      </w:r>
    </w:p>
    <w:p w14:paraId="25C1E6B1" w14:textId="77777777" w:rsidR="0064058D" w:rsidRPr="00DF5CC5" w:rsidRDefault="0064058D" w:rsidP="0064058D">
      <w:pPr>
        <w:jc w:val="both"/>
        <w:rPr>
          <w:rFonts w:cs="Times New Roman"/>
          <w:color w:val="000000" w:themeColor="text1"/>
        </w:rPr>
      </w:pPr>
      <w:proofErr w:type="spellStart"/>
      <w:r w:rsidRPr="00DF5CC5">
        <w:rPr>
          <w:rFonts w:cs="Times New Roman"/>
          <w:i/>
          <w:color w:val="000000" w:themeColor="text1"/>
          <w:vertAlign w:val="superscript"/>
        </w:rPr>
        <w:t>b</w:t>
      </w:r>
      <w:r w:rsidRPr="00DF5CC5">
        <w:rPr>
          <w:rFonts w:cs="Times New Roman"/>
          <w:color w:val="000000" w:themeColor="text1"/>
        </w:rPr>
        <w:t>Department</w:t>
      </w:r>
      <w:proofErr w:type="spellEnd"/>
      <w:r w:rsidRPr="00DF5CC5">
        <w:rPr>
          <w:rFonts w:cs="Times New Roman"/>
          <w:color w:val="000000" w:themeColor="text1"/>
        </w:rPr>
        <w:t xml:space="preserve"> of Medicinal Chemistry, </w:t>
      </w:r>
      <w:r w:rsidRPr="00DF5CC5">
        <w:t xml:space="preserve">Faculty </w:t>
      </w:r>
      <w:r w:rsidRPr="00DF5CC5">
        <w:rPr>
          <w:rFonts w:cs="Times New Roman"/>
          <w:color w:val="000000" w:themeColor="text1"/>
        </w:rPr>
        <w:t xml:space="preserve">of Pharmacy, Ahvaz </w:t>
      </w:r>
      <w:proofErr w:type="spellStart"/>
      <w:r w:rsidRPr="00DF5CC5">
        <w:rPr>
          <w:rFonts w:cs="Times New Roman"/>
          <w:color w:val="000000" w:themeColor="text1"/>
        </w:rPr>
        <w:t>Jundishapur</w:t>
      </w:r>
      <w:proofErr w:type="spellEnd"/>
      <w:r w:rsidRPr="00DF5CC5">
        <w:rPr>
          <w:rFonts w:cs="Times New Roman"/>
          <w:color w:val="000000" w:themeColor="text1"/>
        </w:rPr>
        <w:t xml:space="preserve"> University of Medical Sciences, Ahvaz, Iran</w:t>
      </w:r>
    </w:p>
    <w:p w14:paraId="1ABBE959" w14:textId="77777777" w:rsidR="0064058D" w:rsidRPr="00DF5CC5" w:rsidRDefault="0064058D" w:rsidP="0064058D">
      <w:pPr>
        <w:jc w:val="both"/>
        <w:rPr>
          <w:rFonts w:cs="Times New Roman"/>
          <w:color w:val="000000" w:themeColor="text1"/>
        </w:rPr>
      </w:pPr>
      <w:proofErr w:type="spellStart"/>
      <w:r w:rsidRPr="00DF5CC5">
        <w:rPr>
          <w:rFonts w:cs="Times New Roman"/>
          <w:color w:val="000000" w:themeColor="text1"/>
          <w:vertAlign w:val="superscript"/>
        </w:rPr>
        <w:t>c</w:t>
      </w:r>
      <w:r w:rsidRPr="00DF5CC5">
        <w:rPr>
          <w:rFonts w:cs="Times New Roman"/>
          <w:color w:val="000000" w:themeColor="text1"/>
        </w:rPr>
        <w:t>Faculty</w:t>
      </w:r>
      <w:proofErr w:type="spellEnd"/>
      <w:r w:rsidRPr="00DF5CC5">
        <w:rPr>
          <w:rFonts w:cs="Times New Roman"/>
          <w:color w:val="000000" w:themeColor="text1"/>
        </w:rPr>
        <w:t xml:space="preserve"> of Chemistry, </w:t>
      </w:r>
      <w:proofErr w:type="spellStart"/>
      <w:r w:rsidRPr="00DF5CC5">
        <w:rPr>
          <w:rFonts w:cs="Times New Roman"/>
          <w:color w:val="000000" w:themeColor="text1"/>
        </w:rPr>
        <w:t>Kharazmi</w:t>
      </w:r>
      <w:proofErr w:type="spellEnd"/>
      <w:r w:rsidRPr="00DF5CC5">
        <w:rPr>
          <w:rFonts w:cs="Times New Roman"/>
          <w:color w:val="000000" w:themeColor="text1"/>
        </w:rPr>
        <w:t xml:space="preserve"> University, Tehran 15719-14911, Iran</w:t>
      </w:r>
    </w:p>
    <w:p w14:paraId="35F3B507" w14:textId="77777777" w:rsidR="0064058D" w:rsidRPr="00DF5CC5" w:rsidRDefault="0064058D" w:rsidP="0064058D">
      <w:pPr>
        <w:jc w:val="both"/>
        <w:rPr>
          <w:rFonts w:cs="Times New Roman"/>
          <w:color w:val="000000" w:themeColor="text1"/>
        </w:rPr>
      </w:pPr>
      <w:proofErr w:type="spellStart"/>
      <w:r w:rsidRPr="00DF5CC5">
        <w:rPr>
          <w:rFonts w:cs="Times New Roman"/>
          <w:color w:val="000000" w:themeColor="text1"/>
          <w:vertAlign w:val="superscript"/>
        </w:rPr>
        <w:t>d</w:t>
      </w:r>
      <w:r w:rsidRPr="00DF5CC5">
        <w:rPr>
          <w:rFonts w:cs="Times New Roman"/>
          <w:color w:val="000000" w:themeColor="text1"/>
        </w:rPr>
        <w:t>Department</w:t>
      </w:r>
      <w:proofErr w:type="spellEnd"/>
      <w:r w:rsidRPr="00DF5CC5">
        <w:rPr>
          <w:rFonts w:cs="Times New Roman"/>
          <w:color w:val="000000" w:themeColor="text1"/>
        </w:rPr>
        <w:t xml:space="preserve"> of Chemistry, Faculty of Basic Science, Ayatollah </w:t>
      </w:r>
      <w:proofErr w:type="spellStart"/>
      <w:r w:rsidRPr="00DF5CC5">
        <w:rPr>
          <w:rFonts w:cs="Times New Roman"/>
          <w:color w:val="000000" w:themeColor="text1"/>
        </w:rPr>
        <w:t>Boroujerdi</w:t>
      </w:r>
      <w:proofErr w:type="spellEnd"/>
      <w:r w:rsidRPr="00DF5CC5">
        <w:rPr>
          <w:rFonts w:cs="Times New Roman"/>
          <w:color w:val="000000" w:themeColor="text1"/>
        </w:rPr>
        <w:t xml:space="preserve"> University, </w:t>
      </w:r>
      <w:proofErr w:type="spellStart"/>
      <w:r w:rsidRPr="00DF5CC5">
        <w:rPr>
          <w:rFonts w:cs="Times New Roman"/>
          <w:color w:val="000000" w:themeColor="text1"/>
        </w:rPr>
        <w:t>Boroujerd</w:t>
      </w:r>
      <w:proofErr w:type="spellEnd"/>
      <w:r w:rsidRPr="00DF5CC5">
        <w:rPr>
          <w:rFonts w:cs="Times New Roman"/>
          <w:color w:val="000000" w:themeColor="text1"/>
        </w:rPr>
        <w:t>, Iran</w:t>
      </w:r>
    </w:p>
    <w:p w14:paraId="6174A223" w14:textId="77777777" w:rsidR="0064058D" w:rsidRPr="00DF5CC5" w:rsidRDefault="0064058D" w:rsidP="0064058D">
      <w:pPr>
        <w:autoSpaceDE w:val="0"/>
        <w:autoSpaceDN w:val="0"/>
        <w:adjustRightInd w:val="0"/>
        <w:spacing w:line="240" w:lineRule="auto"/>
        <w:rPr>
          <w:rFonts w:cs="Times New Roman"/>
          <w:color w:val="000000" w:themeColor="text1"/>
        </w:rPr>
      </w:pPr>
    </w:p>
    <w:p w14:paraId="527CF553" w14:textId="233FA219" w:rsidR="0064058D" w:rsidRPr="00DF5CC5" w:rsidRDefault="0064058D" w:rsidP="0064058D">
      <w:pPr>
        <w:widowControl w:val="0"/>
        <w:shd w:val="clear" w:color="auto" w:fill="FFFFFF"/>
        <w:autoSpaceDE w:val="0"/>
        <w:autoSpaceDN w:val="0"/>
        <w:adjustRightInd w:val="0"/>
        <w:rPr>
          <w:rFonts w:cs="Times New Roman"/>
          <w:color w:val="0070C0"/>
        </w:rPr>
      </w:pPr>
      <w:r w:rsidRPr="00DF5CC5">
        <w:rPr>
          <w:rFonts w:cs="Times New Roman"/>
          <w:spacing w:val="-1"/>
          <w:vertAlign w:val="superscript"/>
        </w:rPr>
        <w:t>*</w:t>
      </w:r>
      <w:r w:rsidRPr="00DF5CC5">
        <w:rPr>
          <w:rFonts w:cs="Times New Roman"/>
          <w:spacing w:val="-1"/>
        </w:rPr>
        <w:t xml:space="preserve">Corresponding author. Tel.: +98 61 33112278; Fax: +98 61 33738381; </w:t>
      </w:r>
      <w:r w:rsidRPr="00DF5CC5">
        <w:rPr>
          <w:rFonts w:cs="Times New Roman"/>
        </w:rPr>
        <w:t xml:space="preserve">Email: </w:t>
      </w:r>
      <w:bookmarkStart w:id="1" w:name="_Hlk115660065"/>
      <w:r w:rsidR="00DF5CC5" w:rsidRPr="00DF5CC5">
        <w:rPr>
          <w:rFonts w:cs="Times New Roman"/>
          <w:color w:val="0070C0"/>
        </w:rPr>
        <w:fldChar w:fldCharType="begin"/>
      </w:r>
      <w:r w:rsidR="00DF5CC5" w:rsidRPr="00DF5CC5">
        <w:rPr>
          <w:rFonts w:cs="Times New Roman"/>
          <w:color w:val="0070C0"/>
        </w:rPr>
        <w:instrText xml:space="preserve"> HYPERLINK "mailto:mojaddami.a@gmail.com" </w:instrText>
      </w:r>
      <w:r w:rsidR="00DF5CC5" w:rsidRPr="00DF5CC5">
        <w:rPr>
          <w:rFonts w:cs="Times New Roman"/>
          <w:color w:val="0070C0"/>
        </w:rPr>
        <w:fldChar w:fldCharType="separate"/>
      </w:r>
      <w:r w:rsidR="00DF5CC5" w:rsidRPr="00DF5CC5">
        <w:rPr>
          <w:rStyle w:val="Hyperlink"/>
          <w:rFonts w:cs="Times New Roman"/>
        </w:rPr>
        <w:t>mojaddami.a@gmail.com</w:t>
      </w:r>
      <w:r w:rsidR="00DF5CC5" w:rsidRPr="00DF5CC5">
        <w:rPr>
          <w:rFonts w:cs="Times New Roman"/>
          <w:color w:val="0070C0"/>
        </w:rPr>
        <w:fldChar w:fldCharType="end"/>
      </w:r>
      <w:r w:rsidR="00DF5CC5" w:rsidRPr="00DF5CC5">
        <w:rPr>
          <w:rFonts w:cs="Times New Roman"/>
          <w:color w:val="0070C0"/>
        </w:rPr>
        <w:t xml:space="preserve"> , </w:t>
      </w:r>
      <w:hyperlink r:id="rId4" w:history="1">
        <w:r w:rsidR="00DF5CC5" w:rsidRPr="00DF5CC5">
          <w:rPr>
            <w:rStyle w:val="Hyperlink"/>
            <w:rFonts w:cs="Times New Roman"/>
          </w:rPr>
          <w:t>mojaddami-a@ajums.ac.ir</w:t>
        </w:r>
      </w:hyperlink>
    </w:p>
    <w:bookmarkEnd w:id="1"/>
    <w:p w14:paraId="29E69D6D" w14:textId="77777777" w:rsidR="00DF5CC5" w:rsidRPr="00DF5CC5" w:rsidRDefault="00DF5CC5" w:rsidP="0064058D">
      <w:pPr>
        <w:widowControl w:val="0"/>
        <w:shd w:val="clear" w:color="auto" w:fill="FFFFFF"/>
        <w:autoSpaceDE w:val="0"/>
        <w:autoSpaceDN w:val="0"/>
        <w:adjustRightInd w:val="0"/>
        <w:rPr>
          <w:rFonts w:cs="Times New Roman"/>
          <w:color w:val="000000"/>
        </w:rPr>
      </w:pPr>
    </w:p>
    <w:bookmarkEnd w:id="0"/>
    <w:p w14:paraId="3B818418" w14:textId="77777777" w:rsidR="00293E32" w:rsidRPr="00DF5CC5" w:rsidRDefault="0064058D" w:rsidP="00293E32">
      <w:pPr>
        <w:autoSpaceDE w:val="0"/>
        <w:autoSpaceDN w:val="0"/>
        <w:adjustRightInd w:val="0"/>
        <w:spacing w:after="200"/>
        <w:jc w:val="both"/>
        <w:rPr>
          <w:rFonts w:asciiTheme="majorBidi" w:hAnsiTheme="majorBidi" w:cstheme="majorBidi"/>
          <w:b/>
          <w:bCs/>
          <w:i/>
          <w:iCs/>
        </w:rPr>
      </w:pPr>
      <w:r w:rsidRPr="00DF5CC5">
        <w:rPr>
          <w:rFonts w:asciiTheme="majorBidi" w:hAnsiTheme="majorBidi" w:cstheme="majorBidi"/>
          <w:b/>
          <w:bCs/>
          <w:sz w:val="28"/>
          <w:szCs w:val="28"/>
        </w:rPr>
        <w:br w:type="page"/>
      </w:r>
      <w:r w:rsidR="00293E32" w:rsidRPr="00DF5CC5">
        <w:rPr>
          <w:rFonts w:asciiTheme="majorBidi" w:hAnsiTheme="majorBidi" w:cstheme="majorBidi"/>
          <w:b/>
          <w:bCs/>
          <w:i/>
          <w:iCs/>
        </w:rPr>
        <w:lastRenderedPageBreak/>
        <w:t>Cell lines and cell culture</w:t>
      </w:r>
    </w:p>
    <w:p w14:paraId="72B55F70" w14:textId="77777777" w:rsidR="00293E32" w:rsidRPr="00DF5CC5" w:rsidRDefault="00293E32" w:rsidP="00861680">
      <w:pPr>
        <w:autoSpaceDE w:val="0"/>
        <w:autoSpaceDN w:val="0"/>
        <w:adjustRightInd w:val="0"/>
        <w:spacing w:after="200"/>
        <w:ind w:firstLine="720"/>
        <w:jc w:val="both"/>
        <w:rPr>
          <w:rFonts w:asciiTheme="majorBidi" w:hAnsiTheme="majorBidi" w:cstheme="majorBidi"/>
        </w:rPr>
      </w:pPr>
      <w:r w:rsidRPr="00DF5CC5">
        <w:rPr>
          <w:rFonts w:asciiTheme="majorBidi" w:hAnsiTheme="majorBidi" w:cstheme="majorBidi"/>
        </w:rPr>
        <w:t xml:space="preserve">Human non-small cell lung cancer cell line (A549), human ovarian cancer cell line (SKOV3), human breast cancer cell line (MCF7) and human breast normal cell line (MCF-10A) were obtained from National Cell Bank of Iran (NCBI, Pasteur Institute, Tehran, Iran). All cells were cultured in RPMI 1640 supplemented with 10% fetal bovine serum (FBS) and </w:t>
      </w:r>
      <w:proofErr w:type="spellStart"/>
      <w:r w:rsidRPr="00DF5CC5">
        <w:rPr>
          <w:rFonts w:asciiTheme="majorBidi" w:hAnsiTheme="majorBidi" w:cstheme="majorBidi"/>
        </w:rPr>
        <w:t>pencilin</w:t>
      </w:r>
      <w:proofErr w:type="spellEnd"/>
      <w:r w:rsidRPr="00DF5CC5">
        <w:rPr>
          <w:rFonts w:asciiTheme="majorBidi" w:hAnsiTheme="majorBidi" w:cstheme="majorBidi"/>
        </w:rPr>
        <w:t xml:space="preserve">-streptomycin at 37 </w:t>
      </w:r>
      <w:proofErr w:type="spellStart"/>
      <w:r w:rsidRPr="00DF5CC5">
        <w:rPr>
          <w:rFonts w:asciiTheme="majorBidi" w:hAnsiTheme="majorBidi" w:cstheme="majorBidi"/>
          <w:vertAlign w:val="superscript"/>
        </w:rPr>
        <w:t>o</w:t>
      </w:r>
      <w:r w:rsidRPr="00DF5CC5">
        <w:rPr>
          <w:rFonts w:asciiTheme="majorBidi" w:hAnsiTheme="majorBidi" w:cstheme="majorBidi"/>
        </w:rPr>
        <w:t>C</w:t>
      </w:r>
      <w:proofErr w:type="spellEnd"/>
      <w:r w:rsidRPr="00DF5CC5">
        <w:rPr>
          <w:rFonts w:asciiTheme="majorBidi" w:hAnsiTheme="majorBidi" w:cstheme="majorBidi"/>
        </w:rPr>
        <w:t xml:space="preserve"> in humidified CO</w:t>
      </w:r>
      <w:r w:rsidRPr="00DF5CC5">
        <w:rPr>
          <w:rFonts w:asciiTheme="majorBidi" w:hAnsiTheme="majorBidi" w:cstheme="majorBidi"/>
          <w:vertAlign w:val="subscript"/>
        </w:rPr>
        <w:t>2</w:t>
      </w:r>
      <w:r w:rsidRPr="00DF5CC5">
        <w:rPr>
          <w:rFonts w:asciiTheme="majorBidi" w:hAnsiTheme="majorBidi" w:cstheme="majorBidi"/>
        </w:rPr>
        <w:t xml:space="preserve"> incubator. Cytotoxic activity of complexes was appraised by standard 3-(4,5-dimethylthiazol-yl)-2,5-diphenyl-tetrazolium bromide (MTT) assay. The assay was performed according to a known protocol.</w:t>
      </w:r>
      <w:r w:rsidRPr="00DF5CC5">
        <w:rPr>
          <w:rFonts w:asciiTheme="majorBidi" w:hAnsiTheme="majorBidi" w:cstheme="majorBidi"/>
        </w:rPr>
        <w:fldChar w:fldCharType="begin">
          <w:fldData xml:space="preserve">PEVuZE5vdGU+PENpdGU+PEF1dGhvcj5GcmV6emE8L0F1dGhvcj48WWVhcj4yMDExPC9ZZWFyPjxS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</w:fldData>
        </w:fldChar>
      </w:r>
      <w:r w:rsidRPr="00DF5CC5">
        <w:rPr>
          <w:rFonts w:asciiTheme="majorBidi" w:hAnsiTheme="majorBidi" w:cstheme="majorBidi"/>
        </w:rPr>
        <w:instrText xml:space="preserve"> ADDIN EN.CITE </w:instrText>
      </w:r>
      <w:r w:rsidRPr="00DF5CC5">
        <w:rPr>
          <w:rFonts w:asciiTheme="majorBidi" w:hAnsiTheme="majorBidi" w:cstheme="majorBidi"/>
        </w:rPr>
        <w:fldChar w:fldCharType="begin">
          <w:fldData xml:space="preserve">PEVuZE5vdGU+PENpdGU+PEF1dGhvcj5GcmV6emE8L0F1dGhvcj48WWVhcj4yMDExPC9ZZWFyPjxS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</w:fldData>
        </w:fldChar>
      </w:r>
      <w:r w:rsidRPr="00DF5CC5">
        <w:rPr>
          <w:rFonts w:asciiTheme="majorBidi" w:hAnsiTheme="majorBidi" w:cstheme="majorBidi"/>
        </w:rPr>
        <w:instrText xml:space="preserve"> ADDIN EN.CITE.DATA </w:instrText>
      </w:r>
      <w:r w:rsidRPr="00DF5CC5">
        <w:rPr>
          <w:rFonts w:asciiTheme="majorBidi" w:hAnsiTheme="majorBidi" w:cstheme="majorBidi"/>
        </w:rPr>
      </w:r>
      <w:r w:rsidRPr="00DF5CC5">
        <w:rPr>
          <w:rFonts w:asciiTheme="majorBidi" w:hAnsiTheme="majorBidi" w:cstheme="majorBidi"/>
        </w:rPr>
        <w:fldChar w:fldCharType="end"/>
      </w:r>
      <w:r w:rsidRPr="00DF5CC5">
        <w:rPr>
          <w:rFonts w:asciiTheme="majorBidi" w:hAnsiTheme="majorBidi" w:cstheme="majorBidi"/>
        </w:rPr>
      </w:r>
      <w:r w:rsidRPr="00DF5CC5">
        <w:rPr>
          <w:rFonts w:asciiTheme="majorBidi" w:hAnsiTheme="majorBidi" w:cstheme="majorBidi"/>
        </w:rPr>
        <w:fldChar w:fldCharType="separate"/>
      </w:r>
      <w:r w:rsidRPr="00DF5CC5">
        <w:rPr>
          <w:rFonts w:asciiTheme="majorBidi" w:hAnsiTheme="majorBidi" w:cstheme="majorBidi"/>
          <w:noProof/>
        </w:rPr>
        <w:t>(</w:t>
      </w:r>
      <w:hyperlink w:anchor="_ENREF_37" w:tooltip="Frezza, 2011 #581" w:history="1">
        <w:r w:rsidRPr="00DF5CC5">
          <w:rPr>
            <w:rFonts w:asciiTheme="majorBidi" w:hAnsiTheme="majorBidi" w:cstheme="majorBidi"/>
            <w:noProof/>
          </w:rPr>
          <w:t>37-39</w:t>
        </w:r>
      </w:hyperlink>
      <w:r w:rsidRPr="00DF5CC5">
        <w:rPr>
          <w:rFonts w:asciiTheme="majorBidi" w:hAnsiTheme="majorBidi" w:cstheme="majorBidi"/>
          <w:noProof/>
        </w:rPr>
        <w:t>)</w:t>
      </w:r>
      <w:r w:rsidRPr="00DF5CC5">
        <w:rPr>
          <w:rFonts w:asciiTheme="majorBidi" w:hAnsiTheme="majorBidi" w:cstheme="majorBidi"/>
        </w:rPr>
        <w:fldChar w:fldCharType="end"/>
      </w:r>
      <w:hyperlink w:anchor="_ENREF_81" w:tooltip="Fereidoonnezhad, 2016 #872" w:history="1">
        <w:r w:rsidR="00E0407C" w:rsidRPr="00DF5CC5">
          <w:rPr>
            <w:rStyle w:val="Hyperlink"/>
          </w:rPr>
          <w:t>_ENREF_81</w:t>
        </w:r>
      </w:hyperlink>
      <w:r w:rsidRPr="00DF5CC5">
        <w:rPr>
          <w:rFonts w:asciiTheme="majorBidi" w:hAnsiTheme="majorBidi" w:cstheme="majorBidi"/>
        </w:rPr>
        <w:fldChar w:fldCharType="begin"/>
      </w:r>
      <w:r w:rsidRPr="00DF5CC5">
        <w:rPr>
          <w:rFonts w:asciiTheme="majorBidi" w:hAnsiTheme="majorBidi" w:cstheme="majorBidi"/>
        </w:rPr>
        <w:fldChar w:fldCharType="separate"/>
      </w:r>
      <w:r w:rsidRPr="00DF5CC5">
        <w:rPr>
          <w:rFonts w:asciiTheme="majorBidi" w:hAnsiTheme="majorBidi" w:cstheme="majorBidi"/>
        </w:rPr>
        <w:t>{Fereidoonnezhad, 2016 #35}</w:t>
      </w:r>
      <w:r w:rsidRPr="00DF5CC5">
        <w:rPr>
          <w:rFonts w:asciiTheme="majorBidi" w:hAnsiTheme="majorBidi" w:cstheme="majorBidi"/>
        </w:rPr>
        <w:fldChar w:fldCharType="end"/>
      </w:r>
      <w:r w:rsidRPr="00DF5CC5">
        <w:rPr>
          <w:rFonts w:asciiTheme="majorBidi" w:hAnsiTheme="majorBidi" w:cstheme="majorBidi"/>
        </w:rPr>
        <w:t xml:space="preserve"> The cells were harvested and plated in 96-well microplates at a density of 1 × 10</w:t>
      </w:r>
      <w:r w:rsidRPr="00DF5CC5">
        <w:rPr>
          <w:rFonts w:asciiTheme="majorBidi" w:hAnsiTheme="majorBidi" w:cstheme="majorBidi"/>
          <w:vertAlign w:val="superscript"/>
        </w:rPr>
        <w:t>4</w:t>
      </w:r>
      <w:r w:rsidRPr="00DF5CC5">
        <w:rPr>
          <w:rFonts w:asciiTheme="majorBidi" w:hAnsiTheme="majorBidi" w:cstheme="majorBidi"/>
        </w:rPr>
        <w:t xml:space="preserve"> cells per well in 180 </w:t>
      </w:r>
      <w:proofErr w:type="spellStart"/>
      <w:r w:rsidRPr="00DF5CC5">
        <w:rPr>
          <w:rFonts w:asciiTheme="majorBidi" w:hAnsiTheme="majorBidi" w:cstheme="majorBidi"/>
        </w:rPr>
        <w:t>μl</w:t>
      </w:r>
      <w:proofErr w:type="spellEnd"/>
      <w:r w:rsidRPr="00DF5CC5">
        <w:rPr>
          <w:rFonts w:asciiTheme="majorBidi" w:hAnsiTheme="majorBidi" w:cstheme="majorBidi"/>
        </w:rPr>
        <w:t xml:space="preserve"> complete culture media. After 24 h incubation, each cell was treated with five different concentrations of the compounds ranging from 2×10</w:t>
      </w:r>
      <w:r w:rsidRPr="00DF5CC5">
        <w:rPr>
          <w:rFonts w:asciiTheme="majorBidi" w:hAnsiTheme="majorBidi" w:cstheme="majorBidi"/>
          <w:vertAlign w:val="superscript"/>
        </w:rPr>
        <w:t>-4</w:t>
      </w:r>
      <w:r w:rsidRPr="00DF5CC5">
        <w:rPr>
          <w:rFonts w:asciiTheme="majorBidi" w:hAnsiTheme="majorBidi" w:cstheme="majorBidi"/>
        </w:rPr>
        <w:t xml:space="preserve"> to 1×10</w:t>
      </w:r>
      <w:r w:rsidRPr="00DF5CC5">
        <w:rPr>
          <w:rFonts w:asciiTheme="majorBidi" w:hAnsiTheme="majorBidi" w:cstheme="majorBidi"/>
          <w:vertAlign w:val="superscript"/>
        </w:rPr>
        <w:t>-7</w:t>
      </w:r>
      <w:r w:rsidRPr="00DF5CC5">
        <w:rPr>
          <w:rFonts w:asciiTheme="majorBidi" w:hAnsiTheme="majorBidi" w:cstheme="majorBidi"/>
        </w:rPr>
        <w:t xml:space="preserve"> M. After 72h, media were replaced with 150 </w:t>
      </w:r>
      <w:proofErr w:type="spellStart"/>
      <w:r w:rsidRPr="00DF5CC5">
        <w:rPr>
          <w:rFonts w:asciiTheme="majorBidi" w:hAnsiTheme="majorBidi" w:cstheme="majorBidi"/>
        </w:rPr>
        <w:t>μl</w:t>
      </w:r>
      <w:proofErr w:type="spellEnd"/>
      <w:r w:rsidRPr="00DF5CC5">
        <w:rPr>
          <w:rFonts w:asciiTheme="majorBidi" w:hAnsiTheme="majorBidi" w:cstheme="majorBidi"/>
        </w:rPr>
        <w:t xml:space="preserve"> media containing 0.5 (mg/ml) of MTT solution. Then media containing MTT were discarded and 150 </w:t>
      </w:r>
      <w:proofErr w:type="spellStart"/>
      <w:r w:rsidRPr="00DF5CC5">
        <w:rPr>
          <w:rFonts w:asciiTheme="majorBidi" w:hAnsiTheme="majorBidi" w:cstheme="majorBidi"/>
        </w:rPr>
        <w:t>μl</w:t>
      </w:r>
      <w:proofErr w:type="spellEnd"/>
      <w:r w:rsidRPr="00DF5CC5">
        <w:rPr>
          <w:rFonts w:asciiTheme="majorBidi" w:hAnsiTheme="majorBidi" w:cstheme="majorBidi"/>
        </w:rPr>
        <w:t xml:space="preserve"> </w:t>
      </w:r>
      <w:proofErr w:type="spellStart"/>
      <w:r w:rsidRPr="00DF5CC5">
        <w:rPr>
          <w:rFonts w:asciiTheme="majorBidi" w:hAnsiTheme="majorBidi" w:cstheme="majorBidi"/>
        </w:rPr>
        <w:t>dimethylsulfoxide</w:t>
      </w:r>
      <w:proofErr w:type="spellEnd"/>
      <w:r w:rsidRPr="00DF5CC5">
        <w:rPr>
          <w:rFonts w:asciiTheme="majorBidi" w:hAnsiTheme="majorBidi" w:cstheme="majorBidi"/>
        </w:rPr>
        <w:t xml:space="preserve"> (DMSO) was added to each well to dissolve the formazan crystals. The solutions were incubated overnight. The absorbance in individual wells was determined at 570 nm using Bio-Rad microplate reader (Model 680). Data was calculated and expressed as the 50% inhibitory concentrations (IC</w:t>
      </w:r>
      <w:r w:rsidRPr="00DF5CC5">
        <w:rPr>
          <w:rFonts w:asciiTheme="majorBidi" w:hAnsiTheme="majorBidi" w:cstheme="majorBidi"/>
          <w:vertAlign w:val="subscript"/>
        </w:rPr>
        <w:t>50</w:t>
      </w:r>
      <w:r w:rsidRPr="00DF5CC5">
        <w:rPr>
          <w:rFonts w:asciiTheme="majorBidi" w:hAnsiTheme="majorBidi" w:cstheme="majorBidi"/>
        </w:rPr>
        <w:t>), which were tested four times for each complex. Data are presented as mean ± SEM.</w:t>
      </w:r>
    </w:p>
    <w:p w14:paraId="331B39E8" w14:textId="77777777" w:rsidR="00293E32" w:rsidRPr="00DF5CC5" w:rsidRDefault="00293E32" w:rsidP="00293E32">
      <w:pPr>
        <w:autoSpaceDE w:val="0"/>
        <w:autoSpaceDN w:val="0"/>
        <w:adjustRightInd w:val="0"/>
        <w:spacing w:after="200"/>
        <w:jc w:val="both"/>
        <w:rPr>
          <w:rFonts w:asciiTheme="majorBidi" w:hAnsiTheme="majorBidi" w:cstheme="majorBidi"/>
        </w:rPr>
      </w:pPr>
    </w:p>
    <w:p w14:paraId="36895A9D" w14:textId="77777777" w:rsidR="00293E32" w:rsidRPr="00DF5CC5" w:rsidRDefault="00293E32" w:rsidP="00293E32">
      <w:pPr>
        <w:autoSpaceDE w:val="0"/>
        <w:autoSpaceDN w:val="0"/>
        <w:adjustRightInd w:val="0"/>
        <w:spacing w:after="200"/>
        <w:rPr>
          <w:rFonts w:asciiTheme="majorBidi" w:hAnsiTheme="majorBidi" w:cstheme="majorBidi"/>
          <w:b/>
          <w:bCs/>
          <w:i/>
          <w:iCs/>
        </w:rPr>
      </w:pPr>
      <w:r w:rsidRPr="00DF5CC5">
        <w:rPr>
          <w:rFonts w:asciiTheme="majorBidi" w:hAnsiTheme="majorBidi" w:cstheme="majorBidi"/>
          <w:b/>
          <w:bCs/>
          <w:i/>
          <w:iCs/>
        </w:rPr>
        <w:t>Apoptosis detection</w:t>
      </w:r>
    </w:p>
    <w:p w14:paraId="4E661100" w14:textId="77777777" w:rsidR="00293E32" w:rsidRPr="00DF5CC5" w:rsidRDefault="00293E32" w:rsidP="00861680">
      <w:pPr>
        <w:spacing w:after="0"/>
        <w:ind w:firstLine="720"/>
        <w:jc w:val="both"/>
        <w:rPr>
          <w:rFonts w:eastAsia="Calibri" w:cs="Times New Roman"/>
          <w:bCs/>
        </w:rPr>
      </w:pPr>
      <w:r w:rsidRPr="00DF5CC5">
        <w:rPr>
          <w:rFonts w:eastAsia="Calibri" w:cs="Times New Roman"/>
          <w:bCs/>
        </w:rPr>
        <w:t xml:space="preserve">PE Annexin V Apoptosis Detection Kit I from BD Biosciences was used for detection of apoptosis. To do this, 50000 cells was cultured in complete culture media in a 24-well culture plate. The cells were then treated with different concentrations of complex </w:t>
      </w:r>
      <w:r w:rsidRPr="00DF5CC5">
        <w:rPr>
          <w:rFonts w:eastAsia="Calibri" w:cs="Times New Roman"/>
          <w:b/>
        </w:rPr>
        <w:t>1b</w:t>
      </w:r>
      <w:r w:rsidRPr="00DF5CC5">
        <w:rPr>
          <w:rFonts w:eastAsia="Calibri" w:cs="Times New Roman"/>
          <w:bCs/>
        </w:rPr>
        <w:t xml:space="preserve"> (2.5, 5 and 10 µM) and incubated at 37 </w:t>
      </w:r>
      <w:proofErr w:type="spellStart"/>
      <w:r w:rsidRPr="00DF5CC5">
        <w:rPr>
          <w:rFonts w:eastAsia="Calibri" w:cs="Times New Roman"/>
          <w:bCs/>
          <w:vertAlign w:val="superscript"/>
        </w:rPr>
        <w:t>o</w:t>
      </w:r>
      <w:r w:rsidRPr="00DF5CC5">
        <w:rPr>
          <w:rFonts w:eastAsia="Calibri" w:cs="Times New Roman"/>
          <w:bCs/>
        </w:rPr>
        <w:t>C</w:t>
      </w:r>
      <w:proofErr w:type="spellEnd"/>
      <w:r w:rsidRPr="00DF5CC5">
        <w:rPr>
          <w:rFonts w:eastAsia="Calibri" w:cs="Times New Roman"/>
          <w:bCs/>
        </w:rPr>
        <w:t xml:space="preserve"> with 5% CO</w:t>
      </w:r>
      <w:r w:rsidRPr="00DF5CC5">
        <w:rPr>
          <w:rFonts w:eastAsia="Calibri" w:cs="Times New Roman"/>
          <w:bCs/>
          <w:vertAlign w:val="subscript"/>
        </w:rPr>
        <w:t>2</w:t>
      </w:r>
      <w:r w:rsidRPr="00DF5CC5">
        <w:rPr>
          <w:rFonts w:eastAsia="Calibri" w:cs="Times New Roman"/>
          <w:bCs/>
        </w:rPr>
        <w:t xml:space="preserve"> for 48 hours. An untreated sample with equivalent DMSO concentration was also used as the control. The cells were then harvested, washed with the cold PBS 1X and re-suspended in 1X Binding Buffer. 1 x 10</w:t>
      </w:r>
      <w:r w:rsidRPr="00DF5CC5">
        <w:rPr>
          <w:rFonts w:eastAsia="Calibri" w:cs="Times New Roman"/>
          <w:bCs/>
          <w:vertAlign w:val="superscript"/>
        </w:rPr>
        <w:t>5</w:t>
      </w:r>
      <w:r w:rsidRPr="00DF5CC5">
        <w:rPr>
          <w:rFonts w:eastAsia="Calibri" w:cs="Times New Roman"/>
          <w:bCs/>
        </w:rPr>
        <w:t xml:space="preserve"> of the cells in 50 µl Binding Buffer were transferred to the tubes, stained with 2 µl of FITC-conjugated Annexin V as well as 2 µl of 7-AAD solution and incubated for 15 min at room temperature in the dark. 300 µl of 1X Binding Buffer was added to each tube and analyzed immediately by four-color </w:t>
      </w:r>
      <w:proofErr w:type="spellStart"/>
      <w:r w:rsidRPr="00DF5CC5">
        <w:rPr>
          <w:rFonts w:eastAsia="Calibri" w:cs="Times New Roman"/>
          <w:bCs/>
        </w:rPr>
        <w:t>FACSCalibur</w:t>
      </w:r>
      <w:proofErr w:type="spellEnd"/>
      <w:r w:rsidRPr="00DF5CC5">
        <w:rPr>
          <w:rFonts w:eastAsia="Calibri" w:cs="Times New Roman"/>
          <w:bCs/>
        </w:rPr>
        <w:t xml:space="preserve"> flow cytometer (BD </w:t>
      </w:r>
      <w:r w:rsidRPr="00DF5CC5">
        <w:rPr>
          <w:rFonts w:eastAsia="Calibri" w:cs="Times New Roman"/>
          <w:bCs/>
        </w:rPr>
        <w:lastRenderedPageBreak/>
        <w:t xml:space="preserve">Bioscience, USA). At least 50000 cells were acquired. The data were analyzed by </w:t>
      </w:r>
      <w:proofErr w:type="spellStart"/>
      <w:r w:rsidRPr="00DF5CC5">
        <w:rPr>
          <w:rFonts w:eastAsia="Calibri" w:cs="Times New Roman"/>
          <w:bCs/>
        </w:rPr>
        <w:t>flowJo</w:t>
      </w:r>
      <w:proofErr w:type="spellEnd"/>
      <w:r w:rsidRPr="00DF5CC5">
        <w:rPr>
          <w:rFonts w:eastAsia="Calibri" w:cs="Times New Roman"/>
          <w:bCs/>
        </w:rPr>
        <w:t xml:space="preserve"> software packages.</w:t>
      </w:r>
    </w:p>
    <w:p w14:paraId="3CA71048" w14:textId="77777777" w:rsidR="00293E32" w:rsidRPr="00DF5CC5" w:rsidRDefault="00293E32" w:rsidP="00293E32">
      <w:pPr>
        <w:autoSpaceDE w:val="0"/>
        <w:autoSpaceDN w:val="0"/>
        <w:adjustRightInd w:val="0"/>
        <w:spacing w:after="200"/>
        <w:jc w:val="both"/>
        <w:rPr>
          <w:rFonts w:asciiTheme="majorBidi" w:hAnsiTheme="majorBidi" w:cstheme="majorBidi"/>
        </w:rPr>
      </w:pPr>
    </w:p>
    <w:p w14:paraId="7028677B" w14:textId="77777777" w:rsidR="00293E32" w:rsidRPr="00DF5CC5" w:rsidRDefault="00293E32" w:rsidP="00293E32">
      <w:pPr>
        <w:autoSpaceDE w:val="0"/>
        <w:autoSpaceDN w:val="0"/>
        <w:adjustRightInd w:val="0"/>
        <w:spacing w:after="200"/>
        <w:jc w:val="both"/>
        <w:rPr>
          <w:rFonts w:asciiTheme="majorBidi" w:hAnsiTheme="majorBidi" w:cstheme="majorBidi"/>
        </w:rPr>
      </w:pPr>
    </w:p>
    <w:p w14:paraId="5916C4E8" w14:textId="77777777" w:rsidR="00293E32" w:rsidRPr="00DF5CC5" w:rsidRDefault="00293E32" w:rsidP="00293E32">
      <w:pPr>
        <w:autoSpaceDE w:val="0"/>
        <w:autoSpaceDN w:val="0"/>
        <w:adjustRightInd w:val="0"/>
        <w:spacing w:after="200"/>
        <w:jc w:val="both"/>
        <w:rPr>
          <w:rFonts w:asciiTheme="majorBidi" w:hAnsiTheme="majorBidi" w:cstheme="majorBidi"/>
          <w:b/>
          <w:bCs/>
          <w:i/>
          <w:iCs/>
        </w:rPr>
      </w:pPr>
      <w:r w:rsidRPr="00DF5CC5">
        <w:rPr>
          <w:rFonts w:asciiTheme="majorBidi" w:hAnsiTheme="majorBidi" w:cstheme="majorBidi"/>
          <w:b/>
          <w:bCs/>
          <w:i/>
          <w:iCs/>
        </w:rPr>
        <w:t>Shift Mobility Assay</w:t>
      </w:r>
    </w:p>
    <w:p w14:paraId="598CCF6C" w14:textId="7BCD55C0" w:rsidR="00293E32" w:rsidRPr="00DF5CC5" w:rsidRDefault="00293E32" w:rsidP="00861680">
      <w:pPr>
        <w:autoSpaceDE w:val="0"/>
        <w:autoSpaceDN w:val="0"/>
        <w:adjustRightInd w:val="0"/>
        <w:spacing w:after="200"/>
        <w:ind w:firstLine="720"/>
        <w:jc w:val="both"/>
        <w:rPr>
          <w:rFonts w:asciiTheme="majorBidi" w:hAnsiTheme="majorBidi" w:cstheme="majorBidi"/>
        </w:rPr>
      </w:pPr>
      <w:r w:rsidRPr="00DF5CC5">
        <w:rPr>
          <w:rFonts w:asciiTheme="majorBidi" w:hAnsiTheme="majorBidi" w:cstheme="majorBidi"/>
        </w:rPr>
        <w:t xml:space="preserve">To investigate the interaction of DNA with </w:t>
      </w:r>
      <w:r w:rsidRPr="00DF5CC5">
        <w:rPr>
          <w:rFonts w:asciiTheme="majorBidi" w:hAnsiTheme="majorBidi" w:cstheme="majorBidi"/>
          <w:b/>
          <w:bCs/>
        </w:rPr>
        <w:t>1b</w:t>
      </w:r>
      <w:r w:rsidRPr="00DF5CC5">
        <w:rPr>
          <w:rFonts w:asciiTheme="majorBidi" w:hAnsiTheme="majorBidi" w:cstheme="majorBidi"/>
        </w:rPr>
        <w:t xml:space="preserve">, a </w:t>
      </w:r>
      <w:r w:rsidRPr="00DF5CC5">
        <w:rPr>
          <w:lang w:bidi="fa-IR"/>
        </w:rPr>
        <w:t>pEt28a</w:t>
      </w:r>
      <w:r w:rsidRPr="00DF5CC5">
        <w:rPr>
          <w:rtl/>
          <w:lang w:bidi="fa-IR"/>
        </w:rPr>
        <w:t xml:space="preserve"> </w:t>
      </w:r>
      <w:r w:rsidRPr="00DF5CC5">
        <w:rPr>
          <w:rFonts w:asciiTheme="majorBidi" w:hAnsiTheme="majorBidi" w:cstheme="majorBidi"/>
        </w:rPr>
        <w:t>plasmid (</w:t>
      </w:r>
      <w:r w:rsidRPr="00DF5CC5">
        <w:t>5369 bp</w:t>
      </w:r>
      <w:r w:rsidRPr="00DF5CC5">
        <w:rPr>
          <w:lang w:bidi="fa-IR"/>
        </w:rPr>
        <w:t xml:space="preserve">) </w:t>
      </w:r>
      <w:r w:rsidRPr="00DF5CC5">
        <w:rPr>
          <w:rFonts w:asciiTheme="majorBidi" w:hAnsiTheme="majorBidi" w:cstheme="majorBidi"/>
        </w:rPr>
        <w:t>in circular form was used. As previously described, the same aliquots of plasmid diluted in a buffer containing Tris–HCl, pH = 8.5 (Roche, Germany), were incubated with compounds at different concentrations (100, 400, and 800 mM) at 37 1C for 24 h and 48 h. Cisplatin treated DNA (at the same concentrations) and untreated DNA were also applied as positive and negative controls, respectively. After incubation, 10 mL of each sample was mixed with 3 mL of KBC loading dye (</w:t>
      </w:r>
      <w:proofErr w:type="spellStart"/>
      <w:r w:rsidRPr="00DF5CC5">
        <w:rPr>
          <w:rFonts w:asciiTheme="majorBidi" w:hAnsiTheme="majorBidi" w:cstheme="majorBidi"/>
        </w:rPr>
        <w:t>Kawsar</w:t>
      </w:r>
      <w:proofErr w:type="spellEnd"/>
      <w:r w:rsidRPr="00DF5CC5">
        <w:rPr>
          <w:rFonts w:asciiTheme="majorBidi" w:hAnsiTheme="majorBidi" w:cstheme="majorBidi"/>
        </w:rPr>
        <w:t xml:space="preserve"> </w:t>
      </w:r>
      <w:proofErr w:type="spellStart"/>
      <w:r w:rsidRPr="00DF5CC5">
        <w:rPr>
          <w:rFonts w:asciiTheme="majorBidi" w:hAnsiTheme="majorBidi" w:cstheme="majorBidi"/>
        </w:rPr>
        <w:t>Biotec</w:t>
      </w:r>
      <w:proofErr w:type="spellEnd"/>
      <w:r w:rsidRPr="00DF5CC5">
        <w:rPr>
          <w:rFonts w:asciiTheme="majorBidi" w:hAnsiTheme="majorBidi" w:cstheme="majorBidi"/>
        </w:rPr>
        <w:t>, Iran), loaded onto 1% agarose gel (Invitrogen, USA), electrophoresed for 4 hours at 70 V in 0.5% TEA buffer, and then visualized using a UV detector.</w:t>
      </w:r>
    </w:p>
    <w:p w14:paraId="09FE4598" w14:textId="77777777" w:rsidR="00293E32" w:rsidRPr="00DF5CC5" w:rsidRDefault="00293E32" w:rsidP="00293E32">
      <w:pPr>
        <w:autoSpaceDE w:val="0"/>
        <w:autoSpaceDN w:val="0"/>
        <w:adjustRightInd w:val="0"/>
        <w:spacing w:after="200"/>
        <w:jc w:val="both"/>
        <w:rPr>
          <w:rFonts w:asciiTheme="majorBidi" w:hAnsiTheme="majorBidi" w:cstheme="majorBidi"/>
        </w:rPr>
      </w:pPr>
    </w:p>
    <w:p w14:paraId="7AC08626" w14:textId="77777777" w:rsidR="00293E32" w:rsidRPr="00DF5CC5" w:rsidRDefault="00293E32" w:rsidP="00293E32">
      <w:pPr>
        <w:spacing w:before="120" w:after="200"/>
        <w:jc w:val="both"/>
        <w:rPr>
          <w:rFonts w:asciiTheme="majorBidi" w:hAnsiTheme="majorBidi" w:cstheme="majorBidi"/>
          <w:b/>
          <w:bCs/>
          <w:i/>
          <w:iCs/>
        </w:rPr>
      </w:pPr>
      <w:r w:rsidRPr="00DF5CC5">
        <w:rPr>
          <w:rFonts w:asciiTheme="majorBidi" w:hAnsiTheme="majorBidi" w:cstheme="majorBidi"/>
          <w:b/>
          <w:bCs/>
          <w:i/>
          <w:iCs/>
        </w:rPr>
        <w:t>Determination of intracellular reactive oxygen species (ROS)</w:t>
      </w:r>
    </w:p>
    <w:p w14:paraId="46E746E8" w14:textId="77777777" w:rsidR="00293E32" w:rsidRPr="00DF5CC5" w:rsidRDefault="00293E32" w:rsidP="00861680">
      <w:pPr>
        <w:autoSpaceDE w:val="0"/>
        <w:autoSpaceDN w:val="0"/>
        <w:adjustRightInd w:val="0"/>
        <w:spacing w:after="200"/>
        <w:ind w:firstLine="720"/>
        <w:jc w:val="both"/>
      </w:pPr>
      <w:r w:rsidRPr="00DF5CC5">
        <w:t xml:space="preserve">Intracellular ROS generation was measured in </w:t>
      </w:r>
      <w:r w:rsidRPr="00DF5CC5">
        <w:rPr>
          <w:rFonts w:asciiTheme="majorBidi" w:hAnsiTheme="majorBidi" w:cstheme="majorBidi"/>
        </w:rPr>
        <w:t xml:space="preserve">A549 </w:t>
      </w:r>
      <w:r w:rsidRPr="00DF5CC5">
        <w:t xml:space="preserve">cells using, </w:t>
      </w:r>
      <w:proofErr w:type="spellStart"/>
      <w:r w:rsidRPr="00DF5CC5">
        <w:t>Dichlorodihydrofluorescein's</w:t>
      </w:r>
      <w:proofErr w:type="spellEnd"/>
      <w:r w:rsidRPr="00DF5CC5">
        <w:t xml:space="preserve"> diacetate (DCFH-DA, a fluorescent probe), adopting published method. Briefly, the cells were treated with varying concentrations of compounds (10-200 µM) for 24 h and then collected by spinning at 3000 rpm for 5 min. Cold PBS was used twice to wash the pellet and re-suspended in PBS (500 </w:t>
      </w:r>
      <w:proofErr w:type="spellStart"/>
      <w:r w:rsidRPr="00DF5CC5">
        <w:t>μl</w:t>
      </w:r>
      <w:proofErr w:type="spellEnd"/>
      <w:r w:rsidRPr="00DF5CC5">
        <w:t xml:space="preserve">). At 37 °C, cells were incubated with DCFH-DA (5 </w:t>
      </w:r>
      <w:proofErr w:type="spellStart"/>
      <w:r w:rsidRPr="00DF5CC5">
        <w:t>μM</w:t>
      </w:r>
      <w:proofErr w:type="spellEnd"/>
      <w:r w:rsidRPr="00DF5CC5">
        <w:t xml:space="preserve">) in the dark for 1 h. The DCFH-DA marked cells without treating with tested compounds was the control. Upon excitation at 488 nm, the fluorescence has been recorded. The fluorescence (Green color) from 2′,7′-dichlorofluorescein (DCF) through 525 nm band-pass filter was measured using FL1 Log channel. The ROS production qualitative analysis was validated by treating HepG2 cell with tested complexes and then staining with 5 </w:t>
      </w:r>
      <w:proofErr w:type="spellStart"/>
      <w:r w:rsidRPr="00DF5CC5">
        <w:t>μM</w:t>
      </w:r>
      <w:proofErr w:type="spellEnd"/>
      <w:r w:rsidRPr="00DF5CC5">
        <w:t xml:space="preserve"> of DCFH-DA for 1 h. Images collected from Fluorescence microscope (Nikon Eclipse 80i, Japan).</w:t>
      </w:r>
    </w:p>
    <w:p w14:paraId="319809B9" w14:textId="77777777" w:rsidR="00293E32" w:rsidRPr="00DF5CC5" w:rsidRDefault="00293E32" w:rsidP="00293E32">
      <w:pPr>
        <w:autoSpaceDE w:val="0"/>
        <w:autoSpaceDN w:val="0"/>
        <w:adjustRightInd w:val="0"/>
        <w:spacing w:after="200"/>
        <w:jc w:val="both"/>
        <w:rPr>
          <w:rFonts w:asciiTheme="majorBidi" w:hAnsiTheme="majorBidi" w:cstheme="majorBidi"/>
        </w:rPr>
      </w:pPr>
    </w:p>
    <w:p w14:paraId="30B9D713" w14:textId="77777777" w:rsidR="00293E32" w:rsidRPr="00DF5CC5" w:rsidRDefault="00293E32" w:rsidP="00293E32">
      <w:pPr>
        <w:autoSpaceDE w:val="0"/>
        <w:autoSpaceDN w:val="0"/>
        <w:adjustRightInd w:val="0"/>
        <w:spacing w:after="200"/>
        <w:jc w:val="both"/>
        <w:rPr>
          <w:rFonts w:asciiTheme="majorBidi" w:hAnsiTheme="majorBidi" w:cstheme="majorBidi"/>
          <w:b/>
          <w:bCs/>
          <w:i/>
          <w:iCs/>
        </w:rPr>
      </w:pPr>
      <w:r w:rsidRPr="00DF5CC5">
        <w:rPr>
          <w:rFonts w:asciiTheme="majorBidi" w:hAnsiTheme="majorBidi" w:cstheme="majorBidi"/>
          <w:b/>
          <w:bCs/>
          <w:i/>
          <w:iCs/>
        </w:rPr>
        <w:lastRenderedPageBreak/>
        <w:t>Docking procedure</w:t>
      </w:r>
    </w:p>
    <w:p w14:paraId="647CB7B6" w14:textId="3E982024" w:rsidR="00293E32" w:rsidRPr="00DF5CC5" w:rsidRDefault="00293E32" w:rsidP="00861680">
      <w:pPr>
        <w:autoSpaceDE w:val="0"/>
        <w:autoSpaceDN w:val="0"/>
        <w:adjustRightInd w:val="0"/>
        <w:spacing w:after="200"/>
        <w:ind w:firstLine="720"/>
        <w:jc w:val="both"/>
        <w:rPr>
          <w:rFonts w:asciiTheme="majorBidi" w:hAnsiTheme="majorBidi" w:cstheme="majorBidi"/>
          <w:b/>
          <w:bCs/>
          <w:i/>
          <w:iCs/>
        </w:rPr>
      </w:pPr>
      <w:r w:rsidRPr="00DF5CC5">
        <w:rPr>
          <w:rFonts w:asciiTheme="majorBidi" w:hAnsiTheme="majorBidi" w:cstheme="majorBidi"/>
        </w:rPr>
        <w:t xml:space="preserve">A molecular docking study was carried out to determine the specific binding mode and the orientation of complexes binding to DNA. </w:t>
      </w:r>
      <w:r w:rsidRPr="00DF5CC5">
        <w:rPr>
          <w:rFonts w:asciiTheme="majorBidi" w:hAnsiTheme="majorBidi" w:cstheme="majorBidi"/>
          <w:b/>
          <w:bCs/>
          <w:i/>
          <w:iCs/>
        </w:rPr>
        <w:t xml:space="preserve"> </w:t>
      </w:r>
      <w:r w:rsidRPr="00DF5CC5">
        <w:rPr>
          <w:rFonts w:asciiTheme="majorBidi" w:hAnsiTheme="majorBidi" w:cstheme="majorBidi"/>
        </w:rPr>
        <w:t xml:space="preserve">The docking simulations were carried out by means of </w:t>
      </w:r>
      <w:proofErr w:type="spellStart"/>
      <w:r w:rsidRPr="00DF5CC5">
        <w:rPr>
          <w:rFonts w:asciiTheme="majorBidi" w:hAnsiTheme="majorBidi" w:cstheme="majorBidi"/>
        </w:rPr>
        <w:t>AutoDock</w:t>
      </w:r>
      <w:proofErr w:type="spellEnd"/>
      <w:r w:rsidRPr="00DF5CC5">
        <w:rPr>
          <w:rFonts w:asciiTheme="majorBidi" w:hAnsiTheme="majorBidi" w:cstheme="majorBidi"/>
        </w:rPr>
        <w:t xml:space="preserve"> 4.2. In all experiments </w:t>
      </w:r>
      <w:proofErr w:type="spellStart"/>
      <w:r w:rsidRPr="00DF5CC5">
        <w:rPr>
          <w:rFonts w:asciiTheme="majorBidi" w:hAnsiTheme="majorBidi" w:cstheme="majorBidi"/>
        </w:rPr>
        <w:t>lamarchian</w:t>
      </w:r>
      <w:proofErr w:type="spellEnd"/>
      <w:r w:rsidRPr="00DF5CC5">
        <w:rPr>
          <w:rFonts w:asciiTheme="majorBidi" w:hAnsiTheme="majorBidi" w:cstheme="majorBidi"/>
        </w:rPr>
        <w:t xml:space="preserve"> genetic </w:t>
      </w:r>
      <w:proofErr w:type="spellStart"/>
      <w:r w:rsidRPr="00DF5CC5">
        <w:rPr>
          <w:rFonts w:asciiTheme="majorBidi" w:hAnsiTheme="majorBidi" w:cstheme="majorBidi"/>
        </w:rPr>
        <w:t>algoritm</w:t>
      </w:r>
      <w:proofErr w:type="spellEnd"/>
      <w:r w:rsidRPr="00DF5CC5">
        <w:rPr>
          <w:rFonts w:asciiTheme="majorBidi" w:hAnsiTheme="majorBidi" w:cstheme="majorBidi"/>
        </w:rPr>
        <w:t xml:space="preserve"> search method was used to find the best pose of each ligand in the active site of the DNA. The four different </w:t>
      </w:r>
      <w:proofErr w:type="gramStart"/>
      <w:r w:rsidRPr="00DF5CC5">
        <w:rPr>
          <w:rFonts w:asciiTheme="majorBidi" w:hAnsiTheme="majorBidi" w:cstheme="majorBidi"/>
        </w:rPr>
        <w:t>three dimensional</w:t>
      </w:r>
      <w:proofErr w:type="gramEnd"/>
      <w:r w:rsidRPr="00DF5CC5">
        <w:rPr>
          <w:rFonts w:asciiTheme="majorBidi" w:hAnsiTheme="majorBidi" w:cstheme="majorBidi"/>
        </w:rPr>
        <w:t xml:space="preserve"> crystal structures of DNA (PDB ID: 1BNA, 3CO3, 198D and 1LU5) were retrieved from protein data bank (www.rcsb.org/pdb). Co-crystal ligand molecules were excluded from the structures and the PDBs were checked in terms of missing atom types by MODELLER 9.12. The grid center on the DNA structures was maintained by centering the grid box on the minor groove, major groove and the intercalation site to cover the full of DNA structure. The grid maps had a spacing of 0.375 Å. All the other parameters were kept at their default values. Parameters for docking with metal ions such as </w:t>
      </w:r>
      <w:proofErr w:type="spellStart"/>
      <w:r w:rsidRPr="00DF5CC5">
        <w:rPr>
          <w:rFonts w:asciiTheme="majorBidi" w:hAnsiTheme="majorBidi" w:cstheme="majorBidi"/>
        </w:rPr>
        <w:t>platinium</w:t>
      </w:r>
      <w:proofErr w:type="spellEnd"/>
      <w:r w:rsidRPr="00DF5CC5">
        <w:rPr>
          <w:rFonts w:asciiTheme="majorBidi" w:hAnsiTheme="majorBidi" w:cstheme="majorBidi"/>
        </w:rPr>
        <w:t xml:space="preserve">, used in the docking calculation were added to </w:t>
      </w:r>
      <w:proofErr w:type="spellStart"/>
      <w:r w:rsidRPr="00DF5CC5">
        <w:rPr>
          <w:rFonts w:asciiTheme="majorBidi" w:hAnsiTheme="majorBidi" w:cstheme="majorBidi"/>
        </w:rPr>
        <w:t>gpf</w:t>
      </w:r>
      <w:proofErr w:type="spellEnd"/>
      <w:r w:rsidRPr="00DF5CC5">
        <w:rPr>
          <w:rFonts w:asciiTheme="majorBidi" w:hAnsiTheme="majorBidi" w:cstheme="majorBidi"/>
        </w:rPr>
        <w:t xml:space="preserve"> and </w:t>
      </w:r>
      <w:proofErr w:type="spellStart"/>
      <w:r w:rsidRPr="00DF5CC5">
        <w:rPr>
          <w:rFonts w:asciiTheme="majorBidi" w:hAnsiTheme="majorBidi" w:cstheme="majorBidi"/>
        </w:rPr>
        <w:t>dpf</w:t>
      </w:r>
      <w:proofErr w:type="spellEnd"/>
      <w:r w:rsidRPr="00DF5CC5">
        <w:rPr>
          <w:rFonts w:asciiTheme="majorBidi" w:hAnsiTheme="majorBidi" w:cstheme="majorBidi"/>
        </w:rPr>
        <w:t xml:space="preserve"> files. All calculations were run on a core i7 personal computer (CPU at 8 MB) with Windows 7 operating system. With respect to the </w:t>
      </w:r>
      <w:proofErr w:type="spellStart"/>
      <w:r w:rsidRPr="00DF5CC5">
        <w:rPr>
          <w:rFonts w:asciiTheme="majorBidi" w:hAnsiTheme="majorBidi" w:cstheme="majorBidi"/>
        </w:rPr>
        <w:t>AutoDock</w:t>
      </w:r>
      <w:proofErr w:type="spellEnd"/>
      <w:r w:rsidRPr="00DF5CC5">
        <w:rPr>
          <w:rFonts w:asciiTheme="majorBidi" w:hAnsiTheme="majorBidi" w:cstheme="majorBidi"/>
        </w:rPr>
        <w:t xml:space="preserve"> scoring function, the lowest docking binding energy conformation was chosen as the best binding mode. Visualization of the docked pose has been performed by means of </w:t>
      </w:r>
      <w:proofErr w:type="spellStart"/>
      <w:r w:rsidRPr="00DF5CC5">
        <w:rPr>
          <w:rFonts w:asciiTheme="majorBidi" w:hAnsiTheme="majorBidi" w:cstheme="majorBidi"/>
        </w:rPr>
        <w:t>AutoDock</w:t>
      </w:r>
      <w:proofErr w:type="spellEnd"/>
      <w:r w:rsidRPr="00DF5CC5">
        <w:rPr>
          <w:rFonts w:asciiTheme="majorBidi" w:hAnsiTheme="majorBidi" w:cstheme="majorBidi"/>
        </w:rPr>
        <w:t xml:space="preserve"> Tools 1.5.6 and </w:t>
      </w:r>
      <w:proofErr w:type="spellStart"/>
      <w:r w:rsidRPr="00DF5CC5">
        <w:rPr>
          <w:rFonts w:asciiTheme="majorBidi" w:hAnsiTheme="majorBidi" w:cstheme="majorBidi"/>
        </w:rPr>
        <w:t>PyMOL</w:t>
      </w:r>
      <w:proofErr w:type="spellEnd"/>
      <w:r w:rsidRPr="00DF5CC5">
        <w:rPr>
          <w:rFonts w:asciiTheme="majorBidi" w:hAnsiTheme="majorBidi" w:cstheme="majorBidi"/>
        </w:rPr>
        <w:t xml:space="preserve"> molecular graphics program. The structure of each Pt(II) </w:t>
      </w:r>
      <w:r w:rsidR="00A45F25">
        <w:rPr>
          <w:rFonts w:asciiTheme="majorBidi" w:hAnsiTheme="majorBidi" w:cstheme="majorBidi"/>
        </w:rPr>
        <w:t>complex</w:t>
      </w:r>
      <w:r w:rsidRPr="00DF5CC5">
        <w:rPr>
          <w:rFonts w:asciiTheme="majorBidi" w:hAnsiTheme="majorBidi" w:cstheme="majorBidi"/>
        </w:rPr>
        <w:t xml:space="preserve"> </w:t>
      </w:r>
      <w:r w:rsidR="00A45F25">
        <w:rPr>
          <w:rFonts w:asciiTheme="majorBidi" w:hAnsiTheme="majorBidi" w:cstheme="majorBidi"/>
        </w:rPr>
        <w:t xml:space="preserve">was </w:t>
      </w:r>
      <w:r w:rsidRPr="00DF5CC5">
        <w:rPr>
          <w:rFonts w:asciiTheme="majorBidi" w:hAnsiTheme="majorBidi" w:cstheme="majorBidi"/>
        </w:rPr>
        <w:t xml:space="preserve">created by </w:t>
      </w:r>
      <w:proofErr w:type="spellStart"/>
      <w:r w:rsidRPr="00DF5CC5">
        <w:rPr>
          <w:rFonts w:asciiTheme="majorBidi" w:hAnsiTheme="majorBidi" w:cstheme="majorBidi"/>
        </w:rPr>
        <w:t>HyperChem</w:t>
      </w:r>
      <w:proofErr w:type="spellEnd"/>
      <w:r w:rsidRPr="00DF5CC5">
        <w:rPr>
          <w:rFonts w:asciiTheme="majorBidi" w:hAnsiTheme="majorBidi" w:cstheme="majorBidi"/>
        </w:rPr>
        <w:t xml:space="preserve"> Professional (Version 8, Hypercube Inc., Gainesville, FL, USA). Each </w:t>
      </w:r>
      <w:r w:rsidR="00A45F25">
        <w:rPr>
          <w:rFonts w:asciiTheme="majorBidi" w:hAnsiTheme="majorBidi" w:cstheme="majorBidi"/>
        </w:rPr>
        <w:t>complex</w:t>
      </w:r>
      <w:r w:rsidRPr="00DF5CC5">
        <w:rPr>
          <w:rFonts w:asciiTheme="majorBidi" w:hAnsiTheme="majorBidi" w:cstheme="majorBidi"/>
        </w:rPr>
        <w:t xml:space="preserve"> was optimized by molecular mechanic methods (MM+) using </w:t>
      </w:r>
      <w:proofErr w:type="spellStart"/>
      <w:r w:rsidRPr="00DF5CC5">
        <w:rPr>
          <w:rFonts w:asciiTheme="majorBidi" w:hAnsiTheme="majorBidi" w:cstheme="majorBidi"/>
        </w:rPr>
        <w:t>HyperChem</w:t>
      </w:r>
      <w:proofErr w:type="spellEnd"/>
      <w:r w:rsidRPr="00DF5CC5">
        <w:rPr>
          <w:rFonts w:asciiTheme="majorBidi" w:hAnsiTheme="majorBidi" w:cstheme="majorBidi"/>
        </w:rPr>
        <w:t xml:space="preserve"> 8, followed by energy minimization calculations at Hartree-</w:t>
      </w:r>
      <w:proofErr w:type="spellStart"/>
      <w:r w:rsidRPr="00DF5CC5">
        <w:rPr>
          <w:rFonts w:asciiTheme="majorBidi" w:hAnsiTheme="majorBidi" w:cstheme="majorBidi"/>
        </w:rPr>
        <w:t>Fock</w:t>
      </w:r>
      <w:proofErr w:type="spellEnd"/>
      <w:r w:rsidRPr="00DF5CC5">
        <w:rPr>
          <w:rFonts w:asciiTheme="majorBidi" w:hAnsiTheme="majorBidi" w:cstheme="majorBidi"/>
        </w:rPr>
        <w:t xml:space="preserve"> (HF) level, using Gaussian 09. The output structures were thereafter converted to PDBQT using </w:t>
      </w:r>
      <w:proofErr w:type="spellStart"/>
      <w:r w:rsidRPr="00DF5CC5">
        <w:rPr>
          <w:rFonts w:asciiTheme="majorBidi" w:hAnsiTheme="majorBidi" w:cstheme="majorBidi"/>
        </w:rPr>
        <w:t>MGLtools</w:t>
      </w:r>
      <w:proofErr w:type="spellEnd"/>
      <w:r w:rsidRPr="00DF5CC5">
        <w:rPr>
          <w:rFonts w:asciiTheme="majorBidi" w:hAnsiTheme="majorBidi" w:cstheme="majorBidi"/>
        </w:rPr>
        <w:t xml:space="preserve"> 1.5.6.</w:t>
      </w:r>
    </w:p>
    <w:p w14:paraId="42AE7A09" w14:textId="77777777" w:rsidR="00087BB5" w:rsidRPr="00DF5CC5" w:rsidRDefault="00087BB5" w:rsidP="00087BB5">
      <w:pPr>
        <w:spacing w:after="200"/>
        <w:jc w:val="both"/>
      </w:pPr>
    </w:p>
    <w:p w14:paraId="3A8C7214" w14:textId="77777777" w:rsidR="00087BB5" w:rsidRPr="00DF5CC5" w:rsidRDefault="00087BB5" w:rsidP="00087BB5">
      <w:pPr>
        <w:pStyle w:val="NormalWeb"/>
        <w:shd w:val="clear" w:color="auto" w:fill="FFFFFF"/>
        <w:spacing w:before="0" w:beforeAutospacing="0" w:after="0" w:afterAutospacing="0" w:line="360" w:lineRule="auto"/>
        <w:jc w:val="center"/>
        <w:textAlignment w:val="baseline"/>
        <w:rPr>
          <w:rFonts w:asciiTheme="majorBidi" w:hAnsiTheme="majorBidi" w:cstheme="majorBidi"/>
          <w:color w:val="5B9BD5" w:themeColor="accent5"/>
        </w:rPr>
      </w:pPr>
      <w:r w:rsidRPr="00DF5CC5">
        <w:rPr>
          <w:noProof/>
          <w:lang w:bidi="ar-SA"/>
        </w:rPr>
        <w:lastRenderedPageBreak/>
        <w:drawing>
          <wp:inline distT="0" distB="0" distL="0" distR="0" wp14:anchorId="02CB1D70" wp14:editId="45350B88">
            <wp:extent cx="5317067" cy="3022600"/>
            <wp:effectExtent l="0" t="0" r="17145" b="63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390135B1" w14:textId="77777777" w:rsidR="00087BB5" w:rsidRPr="00DF5CC5" w:rsidRDefault="00087BB5" w:rsidP="00087BB5">
      <w:pPr>
        <w:pStyle w:val="NormalWeb"/>
        <w:shd w:val="clear" w:color="auto" w:fill="FFFFFF"/>
        <w:spacing w:before="0" w:beforeAutospacing="0" w:after="0" w:afterAutospacing="0" w:line="360" w:lineRule="auto"/>
        <w:jc w:val="center"/>
        <w:textAlignment w:val="baseline"/>
        <w:rPr>
          <w:rFonts w:asciiTheme="majorBidi" w:hAnsiTheme="majorBidi" w:cstheme="majorBidi"/>
          <w:color w:val="5B9BD5" w:themeColor="accent5"/>
        </w:rPr>
      </w:pPr>
      <w:r w:rsidRPr="00DF5CC5">
        <w:rPr>
          <w:noProof/>
          <w:lang w:bidi="ar-SA"/>
        </w:rPr>
        <w:drawing>
          <wp:inline distT="0" distB="0" distL="0" distR="0" wp14:anchorId="1F0842F1" wp14:editId="1AFCDC90">
            <wp:extent cx="5367867" cy="2768600"/>
            <wp:effectExtent l="0" t="0" r="4445" b="1270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7E75ABA0" w14:textId="77777777" w:rsidR="00087BB5" w:rsidRPr="00DF5CC5" w:rsidRDefault="00087BB5" w:rsidP="00087BB5">
      <w:pPr>
        <w:pStyle w:val="NormalWeb"/>
        <w:shd w:val="clear" w:color="auto" w:fill="FFFFFF"/>
        <w:spacing w:before="0" w:beforeAutospacing="0" w:after="0" w:afterAutospacing="0" w:line="360" w:lineRule="auto"/>
        <w:jc w:val="center"/>
        <w:textAlignment w:val="baseline"/>
        <w:rPr>
          <w:rFonts w:asciiTheme="majorBidi" w:hAnsiTheme="majorBidi" w:cstheme="majorBidi"/>
          <w:color w:val="5B9BD5" w:themeColor="accent5"/>
        </w:rPr>
      </w:pPr>
      <w:r w:rsidRPr="00DF5CC5">
        <w:rPr>
          <w:noProof/>
          <w:lang w:bidi="ar-SA"/>
        </w:rPr>
        <w:lastRenderedPageBreak/>
        <w:drawing>
          <wp:inline distT="0" distB="0" distL="0" distR="0" wp14:anchorId="71A63EF3" wp14:editId="11C9EACA">
            <wp:extent cx="5393266" cy="2743200"/>
            <wp:effectExtent l="0" t="0" r="17145"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34621A6" w14:textId="77777777" w:rsidR="00087BB5" w:rsidRPr="00DF5CC5" w:rsidRDefault="00087BB5" w:rsidP="00087BB5">
      <w:pPr>
        <w:pStyle w:val="NormalWeb"/>
        <w:shd w:val="clear" w:color="auto" w:fill="FFFFFF"/>
        <w:spacing w:before="0" w:beforeAutospacing="0" w:after="0" w:afterAutospacing="0" w:line="360" w:lineRule="auto"/>
        <w:jc w:val="center"/>
        <w:textAlignment w:val="baseline"/>
        <w:rPr>
          <w:rFonts w:asciiTheme="majorBidi" w:hAnsiTheme="majorBidi" w:cstheme="majorBidi"/>
          <w:color w:val="5B9BD5" w:themeColor="accent5"/>
        </w:rPr>
      </w:pPr>
      <w:r w:rsidRPr="00DF5CC5">
        <w:rPr>
          <w:noProof/>
          <w:lang w:bidi="ar-SA"/>
        </w:rPr>
        <w:drawing>
          <wp:inline distT="0" distB="0" distL="0" distR="0" wp14:anchorId="0A40FA43" wp14:editId="79CD9CA0">
            <wp:extent cx="5308600" cy="2582333"/>
            <wp:effectExtent l="0" t="0" r="6350" b="889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4858EFC" w14:textId="0B1A7FD8" w:rsidR="00087BB5" w:rsidRDefault="00087BB5" w:rsidP="00087BB5">
      <w:pPr>
        <w:spacing w:before="120" w:after="200"/>
        <w:jc w:val="center"/>
        <w:rPr>
          <w:rFonts w:asciiTheme="majorBidi" w:hAnsiTheme="majorBidi" w:cstheme="majorBidi"/>
          <w:sz w:val="22"/>
          <w:szCs w:val="22"/>
        </w:rPr>
      </w:pPr>
      <w:r w:rsidRPr="00DF5CC5">
        <w:rPr>
          <w:rFonts w:asciiTheme="majorBidi" w:hAnsiTheme="majorBidi" w:cstheme="majorBidi"/>
          <w:b/>
          <w:bCs/>
          <w:sz w:val="22"/>
          <w:szCs w:val="22"/>
        </w:rPr>
        <w:t xml:space="preserve">Figure S1. </w:t>
      </w:r>
      <w:r w:rsidRPr="00DF5CC5">
        <w:rPr>
          <w:rFonts w:asciiTheme="majorBidi" w:hAnsiTheme="majorBidi" w:cstheme="majorBidi"/>
          <w:sz w:val="22"/>
          <w:szCs w:val="22"/>
        </w:rPr>
        <w:t>The Cytotoxic results of Pt</w:t>
      </w:r>
      <w:r w:rsidR="00DF5CC5">
        <w:rPr>
          <w:rFonts w:asciiTheme="majorBidi" w:hAnsiTheme="majorBidi" w:cstheme="majorBidi"/>
          <w:sz w:val="22"/>
          <w:szCs w:val="22"/>
        </w:rPr>
        <w:t xml:space="preserve"> </w:t>
      </w:r>
      <w:r w:rsidRPr="00DF5CC5">
        <w:rPr>
          <w:rFonts w:asciiTheme="majorBidi" w:hAnsiTheme="majorBidi" w:cstheme="majorBidi"/>
          <w:sz w:val="22"/>
          <w:szCs w:val="22"/>
        </w:rPr>
        <w:t>(II) complexes against A549, SKOV3, MCF-7 cancer and MCF-10A normal cell lines.</w:t>
      </w:r>
    </w:p>
    <w:p w14:paraId="1EDC5E7A" w14:textId="1FA0A9B8" w:rsidR="0064058D" w:rsidRDefault="0064058D" w:rsidP="0064058D">
      <w:pPr>
        <w:rPr>
          <w:rFonts w:asciiTheme="majorBidi" w:hAnsiTheme="majorBidi" w:cstheme="majorBidi"/>
          <w:b/>
          <w:bCs/>
          <w:sz w:val="28"/>
          <w:szCs w:val="28"/>
        </w:rPr>
      </w:pPr>
    </w:p>
    <w:sectPr w:rsidR="006405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AD7"/>
    <w:rsid w:val="00011341"/>
    <w:rsid w:val="00087BB5"/>
    <w:rsid w:val="000E62DF"/>
    <w:rsid w:val="001C666C"/>
    <w:rsid w:val="001E2AD7"/>
    <w:rsid w:val="0023152F"/>
    <w:rsid w:val="00293E32"/>
    <w:rsid w:val="002B4585"/>
    <w:rsid w:val="00492220"/>
    <w:rsid w:val="004A6FF6"/>
    <w:rsid w:val="00585A88"/>
    <w:rsid w:val="00592BF9"/>
    <w:rsid w:val="005F7E71"/>
    <w:rsid w:val="0064058D"/>
    <w:rsid w:val="006B1F23"/>
    <w:rsid w:val="00861680"/>
    <w:rsid w:val="008D4515"/>
    <w:rsid w:val="00950059"/>
    <w:rsid w:val="00A01DAD"/>
    <w:rsid w:val="00A45F25"/>
    <w:rsid w:val="00AD6AC3"/>
    <w:rsid w:val="00C16AA2"/>
    <w:rsid w:val="00CA464E"/>
    <w:rsid w:val="00D113F5"/>
    <w:rsid w:val="00DF23D6"/>
    <w:rsid w:val="00DF29C0"/>
    <w:rsid w:val="00DF5CC5"/>
    <w:rsid w:val="00DF7A51"/>
    <w:rsid w:val="00E0407C"/>
    <w:rsid w:val="00FE5C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41EB9"/>
  <w15:chartTrackingRefBased/>
  <w15:docId w15:val="{53C318F5-09F4-4306-AA2E-3581B7512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sz w:val="24"/>
        <w:szCs w:val="24"/>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0E62DF"/>
    <w:pPr>
      <w:keepNext/>
      <w:keepLines/>
      <w:spacing w:before="240" w:after="240"/>
      <w:jc w:val="both"/>
      <w:outlineLvl w:val="0"/>
    </w:pPr>
    <w:rPr>
      <w:rFonts w:eastAsiaTheme="majorEastAsia" w:cs="Times New Roman"/>
      <w:b/>
      <w:color w:val="000000" w:themeColor="text1"/>
      <w:sz w:val="22"/>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link w:val="1Char"/>
    <w:qFormat/>
    <w:rsid w:val="00AD6AC3"/>
    <w:pPr>
      <w:tabs>
        <w:tab w:val="right" w:pos="1930"/>
      </w:tabs>
      <w:bidi/>
      <w:spacing w:after="0"/>
      <w:jc w:val="center"/>
    </w:pPr>
    <w:rPr>
      <w:rFonts w:eastAsia="SimSun"/>
      <w:color w:val="000000"/>
      <w:lang w:bidi="fa-IR"/>
    </w:rPr>
  </w:style>
  <w:style w:type="character" w:customStyle="1" w:styleId="1Char">
    <w:name w:val="1 Char"/>
    <w:basedOn w:val="DefaultParagraphFont"/>
    <w:link w:val="1"/>
    <w:rsid w:val="00AD6AC3"/>
    <w:rPr>
      <w:rFonts w:eastAsia="SimSun"/>
      <w:color w:val="000000"/>
      <w:lang w:bidi="fa-IR"/>
    </w:rPr>
  </w:style>
  <w:style w:type="table" w:customStyle="1" w:styleId="GridTable1Light-Accent111">
    <w:name w:val="Grid Table 1 Light - Accent 111"/>
    <w:basedOn w:val="TableNormal"/>
    <w:uiPriority w:val="46"/>
    <w:rsid w:val="00AD6AC3"/>
    <w:pPr>
      <w:spacing w:after="0" w:line="240" w:lineRule="auto"/>
    </w:pPr>
    <w:rPr>
      <w:rFonts w:asciiTheme="minorHAnsi" w:hAnsiTheme="minorHAnsi" w:cstheme="minorBidi"/>
      <w:sz w:val="22"/>
      <w:szCs w:val="22"/>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1Light-Accent52">
    <w:name w:val="Grid Table 1 Light - Accent 52"/>
    <w:basedOn w:val="TableNormal"/>
    <w:uiPriority w:val="46"/>
    <w:rsid w:val="00AD6AC3"/>
    <w:pPr>
      <w:spacing w:after="0" w:line="240" w:lineRule="auto"/>
    </w:pPr>
    <w:rPr>
      <w:rFonts w:asciiTheme="minorHAnsi" w:hAnsiTheme="minorHAnsi" w:cstheme="minorBidi"/>
      <w:sz w:val="22"/>
      <w:szCs w:val="22"/>
      <w:lang w:bidi="fa-IR"/>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0E62DF"/>
    <w:rPr>
      <w:rFonts w:eastAsiaTheme="majorEastAsia" w:cs="Times New Roman"/>
      <w:b/>
      <w:color w:val="000000" w:themeColor="text1"/>
      <w:sz w:val="22"/>
      <w:lang w:bidi="fa-IR"/>
    </w:rPr>
  </w:style>
  <w:style w:type="paragraph" w:styleId="NormalWeb">
    <w:name w:val="Normal (Web)"/>
    <w:basedOn w:val="Normal"/>
    <w:uiPriority w:val="99"/>
    <w:unhideWhenUsed/>
    <w:rsid w:val="00087BB5"/>
    <w:pPr>
      <w:spacing w:before="100" w:beforeAutospacing="1" w:after="100" w:afterAutospacing="1" w:line="240" w:lineRule="auto"/>
    </w:pPr>
    <w:rPr>
      <w:rFonts w:eastAsia="Times New Roman" w:cs="Times New Roman"/>
      <w:lang w:bidi="fa-IR"/>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3" Type="http://schemas.openxmlformats.org/officeDocument/2006/relationships/webSettings" Target="webSettings.xml"/><Relationship Id="rId7" Type="http://schemas.openxmlformats.org/officeDocument/2006/relationships/chart" Target="charts/chart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2.xml"/><Relationship Id="rId5" Type="http://schemas.openxmlformats.org/officeDocument/2006/relationships/chart" Target="charts/chart1.xml"/><Relationship Id="rId10" Type="http://schemas.openxmlformats.org/officeDocument/2006/relationships/theme" Target="theme/theme1.xml"/><Relationship Id="rId4" Type="http://schemas.openxmlformats.org/officeDocument/2006/relationships/hyperlink" Target="mailto:mojaddami-a@ajums.ac.ir" TargetMode="Externa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F:\Dr.%20Fereydoonnezhad\bagherzadeh\Book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Dr.%20Fereydoonnezhad\bagherzadeh\Book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Dr.%20Fereydoonnezhad\bagherzadeh\Book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F:\Dr.%20Fereydoonnezhad\bagherzadeh\Book1.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600" b="0">
                <a:latin typeface="Myriad Pro Light SemiCond" panose="020B0403030403020204" pitchFamily="34" charset="0"/>
                <a:cs typeface="Times New Roman" panose="02020603050405020304" pitchFamily="18" charset="0"/>
              </a:rPr>
              <a:t>SKOV3</a:t>
            </a:r>
          </a:p>
        </c:rich>
      </c:tx>
      <c:layout>
        <c:manualLayout>
          <c:xMode val="edge"/>
          <c:yMode val="edge"/>
          <c:x val="0.40764566929133861"/>
          <c:y val="6.9444514773273916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Sheet2!$C$2</c:f>
              <c:strCache>
                <c:ptCount val="1"/>
                <c:pt idx="0">
                  <c:v>100μM</c:v>
                </c:pt>
              </c:strCache>
            </c:strRef>
          </c:tx>
          <c:spPr>
            <a:gradFill rotWithShape="1">
              <a:gsLst>
                <a:gs pos="0">
                  <a:schemeClr val="accent2">
                    <a:shade val="50000"/>
                    <a:satMod val="103000"/>
                    <a:lumMod val="102000"/>
                    <a:tint val="94000"/>
                  </a:schemeClr>
                </a:gs>
                <a:gs pos="50000">
                  <a:schemeClr val="accent2">
                    <a:shade val="50000"/>
                    <a:satMod val="110000"/>
                    <a:lumMod val="100000"/>
                    <a:shade val="100000"/>
                  </a:schemeClr>
                </a:gs>
                <a:gs pos="100000">
                  <a:schemeClr val="accent2">
                    <a:shade val="5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errBars>
            <c:errBarType val="both"/>
            <c:errValType val="cust"/>
            <c:noEndCap val="0"/>
            <c:plus>
              <c:numRef>
                <c:f>Sheet2!$C$3:$C$5</c:f>
                <c:numCache>
                  <c:formatCode>General</c:formatCode>
                  <c:ptCount val="3"/>
                  <c:pt idx="0">
                    <c:v>1.29</c:v>
                  </c:pt>
                  <c:pt idx="1">
                    <c:v>1.48</c:v>
                  </c:pt>
                  <c:pt idx="2">
                    <c:v>1.95</c:v>
                  </c:pt>
                </c:numCache>
              </c:numRef>
            </c:plus>
            <c:minus>
              <c:numRef>
                <c:f>Sheet2!$C$3:$C$5</c:f>
                <c:numCache>
                  <c:formatCode>General</c:formatCode>
                  <c:ptCount val="3"/>
                  <c:pt idx="0">
                    <c:v>1.29</c:v>
                  </c:pt>
                  <c:pt idx="1">
                    <c:v>1.48</c:v>
                  </c:pt>
                  <c:pt idx="2">
                    <c:v>1.95</c:v>
                  </c:pt>
                </c:numCache>
              </c:numRef>
            </c:minus>
            <c:spPr>
              <a:noFill/>
              <a:ln w="9525" cap="flat" cmpd="sng" algn="ctr">
                <a:solidFill>
                  <a:schemeClr val="tx1">
                    <a:lumMod val="65000"/>
                    <a:lumOff val="35000"/>
                  </a:schemeClr>
                </a:solidFill>
                <a:round/>
              </a:ln>
              <a:effectLst/>
            </c:spPr>
          </c:errBars>
          <c:cat>
            <c:strRef>
              <c:f>Sheet2!$B$3:$B$5</c:f>
              <c:strCache>
                <c:ptCount val="3"/>
                <c:pt idx="0">
                  <c:v>1a</c:v>
                </c:pt>
                <c:pt idx="1">
                  <c:v>1b</c:v>
                </c:pt>
                <c:pt idx="2">
                  <c:v>1c</c:v>
                </c:pt>
              </c:strCache>
            </c:strRef>
          </c:cat>
          <c:val>
            <c:numRef>
              <c:f>Sheet2!$E$20:$E$22</c:f>
              <c:numCache>
                <c:formatCode>General</c:formatCode>
                <c:ptCount val="3"/>
                <c:pt idx="0">
                  <c:v>66.31</c:v>
                </c:pt>
                <c:pt idx="1">
                  <c:v>86.36</c:v>
                </c:pt>
                <c:pt idx="2">
                  <c:v>58.6</c:v>
                </c:pt>
              </c:numCache>
            </c:numRef>
          </c:val>
          <c:extLst>
            <c:ext xmlns:c16="http://schemas.microsoft.com/office/drawing/2014/chart" uri="{C3380CC4-5D6E-409C-BE32-E72D297353CC}">
              <c16:uniqueId val="{00000000-DCAB-4FCB-93F4-47A5B844E5AE}"/>
            </c:ext>
          </c:extLst>
        </c:ser>
        <c:ser>
          <c:idx val="1"/>
          <c:order val="1"/>
          <c:tx>
            <c:strRef>
              <c:f>Sheet2!$D$2</c:f>
              <c:strCache>
                <c:ptCount val="1"/>
                <c:pt idx="0">
                  <c:v>50μM</c:v>
                </c:pt>
              </c:strCache>
            </c:strRef>
          </c:tx>
          <c:spPr>
            <a:gradFill rotWithShape="1">
              <a:gsLst>
                <a:gs pos="0">
                  <a:schemeClr val="accent2">
                    <a:shade val="70000"/>
                    <a:satMod val="103000"/>
                    <a:lumMod val="102000"/>
                    <a:tint val="94000"/>
                  </a:schemeClr>
                </a:gs>
                <a:gs pos="50000">
                  <a:schemeClr val="accent2">
                    <a:shade val="70000"/>
                    <a:satMod val="110000"/>
                    <a:lumMod val="100000"/>
                    <a:shade val="100000"/>
                  </a:schemeClr>
                </a:gs>
                <a:gs pos="100000">
                  <a:schemeClr val="accent2">
                    <a:shade val="7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errBars>
            <c:errBarType val="both"/>
            <c:errValType val="cust"/>
            <c:noEndCap val="0"/>
            <c:plus>
              <c:numRef>
                <c:f>Sheet2!$D$3:$D$5</c:f>
                <c:numCache>
                  <c:formatCode>General</c:formatCode>
                  <c:ptCount val="3"/>
                  <c:pt idx="0">
                    <c:v>1.01</c:v>
                  </c:pt>
                  <c:pt idx="1">
                    <c:v>1.96</c:v>
                  </c:pt>
                  <c:pt idx="2">
                    <c:v>1.61</c:v>
                  </c:pt>
                </c:numCache>
              </c:numRef>
            </c:plus>
            <c:minus>
              <c:numRef>
                <c:f>Sheet2!$D$3:$D$5</c:f>
                <c:numCache>
                  <c:formatCode>General</c:formatCode>
                  <c:ptCount val="3"/>
                  <c:pt idx="0">
                    <c:v>1.01</c:v>
                  </c:pt>
                  <c:pt idx="1">
                    <c:v>1.96</c:v>
                  </c:pt>
                  <c:pt idx="2">
                    <c:v>1.61</c:v>
                  </c:pt>
                </c:numCache>
              </c:numRef>
            </c:minus>
            <c:spPr>
              <a:noFill/>
              <a:ln w="9525" cap="flat" cmpd="sng" algn="ctr">
                <a:solidFill>
                  <a:schemeClr val="tx1">
                    <a:lumMod val="65000"/>
                    <a:lumOff val="35000"/>
                  </a:schemeClr>
                </a:solidFill>
                <a:round/>
              </a:ln>
              <a:effectLst/>
            </c:spPr>
          </c:errBars>
          <c:cat>
            <c:strRef>
              <c:f>Sheet2!$B$3:$B$5</c:f>
              <c:strCache>
                <c:ptCount val="3"/>
                <c:pt idx="0">
                  <c:v>1a</c:v>
                </c:pt>
                <c:pt idx="1">
                  <c:v>1b</c:v>
                </c:pt>
                <c:pt idx="2">
                  <c:v>1c</c:v>
                </c:pt>
              </c:strCache>
            </c:strRef>
          </c:cat>
          <c:val>
            <c:numRef>
              <c:f>Sheet2!$F$20:$F$22</c:f>
              <c:numCache>
                <c:formatCode>General</c:formatCode>
                <c:ptCount val="3"/>
                <c:pt idx="0">
                  <c:v>58.76</c:v>
                </c:pt>
                <c:pt idx="1">
                  <c:v>80.56</c:v>
                </c:pt>
                <c:pt idx="2">
                  <c:v>44.61</c:v>
                </c:pt>
              </c:numCache>
            </c:numRef>
          </c:val>
          <c:extLst>
            <c:ext xmlns:c16="http://schemas.microsoft.com/office/drawing/2014/chart" uri="{C3380CC4-5D6E-409C-BE32-E72D297353CC}">
              <c16:uniqueId val="{00000001-DCAB-4FCB-93F4-47A5B844E5AE}"/>
            </c:ext>
          </c:extLst>
        </c:ser>
        <c:ser>
          <c:idx val="2"/>
          <c:order val="2"/>
          <c:tx>
            <c:strRef>
              <c:f>Sheet2!$E$2</c:f>
              <c:strCache>
                <c:ptCount val="1"/>
                <c:pt idx="0">
                  <c:v>10μM</c:v>
                </c:pt>
              </c:strCache>
            </c:strRef>
          </c:tx>
          <c:spPr>
            <a:gradFill rotWithShape="1">
              <a:gsLst>
                <a:gs pos="0">
                  <a:schemeClr val="accent2">
                    <a:shade val="90000"/>
                    <a:satMod val="103000"/>
                    <a:lumMod val="102000"/>
                    <a:tint val="94000"/>
                  </a:schemeClr>
                </a:gs>
                <a:gs pos="50000">
                  <a:schemeClr val="accent2">
                    <a:shade val="90000"/>
                    <a:satMod val="110000"/>
                    <a:lumMod val="100000"/>
                    <a:shade val="100000"/>
                  </a:schemeClr>
                </a:gs>
                <a:gs pos="100000">
                  <a:schemeClr val="accent2">
                    <a:shade val="9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errBars>
            <c:errBarType val="both"/>
            <c:errValType val="cust"/>
            <c:noEndCap val="0"/>
            <c:plus>
              <c:numRef>
                <c:f>Sheet2!$E$3:$E$5</c:f>
                <c:numCache>
                  <c:formatCode>General</c:formatCode>
                  <c:ptCount val="3"/>
                  <c:pt idx="0">
                    <c:v>1.1100000000000001</c:v>
                  </c:pt>
                  <c:pt idx="1">
                    <c:v>1.42</c:v>
                  </c:pt>
                  <c:pt idx="2">
                    <c:v>1.92</c:v>
                  </c:pt>
                </c:numCache>
              </c:numRef>
            </c:plus>
            <c:minus>
              <c:numRef>
                <c:f>Sheet2!$E$3:$E$5</c:f>
                <c:numCache>
                  <c:formatCode>General</c:formatCode>
                  <c:ptCount val="3"/>
                  <c:pt idx="0">
                    <c:v>1.1100000000000001</c:v>
                  </c:pt>
                  <c:pt idx="1">
                    <c:v>1.42</c:v>
                  </c:pt>
                  <c:pt idx="2">
                    <c:v>1.92</c:v>
                  </c:pt>
                </c:numCache>
              </c:numRef>
            </c:minus>
            <c:spPr>
              <a:noFill/>
              <a:ln w="9525" cap="flat" cmpd="sng" algn="ctr">
                <a:solidFill>
                  <a:schemeClr val="tx1">
                    <a:lumMod val="65000"/>
                    <a:lumOff val="35000"/>
                  </a:schemeClr>
                </a:solidFill>
                <a:round/>
              </a:ln>
              <a:effectLst/>
            </c:spPr>
          </c:errBars>
          <c:cat>
            <c:strRef>
              <c:f>Sheet2!$B$3:$B$5</c:f>
              <c:strCache>
                <c:ptCount val="3"/>
                <c:pt idx="0">
                  <c:v>1a</c:v>
                </c:pt>
                <c:pt idx="1">
                  <c:v>1b</c:v>
                </c:pt>
                <c:pt idx="2">
                  <c:v>1c</c:v>
                </c:pt>
              </c:strCache>
            </c:strRef>
          </c:cat>
          <c:val>
            <c:numRef>
              <c:f>Sheet2!$G$20:$G$22</c:f>
              <c:numCache>
                <c:formatCode>General</c:formatCode>
                <c:ptCount val="3"/>
                <c:pt idx="0">
                  <c:v>28.64</c:v>
                </c:pt>
                <c:pt idx="1">
                  <c:v>52.42</c:v>
                </c:pt>
                <c:pt idx="2">
                  <c:v>36.479999999999997</c:v>
                </c:pt>
              </c:numCache>
            </c:numRef>
          </c:val>
          <c:extLst>
            <c:ext xmlns:c16="http://schemas.microsoft.com/office/drawing/2014/chart" uri="{C3380CC4-5D6E-409C-BE32-E72D297353CC}">
              <c16:uniqueId val="{00000002-DCAB-4FCB-93F4-47A5B844E5AE}"/>
            </c:ext>
          </c:extLst>
        </c:ser>
        <c:ser>
          <c:idx val="3"/>
          <c:order val="3"/>
          <c:tx>
            <c:strRef>
              <c:f>Sheet2!$F$2</c:f>
              <c:strCache>
                <c:ptCount val="1"/>
                <c:pt idx="0">
                  <c:v>5μM</c:v>
                </c:pt>
              </c:strCache>
            </c:strRef>
          </c:tx>
          <c:spPr>
            <a:gradFill rotWithShape="1">
              <a:gsLst>
                <a:gs pos="0">
                  <a:schemeClr val="accent2">
                    <a:tint val="90000"/>
                    <a:satMod val="103000"/>
                    <a:lumMod val="102000"/>
                    <a:tint val="94000"/>
                  </a:schemeClr>
                </a:gs>
                <a:gs pos="50000">
                  <a:schemeClr val="accent2">
                    <a:tint val="90000"/>
                    <a:satMod val="110000"/>
                    <a:lumMod val="100000"/>
                    <a:shade val="100000"/>
                  </a:schemeClr>
                </a:gs>
                <a:gs pos="100000">
                  <a:schemeClr val="accent2">
                    <a:tint val="9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errBars>
            <c:errBarType val="both"/>
            <c:errValType val="cust"/>
            <c:noEndCap val="0"/>
            <c:plus>
              <c:numRef>
                <c:f>Sheet2!$F$3:$F$5</c:f>
                <c:numCache>
                  <c:formatCode>General</c:formatCode>
                  <c:ptCount val="3"/>
                  <c:pt idx="0">
                    <c:v>1.47</c:v>
                  </c:pt>
                  <c:pt idx="1">
                    <c:v>1.45</c:v>
                  </c:pt>
                  <c:pt idx="2">
                    <c:v>1.76</c:v>
                  </c:pt>
                </c:numCache>
              </c:numRef>
            </c:plus>
            <c:minus>
              <c:numRef>
                <c:f>Sheet2!$F$3:$F$5</c:f>
                <c:numCache>
                  <c:formatCode>General</c:formatCode>
                  <c:ptCount val="3"/>
                  <c:pt idx="0">
                    <c:v>1.47</c:v>
                  </c:pt>
                  <c:pt idx="1">
                    <c:v>1.45</c:v>
                  </c:pt>
                  <c:pt idx="2">
                    <c:v>1.76</c:v>
                  </c:pt>
                </c:numCache>
              </c:numRef>
            </c:minus>
            <c:spPr>
              <a:noFill/>
              <a:ln w="9525" cap="flat" cmpd="sng" algn="ctr">
                <a:solidFill>
                  <a:schemeClr val="tx1">
                    <a:lumMod val="65000"/>
                    <a:lumOff val="35000"/>
                  </a:schemeClr>
                </a:solidFill>
                <a:round/>
              </a:ln>
              <a:effectLst/>
            </c:spPr>
          </c:errBars>
          <c:cat>
            <c:strRef>
              <c:f>Sheet2!$B$3:$B$5</c:f>
              <c:strCache>
                <c:ptCount val="3"/>
                <c:pt idx="0">
                  <c:v>1a</c:v>
                </c:pt>
                <c:pt idx="1">
                  <c:v>1b</c:v>
                </c:pt>
                <c:pt idx="2">
                  <c:v>1c</c:v>
                </c:pt>
              </c:strCache>
            </c:strRef>
          </c:cat>
          <c:val>
            <c:numRef>
              <c:f>Sheet2!$H$20:$H$22</c:f>
              <c:numCache>
                <c:formatCode>General</c:formatCode>
                <c:ptCount val="3"/>
                <c:pt idx="0">
                  <c:v>19.940000000000001</c:v>
                </c:pt>
                <c:pt idx="1">
                  <c:v>25.97</c:v>
                </c:pt>
                <c:pt idx="2">
                  <c:v>29.5</c:v>
                </c:pt>
              </c:numCache>
            </c:numRef>
          </c:val>
          <c:extLst>
            <c:ext xmlns:c16="http://schemas.microsoft.com/office/drawing/2014/chart" uri="{C3380CC4-5D6E-409C-BE32-E72D297353CC}">
              <c16:uniqueId val="{00000003-DCAB-4FCB-93F4-47A5B844E5AE}"/>
            </c:ext>
          </c:extLst>
        </c:ser>
        <c:ser>
          <c:idx val="4"/>
          <c:order val="4"/>
          <c:tx>
            <c:strRef>
              <c:f>Sheet2!$G$2</c:f>
              <c:strCache>
                <c:ptCount val="1"/>
                <c:pt idx="0">
                  <c:v>2.5μM</c:v>
                </c:pt>
              </c:strCache>
            </c:strRef>
          </c:tx>
          <c:spPr>
            <a:gradFill rotWithShape="1">
              <a:gsLst>
                <a:gs pos="0">
                  <a:schemeClr val="accent2">
                    <a:tint val="70000"/>
                    <a:satMod val="103000"/>
                    <a:lumMod val="102000"/>
                    <a:tint val="94000"/>
                  </a:schemeClr>
                </a:gs>
                <a:gs pos="50000">
                  <a:schemeClr val="accent2">
                    <a:tint val="70000"/>
                    <a:satMod val="110000"/>
                    <a:lumMod val="100000"/>
                    <a:shade val="100000"/>
                  </a:schemeClr>
                </a:gs>
                <a:gs pos="100000">
                  <a:schemeClr val="accent2">
                    <a:tint val="7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errBars>
            <c:errBarType val="both"/>
            <c:errValType val="cust"/>
            <c:noEndCap val="0"/>
            <c:plus>
              <c:numRef>
                <c:f>Sheet2!$H$3:$H$5</c:f>
                <c:numCache>
                  <c:formatCode>General</c:formatCode>
                  <c:ptCount val="3"/>
                  <c:pt idx="0">
                    <c:v>0.71</c:v>
                  </c:pt>
                  <c:pt idx="1">
                    <c:v>0.53</c:v>
                  </c:pt>
                  <c:pt idx="2">
                    <c:v>1.51</c:v>
                  </c:pt>
                </c:numCache>
              </c:numRef>
            </c:plus>
            <c:minus>
              <c:numRef>
                <c:f>Sheet2!$G$3:$G$5</c:f>
                <c:numCache>
                  <c:formatCode>General</c:formatCode>
                  <c:ptCount val="3"/>
                  <c:pt idx="0">
                    <c:v>0.55000000000000004</c:v>
                  </c:pt>
                  <c:pt idx="1">
                    <c:v>1.76</c:v>
                  </c:pt>
                  <c:pt idx="2">
                    <c:v>1.84</c:v>
                  </c:pt>
                </c:numCache>
              </c:numRef>
            </c:minus>
            <c:spPr>
              <a:noFill/>
              <a:ln w="9525" cap="flat" cmpd="sng" algn="ctr">
                <a:solidFill>
                  <a:schemeClr val="tx1">
                    <a:lumMod val="65000"/>
                    <a:lumOff val="35000"/>
                  </a:schemeClr>
                </a:solidFill>
                <a:round/>
              </a:ln>
              <a:effectLst/>
            </c:spPr>
          </c:errBars>
          <c:cat>
            <c:strRef>
              <c:f>Sheet2!$B$3:$B$5</c:f>
              <c:strCache>
                <c:ptCount val="3"/>
                <c:pt idx="0">
                  <c:v>1a</c:v>
                </c:pt>
                <c:pt idx="1">
                  <c:v>1b</c:v>
                </c:pt>
                <c:pt idx="2">
                  <c:v>1c</c:v>
                </c:pt>
              </c:strCache>
            </c:strRef>
          </c:cat>
          <c:val>
            <c:numRef>
              <c:f>Sheet2!$I$20:$I$22</c:f>
              <c:numCache>
                <c:formatCode>General</c:formatCode>
                <c:ptCount val="3"/>
                <c:pt idx="0">
                  <c:v>13.98</c:v>
                </c:pt>
                <c:pt idx="1">
                  <c:v>20.23</c:v>
                </c:pt>
                <c:pt idx="2">
                  <c:v>22.02</c:v>
                </c:pt>
              </c:numCache>
            </c:numRef>
          </c:val>
          <c:extLst>
            <c:ext xmlns:c16="http://schemas.microsoft.com/office/drawing/2014/chart" uri="{C3380CC4-5D6E-409C-BE32-E72D297353CC}">
              <c16:uniqueId val="{00000004-DCAB-4FCB-93F4-47A5B844E5AE}"/>
            </c:ext>
          </c:extLst>
        </c:ser>
        <c:ser>
          <c:idx val="5"/>
          <c:order val="5"/>
          <c:tx>
            <c:strRef>
              <c:f>Sheet2!$H$2</c:f>
              <c:strCache>
                <c:ptCount val="1"/>
                <c:pt idx="0">
                  <c:v>1.25μM</c:v>
                </c:pt>
              </c:strCache>
            </c:strRef>
          </c:tx>
          <c:spPr>
            <a:gradFill rotWithShape="1">
              <a:gsLst>
                <a:gs pos="0">
                  <a:schemeClr val="accent2">
                    <a:tint val="50000"/>
                    <a:satMod val="103000"/>
                    <a:lumMod val="102000"/>
                    <a:tint val="94000"/>
                  </a:schemeClr>
                </a:gs>
                <a:gs pos="50000">
                  <a:schemeClr val="accent2">
                    <a:tint val="50000"/>
                    <a:satMod val="110000"/>
                    <a:lumMod val="100000"/>
                    <a:shade val="100000"/>
                  </a:schemeClr>
                </a:gs>
                <a:gs pos="100000">
                  <a:schemeClr val="accent2">
                    <a:tint val="5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errBars>
            <c:errBarType val="both"/>
            <c:errValType val="cust"/>
            <c:noEndCap val="0"/>
            <c:plus>
              <c:numRef>
                <c:f>Sheet2!$H$3:$H$5</c:f>
                <c:numCache>
                  <c:formatCode>General</c:formatCode>
                  <c:ptCount val="3"/>
                  <c:pt idx="0">
                    <c:v>0.71</c:v>
                  </c:pt>
                  <c:pt idx="1">
                    <c:v>0.53</c:v>
                  </c:pt>
                  <c:pt idx="2">
                    <c:v>1.51</c:v>
                  </c:pt>
                </c:numCache>
              </c:numRef>
            </c:plus>
            <c:minus>
              <c:numRef>
                <c:f>Sheet2!$H$3:$H$5</c:f>
                <c:numCache>
                  <c:formatCode>General</c:formatCode>
                  <c:ptCount val="3"/>
                  <c:pt idx="0">
                    <c:v>0.71</c:v>
                  </c:pt>
                  <c:pt idx="1">
                    <c:v>0.53</c:v>
                  </c:pt>
                  <c:pt idx="2">
                    <c:v>1.51</c:v>
                  </c:pt>
                </c:numCache>
              </c:numRef>
            </c:minus>
            <c:spPr>
              <a:noFill/>
              <a:ln w="9525" cap="flat" cmpd="sng" algn="ctr">
                <a:solidFill>
                  <a:schemeClr val="tx1">
                    <a:lumMod val="65000"/>
                    <a:lumOff val="35000"/>
                  </a:schemeClr>
                </a:solidFill>
                <a:round/>
              </a:ln>
              <a:effectLst/>
            </c:spPr>
          </c:errBars>
          <c:cat>
            <c:strRef>
              <c:f>Sheet2!$B$3:$B$5</c:f>
              <c:strCache>
                <c:ptCount val="3"/>
                <c:pt idx="0">
                  <c:v>1a</c:v>
                </c:pt>
                <c:pt idx="1">
                  <c:v>1b</c:v>
                </c:pt>
                <c:pt idx="2">
                  <c:v>1c</c:v>
                </c:pt>
              </c:strCache>
            </c:strRef>
          </c:cat>
          <c:val>
            <c:numRef>
              <c:f>Sheet2!$J$20:$J$22</c:f>
              <c:numCache>
                <c:formatCode>General</c:formatCode>
                <c:ptCount val="3"/>
                <c:pt idx="0">
                  <c:v>8.18</c:v>
                </c:pt>
                <c:pt idx="1">
                  <c:v>13.09</c:v>
                </c:pt>
                <c:pt idx="2">
                  <c:v>9.14</c:v>
                </c:pt>
              </c:numCache>
            </c:numRef>
          </c:val>
          <c:extLst>
            <c:ext xmlns:c16="http://schemas.microsoft.com/office/drawing/2014/chart" uri="{C3380CC4-5D6E-409C-BE32-E72D297353CC}">
              <c16:uniqueId val="{00000005-DCAB-4FCB-93F4-47A5B844E5AE}"/>
            </c:ext>
          </c:extLst>
        </c:ser>
        <c:dLbls>
          <c:showLegendKey val="0"/>
          <c:showVal val="0"/>
          <c:showCatName val="0"/>
          <c:showSerName val="0"/>
          <c:showPercent val="0"/>
          <c:showBubbleSize val="0"/>
        </c:dLbls>
        <c:gapWidth val="100"/>
        <c:overlap val="-24"/>
        <c:axId val="631397136"/>
        <c:axId val="631398768"/>
      </c:barChart>
      <c:catAx>
        <c:axId val="63139713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1398768"/>
        <c:crosses val="autoZero"/>
        <c:auto val="1"/>
        <c:lblAlgn val="ctr"/>
        <c:lblOffset val="100"/>
        <c:noMultiLvlLbl val="0"/>
      </c:catAx>
      <c:valAx>
        <c:axId val="631398768"/>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900" b="0" i="0" u="none" strike="noStrike" baseline="0">
                    <a:effectLst/>
                  </a:rPr>
                  <a:t>%Inhibition </a:t>
                </a:r>
                <a:endParaRPr lang="en-US"/>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1397136"/>
        <c:crosses val="autoZero"/>
        <c:crossBetween val="between"/>
        <c:majorUnit val="2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b="0">
                <a:latin typeface="Myriad Pro Light SemiCond" panose="020B0403030403020204" pitchFamily="34" charset="0"/>
                <a:cs typeface="Times New Roman" panose="02020603050405020304" pitchFamily="18" charset="0"/>
              </a:rPr>
              <a:t>A549</a:t>
            </a:r>
          </a:p>
        </c:rich>
      </c:tx>
      <c:layout>
        <c:manualLayout>
          <c:xMode val="edge"/>
          <c:yMode val="edge"/>
          <c:x val="0.44252077865266842"/>
          <c:y val="6.9444444444444448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Sheet2!$L$2</c:f>
              <c:strCache>
                <c:ptCount val="1"/>
                <c:pt idx="0">
                  <c:v>100μM</c:v>
                </c:pt>
              </c:strCache>
            </c:strRef>
          </c:tx>
          <c:spPr>
            <a:gradFill rotWithShape="1">
              <a:gsLst>
                <a:gs pos="0">
                  <a:schemeClr val="accent4">
                    <a:shade val="50000"/>
                    <a:satMod val="103000"/>
                    <a:lumMod val="102000"/>
                    <a:tint val="94000"/>
                  </a:schemeClr>
                </a:gs>
                <a:gs pos="50000">
                  <a:schemeClr val="accent4">
                    <a:shade val="50000"/>
                    <a:satMod val="110000"/>
                    <a:lumMod val="100000"/>
                    <a:shade val="100000"/>
                  </a:schemeClr>
                </a:gs>
                <a:gs pos="100000">
                  <a:schemeClr val="accent4">
                    <a:shade val="5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errBars>
            <c:errBarType val="both"/>
            <c:errValType val="cust"/>
            <c:noEndCap val="0"/>
            <c:plus>
              <c:numRef>
                <c:f>Sheet2!$L$3:$L$5</c:f>
                <c:numCache>
                  <c:formatCode>General</c:formatCode>
                  <c:ptCount val="3"/>
                  <c:pt idx="0">
                    <c:v>1.29</c:v>
                  </c:pt>
                  <c:pt idx="1">
                    <c:v>1.48</c:v>
                  </c:pt>
                  <c:pt idx="2">
                    <c:v>1.5</c:v>
                  </c:pt>
                </c:numCache>
              </c:numRef>
            </c:plus>
            <c:minus>
              <c:numRef>
                <c:f>Sheet2!$L$3:$L$5</c:f>
                <c:numCache>
                  <c:formatCode>General</c:formatCode>
                  <c:ptCount val="3"/>
                  <c:pt idx="0">
                    <c:v>1.29</c:v>
                  </c:pt>
                  <c:pt idx="1">
                    <c:v>1.48</c:v>
                  </c:pt>
                  <c:pt idx="2">
                    <c:v>1.5</c:v>
                  </c:pt>
                </c:numCache>
              </c:numRef>
            </c:minus>
            <c:spPr>
              <a:noFill/>
              <a:ln w="9525" cap="flat" cmpd="sng" algn="ctr">
                <a:solidFill>
                  <a:schemeClr val="tx1">
                    <a:lumMod val="65000"/>
                    <a:lumOff val="35000"/>
                  </a:schemeClr>
                </a:solidFill>
                <a:round/>
              </a:ln>
              <a:effectLst/>
            </c:spPr>
          </c:errBars>
          <c:cat>
            <c:strRef>
              <c:f>Sheet2!$K$3:$K$5</c:f>
              <c:strCache>
                <c:ptCount val="3"/>
                <c:pt idx="0">
                  <c:v>1a</c:v>
                </c:pt>
                <c:pt idx="1">
                  <c:v>1b</c:v>
                </c:pt>
                <c:pt idx="2">
                  <c:v>1c</c:v>
                </c:pt>
              </c:strCache>
            </c:strRef>
          </c:cat>
          <c:val>
            <c:numRef>
              <c:f>Sheet2!$N$20:$N$22</c:f>
              <c:numCache>
                <c:formatCode>General</c:formatCode>
                <c:ptCount val="3"/>
                <c:pt idx="0">
                  <c:v>65.56</c:v>
                </c:pt>
                <c:pt idx="1">
                  <c:v>86.35</c:v>
                </c:pt>
                <c:pt idx="2">
                  <c:v>54.39</c:v>
                </c:pt>
              </c:numCache>
            </c:numRef>
          </c:val>
          <c:extLst>
            <c:ext xmlns:c16="http://schemas.microsoft.com/office/drawing/2014/chart" uri="{C3380CC4-5D6E-409C-BE32-E72D297353CC}">
              <c16:uniqueId val="{00000000-CC0B-446F-AFA8-A107C520CED2}"/>
            </c:ext>
          </c:extLst>
        </c:ser>
        <c:ser>
          <c:idx val="1"/>
          <c:order val="1"/>
          <c:tx>
            <c:strRef>
              <c:f>Sheet2!$M$2</c:f>
              <c:strCache>
                <c:ptCount val="1"/>
                <c:pt idx="0">
                  <c:v>50μM</c:v>
                </c:pt>
              </c:strCache>
            </c:strRef>
          </c:tx>
          <c:spPr>
            <a:gradFill rotWithShape="1">
              <a:gsLst>
                <a:gs pos="0">
                  <a:schemeClr val="accent4">
                    <a:shade val="70000"/>
                    <a:satMod val="103000"/>
                    <a:lumMod val="102000"/>
                    <a:tint val="94000"/>
                  </a:schemeClr>
                </a:gs>
                <a:gs pos="50000">
                  <a:schemeClr val="accent4">
                    <a:shade val="70000"/>
                    <a:satMod val="110000"/>
                    <a:lumMod val="100000"/>
                    <a:shade val="100000"/>
                  </a:schemeClr>
                </a:gs>
                <a:gs pos="100000">
                  <a:schemeClr val="accent4">
                    <a:shade val="7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errBars>
            <c:errBarType val="both"/>
            <c:errValType val="cust"/>
            <c:noEndCap val="0"/>
            <c:plus>
              <c:numRef>
                <c:f>Sheet2!$M$3:$M$5</c:f>
                <c:numCache>
                  <c:formatCode>General</c:formatCode>
                  <c:ptCount val="3"/>
                  <c:pt idx="0">
                    <c:v>1.19</c:v>
                  </c:pt>
                  <c:pt idx="1">
                    <c:v>1.77</c:v>
                  </c:pt>
                  <c:pt idx="2">
                    <c:v>1.1100000000000001</c:v>
                  </c:pt>
                </c:numCache>
              </c:numRef>
            </c:plus>
            <c:minus>
              <c:numRef>
                <c:f>Sheet2!$M$3:$M$5</c:f>
                <c:numCache>
                  <c:formatCode>General</c:formatCode>
                  <c:ptCount val="3"/>
                  <c:pt idx="0">
                    <c:v>1.19</c:v>
                  </c:pt>
                  <c:pt idx="1">
                    <c:v>1.77</c:v>
                  </c:pt>
                  <c:pt idx="2">
                    <c:v>1.1100000000000001</c:v>
                  </c:pt>
                </c:numCache>
              </c:numRef>
            </c:minus>
            <c:spPr>
              <a:noFill/>
              <a:ln w="9525" cap="flat" cmpd="sng" algn="ctr">
                <a:solidFill>
                  <a:schemeClr val="tx1">
                    <a:lumMod val="65000"/>
                    <a:lumOff val="35000"/>
                  </a:schemeClr>
                </a:solidFill>
                <a:round/>
              </a:ln>
              <a:effectLst/>
            </c:spPr>
          </c:errBars>
          <c:cat>
            <c:strRef>
              <c:f>Sheet2!$K$3:$K$5</c:f>
              <c:strCache>
                <c:ptCount val="3"/>
                <c:pt idx="0">
                  <c:v>1a</c:v>
                </c:pt>
                <c:pt idx="1">
                  <c:v>1b</c:v>
                </c:pt>
                <c:pt idx="2">
                  <c:v>1c</c:v>
                </c:pt>
              </c:strCache>
            </c:strRef>
          </c:cat>
          <c:val>
            <c:numRef>
              <c:f>Sheet2!$O$20:$O$22</c:f>
              <c:numCache>
                <c:formatCode>General</c:formatCode>
                <c:ptCount val="3"/>
                <c:pt idx="0">
                  <c:v>57.1</c:v>
                </c:pt>
                <c:pt idx="1">
                  <c:v>77.52</c:v>
                </c:pt>
                <c:pt idx="2">
                  <c:v>39.119999999999997</c:v>
                </c:pt>
              </c:numCache>
            </c:numRef>
          </c:val>
          <c:extLst>
            <c:ext xmlns:c16="http://schemas.microsoft.com/office/drawing/2014/chart" uri="{C3380CC4-5D6E-409C-BE32-E72D297353CC}">
              <c16:uniqueId val="{00000001-CC0B-446F-AFA8-A107C520CED2}"/>
            </c:ext>
          </c:extLst>
        </c:ser>
        <c:ser>
          <c:idx val="2"/>
          <c:order val="2"/>
          <c:tx>
            <c:strRef>
              <c:f>Sheet2!$N$2</c:f>
              <c:strCache>
                <c:ptCount val="1"/>
                <c:pt idx="0">
                  <c:v>10μM</c:v>
                </c:pt>
              </c:strCache>
            </c:strRef>
          </c:tx>
          <c:spPr>
            <a:gradFill rotWithShape="1">
              <a:gsLst>
                <a:gs pos="0">
                  <a:schemeClr val="accent4">
                    <a:shade val="90000"/>
                    <a:satMod val="103000"/>
                    <a:lumMod val="102000"/>
                    <a:tint val="94000"/>
                  </a:schemeClr>
                </a:gs>
                <a:gs pos="50000">
                  <a:schemeClr val="accent4">
                    <a:shade val="90000"/>
                    <a:satMod val="110000"/>
                    <a:lumMod val="100000"/>
                    <a:shade val="100000"/>
                  </a:schemeClr>
                </a:gs>
                <a:gs pos="100000">
                  <a:schemeClr val="accent4">
                    <a:shade val="9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errBars>
            <c:errBarType val="both"/>
            <c:errValType val="cust"/>
            <c:noEndCap val="0"/>
            <c:plus>
              <c:numRef>
                <c:f>Sheet2!$N$3:$N$5</c:f>
                <c:numCache>
                  <c:formatCode>General</c:formatCode>
                  <c:ptCount val="3"/>
                  <c:pt idx="0">
                    <c:v>1.17</c:v>
                  </c:pt>
                  <c:pt idx="1">
                    <c:v>1.4</c:v>
                  </c:pt>
                  <c:pt idx="2">
                    <c:v>1.27</c:v>
                  </c:pt>
                </c:numCache>
              </c:numRef>
            </c:plus>
            <c:minus>
              <c:numRef>
                <c:f>Sheet2!$N$3:$N$5</c:f>
                <c:numCache>
                  <c:formatCode>General</c:formatCode>
                  <c:ptCount val="3"/>
                  <c:pt idx="0">
                    <c:v>1.17</c:v>
                  </c:pt>
                  <c:pt idx="1">
                    <c:v>1.4</c:v>
                  </c:pt>
                  <c:pt idx="2">
                    <c:v>1.27</c:v>
                  </c:pt>
                </c:numCache>
              </c:numRef>
            </c:minus>
            <c:spPr>
              <a:noFill/>
              <a:ln w="9525" cap="flat" cmpd="sng" algn="ctr">
                <a:solidFill>
                  <a:schemeClr val="tx1">
                    <a:lumMod val="65000"/>
                    <a:lumOff val="35000"/>
                  </a:schemeClr>
                </a:solidFill>
                <a:round/>
              </a:ln>
              <a:effectLst/>
            </c:spPr>
          </c:errBars>
          <c:cat>
            <c:strRef>
              <c:f>Sheet2!$K$3:$K$5</c:f>
              <c:strCache>
                <c:ptCount val="3"/>
                <c:pt idx="0">
                  <c:v>1a</c:v>
                </c:pt>
                <c:pt idx="1">
                  <c:v>1b</c:v>
                </c:pt>
                <c:pt idx="2">
                  <c:v>1c</c:v>
                </c:pt>
              </c:strCache>
            </c:strRef>
          </c:cat>
          <c:val>
            <c:numRef>
              <c:f>Sheet2!$P$20:$P$22</c:f>
              <c:numCache>
                <c:formatCode>General</c:formatCode>
                <c:ptCount val="3"/>
                <c:pt idx="0">
                  <c:v>33.97</c:v>
                </c:pt>
                <c:pt idx="1">
                  <c:v>60.27</c:v>
                </c:pt>
                <c:pt idx="2">
                  <c:v>30.99</c:v>
                </c:pt>
              </c:numCache>
            </c:numRef>
          </c:val>
          <c:extLst>
            <c:ext xmlns:c16="http://schemas.microsoft.com/office/drawing/2014/chart" uri="{C3380CC4-5D6E-409C-BE32-E72D297353CC}">
              <c16:uniqueId val="{00000002-CC0B-446F-AFA8-A107C520CED2}"/>
            </c:ext>
          </c:extLst>
        </c:ser>
        <c:ser>
          <c:idx val="3"/>
          <c:order val="3"/>
          <c:tx>
            <c:strRef>
              <c:f>Sheet2!$O$2</c:f>
              <c:strCache>
                <c:ptCount val="1"/>
                <c:pt idx="0">
                  <c:v>5μM</c:v>
                </c:pt>
              </c:strCache>
            </c:strRef>
          </c:tx>
          <c:spPr>
            <a:gradFill rotWithShape="1">
              <a:gsLst>
                <a:gs pos="0">
                  <a:schemeClr val="accent4">
                    <a:tint val="90000"/>
                    <a:satMod val="103000"/>
                    <a:lumMod val="102000"/>
                    <a:tint val="94000"/>
                  </a:schemeClr>
                </a:gs>
                <a:gs pos="50000">
                  <a:schemeClr val="accent4">
                    <a:tint val="90000"/>
                    <a:satMod val="110000"/>
                    <a:lumMod val="100000"/>
                    <a:shade val="100000"/>
                  </a:schemeClr>
                </a:gs>
                <a:gs pos="100000">
                  <a:schemeClr val="accent4">
                    <a:tint val="9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errBars>
            <c:errBarType val="both"/>
            <c:errValType val="cust"/>
            <c:noEndCap val="0"/>
            <c:plus>
              <c:numRef>
                <c:f>Sheet2!$O$3:$O$5</c:f>
                <c:numCache>
                  <c:formatCode>General</c:formatCode>
                  <c:ptCount val="3"/>
                  <c:pt idx="0">
                    <c:v>0.47</c:v>
                  </c:pt>
                  <c:pt idx="1">
                    <c:v>1.05</c:v>
                  </c:pt>
                  <c:pt idx="2">
                    <c:v>1.06</c:v>
                  </c:pt>
                </c:numCache>
              </c:numRef>
            </c:plus>
            <c:minus>
              <c:numRef>
                <c:f>Sheet2!$O$3:$O$5</c:f>
                <c:numCache>
                  <c:formatCode>General</c:formatCode>
                  <c:ptCount val="3"/>
                  <c:pt idx="0">
                    <c:v>0.47</c:v>
                  </c:pt>
                  <c:pt idx="1">
                    <c:v>1.05</c:v>
                  </c:pt>
                  <c:pt idx="2">
                    <c:v>1.06</c:v>
                  </c:pt>
                </c:numCache>
              </c:numRef>
            </c:minus>
            <c:spPr>
              <a:noFill/>
              <a:ln w="9525" cap="flat" cmpd="sng" algn="ctr">
                <a:solidFill>
                  <a:schemeClr val="tx1">
                    <a:lumMod val="65000"/>
                    <a:lumOff val="35000"/>
                  </a:schemeClr>
                </a:solidFill>
                <a:round/>
              </a:ln>
              <a:effectLst/>
            </c:spPr>
          </c:errBars>
          <c:cat>
            <c:strRef>
              <c:f>Sheet2!$K$3:$K$5</c:f>
              <c:strCache>
                <c:ptCount val="3"/>
                <c:pt idx="0">
                  <c:v>1a</c:v>
                </c:pt>
                <c:pt idx="1">
                  <c:v>1b</c:v>
                </c:pt>
                <c:pt idx="2">
                  <c:v>1c</c:v>
                </c:pt>
              </c:strCache>
            </c:strRef>
          </c:cat>
          <c:val>
            <c:numRef>
              <c:f>Sheet2!$Q$20:$Q$22</c:f>
              <c:numCache>
                <c:formatCode>General</c:formatCode>
                <c:ptCount val="3"/>
                <c:pt idx="0">
                  <c:v>25.38</c:v>
                </c:pt>
                <c:pt idx="1">
                  <c:v>37.729999999999997</c:v>
                </c:pt>
                <c:pt idx="2">
                  <c:v>25.44</c:v>
                </c:pt>
              </c:numCache>
            </c:numRef>
          </c:val>
          <c:extLst>
            <c:ext xmlns:c16="http://schemas.microsoft.com/office/drawing/2014/chart" uri="{C3380CC4-5D6E-409C-BE32-E72D297353CC}">
              <c16:uniqueId val="{00000003-CC0B-446F-AFA8-A107C520CED2}"/>
            </c:ext>
          </c:extLst>
        </c:ser>
        <c:ser>
          <c:idx val="4"/>
          <c:order val="4"/>
          <c:tx>
            <c:strRef>
              <c:f>Sheet2!$P$2</c:f>
              <c:strCache>
                <c:ptCount val="1"/>
                <c:pt idx="0">
                  <c:v>2.5μM</c:v>
                </c:pt>
              </c:strCache>
            </c:strRef>
          </c:tx>
          <c:spPr>
            <a:gradFill rotWithShape="1">
              <a:gsLst>
                <a:gs pos="0">
                  <a:schemeClr val="accent4">
                    <a:tint val="70000"/>
                    <a:satMod val="103000"/>
                    <a:lumMod val="102000"/>
                    <a:tint val="94000"/>
                  </a:schemeClr>
                </a:gs>
                <a:gs pos="50000">
                  <a:schemeClr val="accent4">
                    <a:tint val="70000"/>
                    <a:satMod val="110000"/>
                    <a:lumMod val="100000"/>
                    <a:shade val="100000"/>
                  </a:schemeClr>
                </a:gs>
                <a:gs pos="100000">
                  <a:schemeClr val="accent4">
                    <a:tint val="7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errBars>
            <c:errBarType val="both"/>
            <c:errValType val="cust"/>
            <c:noEndCap val="0"/>
            <c:plus>
              <c:numRef>
                <c:f>Sheet2!$P$3:$P$5</c:f>
                <c:numCache>
                  <c:formatCode>General</c:formatCode>
                  <c:ptCount val="3"/>
                  <c:pt idx="0">
                    <c:v>0.75</c:v>
                  </c:pt>
                  <c:pt idx="1">
                    <c:v>0.76</c:v>
                  </c:pt>
                  <c:pt idx="2">
                    <c:v>0.84</c:v>
                  </c:pt>
                </c:numCache>
              </c:numRef>
            </c:plus>
            <c:minus>
              <c:numRef>
                <c:f>Sheet2!$P$3:$P$5</c:f>
                <c:numCache>
                  <c:formatCode>General</c:formatCode>
                  <c:ptCount val="3"/>
                  <c:pt idx="0">
                    <c:v>0.75</c:v>
                  </c:pt>
                  <c:pt idx="1">
                    <c:v>0.76</c:v>
                  </c:pt>
                  <c:pt idx="2">
                    <c:v>0.84</c:v>
                  </c:pt>
                </c:numCache>
              </c:numRef>
            </c:minus>
            <c:spPr>
              <a:noFill/>
              <a:ln w="9525" cap="flat" cmpd="sng" algn="ctr">
                <a:solidFill>
                  <a:schemeClr val="tx1">
                    <a:lumMod val="65000"/>
                    <a:lumOff val="35000"/>
                  </a:schemeClr>
                </a:solidFill>
                <a:round/>
              </a:ln>
              <a:effectLst/>
            </c:spPr>
          </c:errBars>
          <c:cat>
            <c:strRef>
              <c:f>Sheet2!$K$3:$K$5</c:f>
              <c:strCache>
                <c:ptCount val="3"/>
                <c:pt idx="0">
                  <c:v>1a</c:v>
                </c:pt>
                <c:pt idx="1">
                  <c:v>1b</c:v>
                </c:pt>
                <c:pt idx="2">
                  <c:v>1c</c:v>
                </c:pt>
              </c:strCache>
            </c:strRef>
          </c:cat>
          <c:val>
            <c:numRef>
              <c:f>Sheet2!$R$20:$R$22</c:f>
              <c:numCache>
                <c:formatCode>General</c:formatCode>
                <c:ptCount val="3"/>
                <c:pt idx="0">
                  <c:v>15.89</c:v>
                </c:pt>
                <c:pt idx="1">
                  <c:v>17.71</c:v>
                </c:pt>
                <c:pt idx="2">
                  <c:v>16.78</c:v>
                </c:pt>
              </c:numCache>
            </c:numRef>
          </c:val>
          <c:extLst>
            <c:ext xmlns:c16="http://schemas.microsoft.com/office/drawing/2014/chart" uri="{C3380CC4-5D6E-409C-BE32-E72D297353CC}">
              <c16:uniqueId val="{00000004-CC0B-446F-AFA8-A107C520CED2}"/>
            </c:ext>
          </c:extLst>
        </c:ser>
        <c:ser>
          <c:idx val="5"/>
          <c:order val="5"/>
          <c:tx>
            <c:strRef>
              <c:f>Sheet2!$Q$2</c:f>
              <c:strCache>
                <c:ptCount val="1"/>
                <c:pt idx="0">
                  <c:v>1.25μM</c:v>
                </c:pt>
              </c:strCache>
            </c:strRef>
          </c:tx>
          <c:spPr>
            <a:gradFill rotWithShape="1">
              <a:gsLst>
                <a:gs pos="0">
                  <a:schemeClr val="accent4">
                    <a:tint val="50000"/>
                    <a:satMod val="103000"/>
                    <a:lumMod val="102000"/>
                    <a:tint val="94000"/>
                  </a:schemeClr>
                </a:gs>
                <a:gs pos="50000">
                  <a:schemeClr val="accent4">
                    <a:tint val="50000"/>
                    <a:satMod val="110000"/>
                    <a:lumMod val="100000"/>
                    <a:shade val="100000"/>
                  </a:schemeClr>
                </a:gs>
                <a:gs pos="100000">
                  <a:schemeClr val="accent4">
                    <a:tint val="5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errBars>
            <c:errBarType val="both"/>
            <c:errValType val="cust"/>
            <c:noEndCap val="0"/>
            <c:plus>
              <c:numRef>
                <c:f>Sheet2!$Q$3:$Q$5</c:f>
                <c:numCache>
                  <c:formatCode>General</c:formatCode>
                  <c:ptCount val="3"/>
                  <c:pt idx="0">
                    <c:v>0.61</c:v>
                  </c:pt>
                  <c:pt idx="1">
                    <c:v>0.53</c:v>
                  </c:pt>
                  <c:pt idx="2">
                    <c:v>0.59</c:v>
                  </c:pt>
                </c:numCache>
              </c:numRef>
            </c:plus>
            <c:minus>
              <c:numRef>
                <c:f>Sheet2!$Q$3:$Q$5</c:f>
                <c:numCache>
                  <c:formatCode>General</c:formatCode>
                  <c:ptCount val="3"/>
                  <c:pt idx="0">
                    <c:v>0.61</c:v>
                  </c:pt>
                  <c:pt idx="1">
                    <c:v>0.53</c:v>
                  </c:pt>
                  <c:pt idx="2">
                    <c:v>0.59</c:v>
                  </c:pt>
                </c:numCache>
              </c:numRef>
            </c:minus>
            <c:spPr>
              <a:noFill/>
              <a:ln w="9525" cap="flat" cmpd="sng" algn="ctr">
                <a:solidFill>
                  <a:schemeClr val="tx1">
                    <a:lumMod val="65000"/>
                    <a:lumOff val="35000"/>
                  </a:schemeClr>
                </a:solidFill>
                <a:round/>
              </a:ln>
              <a:effectLst/>
            </c:spPr>
          </c:errBars>
          <c:cat>
            <c:strRef>
              <c:f>Sheet2!$K$3:$K$5</c:f>
              <c:strCache>
                <c:ptCount val="3"/>
                <c:pt idx="0">
                  <c:v>1a</c:v>
                </c:pt>
                <c:pt idx="1">
                  <c:v>1b</c:v>
                </c:pt>
                <c:pt idx="2">
                  <c:v>1c</c:v>
                </c:pt>
              </c:strCache>
            </c:strRef>
          </c:cat>
          <c:val>
            <c:numRef>
              <c:f>Sheet2!$S$20:$S$22</c:f>
              <c:numCache>
                <c:formatCode>General</c:formatCode>
                <c:ptCount val="3"/>
                <c:pt idx="0">
                  <c:v>4.5599999999999996</c:v>
                </c:pt>
                <c:pt idx="1">
                  <c:v>10.210000000000001</c:v>
                </c:pt>
                <c:pt idx="2">
                  <c:v>6.9</c:v>
                </c:pt>
              </c:numCache>
            </c:numRef>
          </c:val>
          <c:extLst>
            <c:ext xmlns:c16="http://schemas.microsoft.com/office/drawing/2014/chart" uri="{C3380CC4-5D6E-409C-BE32-E72D297353CC}">
              <c16:uniqueId val="{00000005-CC0B-446F-AFA8-A107C520CED2}"/>
            </c:ext>
          </c:extLst>
        </c:ser>
        <c:dLbls>
          <c:showLegendKey val="0"/>
          <c:showVal val="0"/>
          <c:showCatName val="0"/>
          <c:showSerName val="0"/>
          <c:showPercent val="0"/>
          <c:showBubbleSize val="0"/>
        </c:dLbls>
        <c:gapWidth val="100"/>
        <c:overlap val="-24"/>
        <c:axId val="631390608"/>
        <c:axId val="631387888"/>
      </c:barChart>
      <c:catAx>
        <c:axId val="63139060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1387888"/>
        <c:crosses val="autoZero"/>
        <c:auto val="1"/>
        <c:lblAlgn val="ctr"/>
        <c:lblOffset val="100"/>
        <c:noMultiLvlLbl val="0"/>
      </c:catAx>
      <c:valAx>
        <c:axId val="631387888"/>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900" b="0" i="0" u="none" strike="noStrike" baseline="0">
                    <a:effectLst/>
                  </a:rPr>
                  <a:t>%Inhibition </a:t>
                </a:r>
                <a:endParaRPr lang="en-US"/>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1390608"/>
        <c:crosses val="autoZero"/>
        <c:crossBetween val="between"/>
        <c:majorUnit val="2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b="0">
                <a:latin typeface="Myriad Pro Light SemiCond" panose="020B0403030403020204" pitchFamily="34" charset="0"/>
                <a:cs typeface="Times New Roman" panose="02020603050405020304" pitchFamily="18" charset="0"/>
              </a:rPr>
              <a:t>MCF-7</a:t>
            </a:r>
          </a:p>
        </c:rich>
      </c:tx>
      <c:layout>
        <c:manualLayout>
          <c:xMode val="edge"/>
          <c:yMode val="edge"/>
          <c:x val="0.44270822397200343"/>
          <c:y val="6.4814814814814811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Sheet2!$E$24</c:f>
              <c:strCache>
                <c:ptCount val="1"/>
                <c:pt idx="0">
                  <c:v>100μM</c:v>
                </c:pt>
              </c:strCache>
            </c:strRef>
          </c:tx>
          <c:spPr>
            <a:gradFill rotWithShape="1">
              <a:gsLst>
                <a:gs pos="0">
                  <a:schemeClr val="accent1">
                    <a:shade val="50000"/>
                    <a:satMod val="103000"/>
                    <a:lumMod val="102000"/>
                    <a:tint val="94000"/>
                  </a:schemeClr>
                </a:gs>
                <a:gs pos="50000">
                  <a:schemeClr val="accent1">
                    <a:shade val="50000"/>
                    <a:satMod val="110000"/>
                    <a:lumMod val="100000"/>
                    <a:shade val="100000"/>
                  </a:schemeClr>
                </a:gs>
                <a:gs pos="100000">
                  <a:schemeClr val="accent1">
                    <a:shade val="5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errBars>
            <c:errBarType val="both"/>
            <c:errValType val="cust"/>
            <c:noEndCap val="0"/>
            <c:plus>
              <c:numRef>
                <c:f>Sheet2!$C$8:$C$10</c:f>
                <c:numCache>
                  <c:formatCode>General</c:formatCode>
                  <c:ptCount val="3"/>
                  <c:pt idx="0">
                    <c:v>1.59</c:v>
                  </c:pt>
                  <c:pt idx="1">
                    <c:v>1.48</c:v>
                  </c:pt>
                  <c:pt idx="2">
                    <c:v>1.5</c:v>
                  </c:pt>
                </c:numCache>
              </c:numRef>
            </c:plus>
            <c:minus>
              <c:numRef>
                <c:f>Sheet2!$C$8:$C$10</c:f>
                <c:numCache>
                  <c:formatCode>General</c:formatCode>
                  <c:ptCount val="3"/>
                  <c:pt idx="0">
                    <c:v>1.59</c:v>
                  </c:pt>
                  <c:pt idx="1">
                    <c:v>1.48</c:v>
                  </c:pt>
                  <c:pt idx="2">
                    <c:v>1.5</c:v>
                  </c:pt>
                </c:numCache>
              </c:numRef>
            </c:minus>
            <c:spPr>
              <a:noFill/>
              <a:ln w="9525" cap="flat" cmpd="sng" algn="ctr">
                <a:solidFill>
                  <a:schemeClr val="tx1">
                    <a:lumMod val="65000"/>
                    <a:lumOff val="35000"/>
                  </a:schemeClr>
                </a:solidFill>
                <a:round/>
              </a:ln>
              <a:effectLst/>
            </c:spPr>
          </c:errBars>
          <c:cat>
            <c:strRef>
              <c:f>Sheet2!$B$8:$B$10</c:f>
              <c:strCache>
                <c:ptCount val="3"/>
                <c:pt idx="0">
                  <c:v>1a</c:v>
                </c:pt>
                <c:pt idx="1">
                  <c:v>1b</c:v>
                </c:pt>
                <c:pt idx="2">
                  <c:v>1c</c:v>
                </c:pt>
              </c:strCache>
            </c:strRef>
          </c:cat>
          <c:val>
            <c:numRef>
              <c:f>Sheet2!$E$25:$E$27</c:f>
              <c:numCache>
                <c:formatCode>General</c:formatCode>
                <c:ptCount val="3"/>
                <c:pt idx="0">
                  <c:v>63.01</c:v>
                </c:pt>
                <c:pt idx="1">
                  <c:v>86.66</c:v>
                </c:pt>
                <c:pt idx="2">
                  <c:v>56.86</c:v>
                </c:pt>
              </c:numCache>
            </c:numRef>
          </c:val>
          <c:extLst>
            <c:ext xmlns:c16="http://schemas.microsoft.com/office/drawing/2014/chart" uri="{C3380CC4-5D6E-409C-BE32-E72D297353CC}">
              <c16:uniqueId val="{00000000-849C-416C-81DC-E9E256FBB37C}"/>
            </c:ext>
          </c:extLst>
        </c:ser>
        <c:ser>
          <c:idx val="1"/>
          <c:order val="1"/>
          <c:tx>
            <c:strRef>
              <c:f>Sheet2!$D$7</c:f>
              <c:strCache>
                <c:ptCount val="1"/>
                <c:pt idx="0">
                  <c:v>50μM</c:v>
                </c:pt>
              </c:strCache>
            </c:strRef>
          </c:tx>
          <c:spPr>
            <a:gradFill rotWithShape="1">
              <a:gsLst>
                <a:gs pos="0">
                  <a:schemeClr val="accent1">
                    <a:shade val="70000"/>
                    <a:satMod val="103000"/>
                    <a:lumMod val="102000"/>
                    <a:tint val="94000"/>
                  </a:schemeClr>
                </a:gs>
                <a:gs pos="50000">
                  <a:schemeClr val="accent1">
                    <a:shade val="70000"/>
                    <a:satMod val="110000"/>
                    <a:lumMod val="100000"/>
                    <a:shade val="100000"/>
                  </a:schemeClr>
                </a:gs>
                <a:gs pos="100000">
                  <a:schemeClr val="accent1">
                    <a:shade val="7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errBars>
            <c:errBarType val="both"/>
            <c:errValType val="cust"/>
            <c:noEndCap val="0"/>
            <c:plus>
              <c:numRef>
                <c:f>Sheet2!$D$8:$D$10</c:f>
                <c:numCache>
                  <c:formatCode>General</c:formatCode>
                  <c:ptCount val="3"/>
                  <c:pt idx="0">
                    <c:v>1.51</c:v>
                  </c:pt>
                  <c:pt idx="1">
                    <c:v>1.96</c:v>
                  </c:pt>
                  <c:pt idx="2">
                    <c:v>1.71</c:v>
                  </c:pt>
                </c:numCache>
              </c:numRef>
            </c:plus>
            <c:minus>
              <c:numRef>
                <c:f>Sheet2!$D$8:$D$10</c:f>
                <c:numCache>
                  <c:formatCode>General</c:formatCode>
                  <c:ptCount val="3"/>
                  <c:pt idx="0">
                    <c:v>1.51</c:v>
                  </c:pt>
                  <c:pt idx="1">
                    <c:v>1.96</c:v>
                  </c:pt>
                  <c:pt idx="2">
                    <c:v>1.71</c:v>
                  </c:pt>
                </c:numCache>
              </c:numRef>
            </c:minus>
            <c:spPr>
              <a:noFill/>
              <a:ln w="9525" cap="flat" cmpd="sng" algn="ctr">
                <a:solidFill>
                  <a:schemeClr val="tx1">
                    <a:lumMod val="65000"/>
                    <a:lumOff val="35000"/>
                  </a:schemeClr>
                </a:solidFill>
                <a:round/>
              </a:ln>
              <a:effectLst/>
            </c:spPr>
          </c:errBars>
          <c:cat>
            <c:strRef>
              <c:f>Sheet2!$B$8:$B$10</c:f>
              <c:strCache>
                <c:ptCount val="3"/>
                <c:pt idx="0">
                  <c:v>1a</c:v>
                </c:pt>
                <c:pt idx="1">
                  <c:v>1b</c:v>
                </c:pt>
                <c:pt idx="2">
                  <c:v>1c</c:v>
                </c:pt>
              </c:strCache>
            </c:strRef>
          </c:cat>
          <c:val>
            <c:numRef>
              <c:f>Sheet2!$F$25:$F$27</c:f>
              <c:numCache>
                <c:formatCode>General</c:formatCode>
                <c:ptCount val="3"/>
                <c:pt idx="0">
                  <c:v>50.59</c:v>
                </c:pt>
                <c:pt idx="1">
                  <c:v>84.69</c:v>
                </c:pt>
                <c:pt idx="2">
                  <c:v>36.44</c:v>
                </c:pt>
              </c:numCache>
            </c:numRef>
          </c:val>
          <c:extLst>
            <c:ext xmlns:c16="http://schemas.microsoft.com/office/drawing/2014/chart" uri="{C3380CC4-5D6E-409C-BE32-E72D297353CC}">
              <c16:uniqueId val="{00000001-849C-416C-81DC-E9E256FBB37C}"/>
            </c:ext>
          </c:extLst>
        </c:ser>
        <c:ser>
          <c:idx val="2"/>
          <c:order val="2"/>
          <c:tx>
            <c:strRef>
              <c:f>Sheet2!$E$7</c:f>
              <c:strCache>
                <c:ptCount val="1"/>
                <c:pt idx="0">
                  <c:v>10μM</c:v>
                </c:pt>
              </c:strCache>
            </c:strRef>
          </c:tx>
          <c:spPr>
            <a:gradFill rotWithShape="1">
              <a:gsLst>
                <a:gs pos="0">
                  <a:schemeClr val="accent1">
                    <a:shade val="90000"/>
                    <a:satMod val="103000"/>
                    <a:lumMod val="102000"/>
                    <a:tint val="94000"/>
                  </a:schemeClr>
                </a:gs>
                <a:gs pos="50000">
                  <a:schemeClr val="accent1">
                    <a:shade val="90000"/>
                    <a:satMod val="110000"/>
                    <a:lumMod val="100000"/>
                    <a:shade val="100000"/>
                  </a:schemeClr>
                </a:gs>
                <a:gs pos="100000">
                  <a:schemeClr val="accent1">
                    <a:shade val="9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errBars>
            <c:errBarType val="both"/>
            <c:errValType val="cust"/>
            <c:noEndCap val="0"/>
            <c:plus>
              <c:numRef>
                <c:f>Sheet2!$E$8:$E$10</c:f>
                <c:numCache>
                  <c:formatCode>General</c:formatCode>
                  <c:ptCount val="3"/>
                  <c:pt idx="0">
                    <c:v>1.1299999999999999</c:v>
                  </c:pt>
                  <c:pt idx="1">
                    <c:v>1.42</c:v>
                  </c:pt>
                  <c:pt idx="2">
                    <c:v>1.02</c:v>
                  </c:pt>
                </c:numCache>
              </c:numRef>
            </c:plus>
            <c:minus>
              <c:numRef>
                <c:f>Sheet2!$E$8:$E$10</c:f>
                <c:numCache>
                  <c:formatCode>General</c:formatCode>
                  <c:ptCount val="3"/>
                  <c:pt idx="0">
                    <c:v>1.1299999999999999</c:v>
                  </c:pt>
                  <c:pt idx="1">
                    <c:v>1.42</c:v>
                  </c:pt>
                  <c:pt idx="2">
                    <c:v>1.02</c:v>
                  </c:pt>
                </c:numCache>
              </c:numRef>
            </c:minus>
            <c:spPr>
              <a:noFill/>
              <a:ln w="9525" cap="flat" cmpd="sng" algn="ctr">
                <a:solidFill>
                  <a:schemeClr val="tx1">
                    <a:lumMod val="65000"/>
                    <a:lumOff val="35000"/>
                  </a:schemeClr>
                </a:solidFill>
                <a:round/>
              </a:ln>
              <a:effectLst/>
            </c:spPr>
          </c:errBars>
          <c:cat>
            <c:strRef>
              <c:f>Sheet2!$B$8:$B$10</c:f>
              <c:strCache>
                <c:ptCount val="3"/>
                <c:pt idx="0">
                  <c:v>1a</c:v>
                </c:pt>
                <c:pt idx="1">
                  <c:v>1b</c:v>
                </c:pt>
                <c:pt idx="2">
                  <c:v>1c</c:v>
                </c:pt>
              </c:strCache>
            </c:strRef>
          </c:cat>
          <c:val>
            <c:numRef>
              <c:f>Sheet2!$G$25:$G$27</c:f>
              <c:numCache>
                <c:formatCode>General</c:formatCode>
                <c:ptCount val="3"/>
                <c:pt idx="0">
                  <c:v>21.39</c:v>
                </c:pt>
                <c:pt idx="1">
                  <c:v>45.14</c:v>
                </c:pt>
                <c:pt idx="2">
                  <c:v>21.01</c:v>
                </c:pt>
              </c:numCache>
            </c:numRef>
          </c:val>
          <c:extLst>
            <c:ext xmlns:c16="http://schemas.microsoft.com/office/drawing/2014/chart" uri="{C3380CC4-5D6E-409C-BE32-E72D297353CC}">
              <c16:uniqueId val="{00000002-849C-416C-81DC-E9E256FBB37C}"/>
            </c:ext>
          </c:extLst>
        </c:ser>
        <c:ser>
          <c:idx val="3"/>
          <c:order val="3"/>
          <c:tx>
            <c:strRef>
              <c:f>Sheet2!$F$7</c:f>
              <c:strCache>
                <c:ptCount val="1"/>
                <c:pt idx="0">
                  <c:v>5μM</c:v>
                </c:pt>
              </c:strCache>
            </c:strRef>
          </c:tx>
          <c:spPr>
            <a:gradFill rotWithShape="1">
              <a:gsLst>
                <a:gs pos="0">
                  <a:schemeClr val="accent1">
                    <a:tint val="90000"/>
                    <a:satMod val="103000"/>
                    <a:lumMod val="102000"/>
                    <a:tint val="94000"/>
                  </a:schemeClr>
                </a:gs>
                <a:gs pos="50000">
                  <a:schemeClr val="accent1">
                    <a:tint val="90000"/>
                    <a:satMod val="110000"/>
                    <a:lumMod val="100000"/>
                    <a:shade val="100000"/>
                  </a:schemeClr>
                </a:gs>
                <a:gs pos="100000">
                  <a:schemeClr val="accent1">
                    <a:tint val="9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errBars>
            <c:errBarType val="both"/>
            <c:errValType val="cust"/>
            <c:noEndCap val="0"/>
            <c:plus>
              <c:numRef>
                <c:f>Sheet2!$F$8:$F$10</c:f>
                <c:numCache>
                  <c:formatCode>General</c:formatCode>
                  <c:ptCount val="3"/>
                  <c:pt idx="0">
                    <c:v>1.37</c:v>
                  </c:pt>
                  <c:pt idx="1">
                    <c:v>1.45</c:v>
                  </c:pt>
                  <c:pt idx="2">
                    <c:v>1.36</c:v>
                  </c:pt>
                </c:numCache>
              </c:numRef>
            </c:plus>
            <c:minus>
              <c:numRef>
                <c:f>Sheet2!$F$8:$F$10</c:f>
                <c:numCache>
                  <c:formatCode>General</c:formatCode>
                  <c:ptCount val="3"/>
                  <c:pt idx="0">
                    <c:v>1.37</c:v>
                  </c:pt>
                  <c:pt idx="1">
                    <c:v>1.45</c:v>
                  </c:pt>
                  <c:pt idx="2">
                    <c:v>1.36</c:v>
                  </c:pt>
                </c:numCache>
              </c:numRef>
            </c:minus>
            <c:spPr>
              <a:noFill/>
              <a:ln w="9525" cap="flat" cmpd="sng" algn="ctr">
                <a:solidFill>
                  <a:schemeClr val="tx1">
                    <a:lumMod val="65000"/>
                    <a:lumOff val="35000"/>
                  </a:schemeClr>
                </a:solidFill>
                <a:round/>
              </a:ln>
              <a:effectLst/>
            </c:spPr>
          </c:errBars>
          <c:cat>
            <c:strRef>
              <c:f>Sheet2!$B$8:$B$10</c:f>
              <c:strCache>
                <c:ptCount val="3"/>
                <c:pt idx="0">
                  <c:v>1a</c:v>
                </c:pt>
                <c:pt idx="1">
                  <c:v>1b</c:v>
                </c:pt>
                <c:pt idx="2">
                  <c:v>1c</c:v>
                </c:pt>
              </c:strCache>
            </c:strRef>
          </c:cat>
          <c:val>
            <c:numRef>
              <c:f>Sheet2!$H$25:$H$27</c:f>
              <c:numCache>
                <c:formatCode>General</c:formatCode>
                <c:ptCount val="3"/>
                <c:pt idx="0">
                  <c:v>22.48</c:v>
                </c:pt>
                <c:pt idx="1">
                  <c:v>23.89</c:v>
                </c:pt>
                <c:pt idx="2">
                  <c:v>21.97</c:v>
                </c:pt>
              </c:numCache>
            </c:numRef>
          </c:val>
          <c:extLst>
            <c:ext xmlns:c16="http://schemas.microsoft.com/office/drawing/2014/chart" uri="{C3380CC4-5D6E-409C-BE32-E72D297353CC}">
              <c16:uniqueId val="{00000003-849C-416C-81DC-E9E256FBB37C}"/>
            </c:ext>
          </c:extLst>
        </c:ser>
        <c:ser>
          <c:idx val="4"/>
          <c:order val="4"/>
          <c:tx>
            <c:strRef>
              <c:f>Sheet2!$G$7</c:f>
              <c:strCache>
                <c:ptCount val="1"/>
                <c:pt idx="0">
                  <c:v>2.5μM</c:v>
                </c:pt>
              </c:strCache>
            </c:strRef>
          </c:tx>
          <c:spPr>
            <a:gradFill rotWithShape="1">
              <a:gsLst>
                <a:gs pos="0">
                  <a:schemeClr val="accent1">
                    <a:tint val="70000"/>
                    <a:satMod val="103000"/>
                    <a:lumMod val="102000"/>
                    <a:tint val="94000"/>
                  </a:schemeClr>
                </a:gs>
                <a:gs pos="50000">
                  <a:schemeClr val="accent1">
                    <a:tint val="70000"/>
                    <a:satMod val="110000"/>
                    <a:lumMod val="100000"/>
                    <a:shade val="100000"/>
                  </a:schemeClr>
                </a:gs>
                <a:gs pos="100000">
                  <a:schemeClr val="accent1">
                    <a:tint val="7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errBars>
            <c:errBarType val="both"/>
            <c:errValType val="cust"/>
            <c:noEndCap val="0"/>
            <c:plus>
              <c:numRef>
                <c:f>Sheet2!$G$8:$G$10</c:f>
                <c:numCache>
                  <c:formatCode>General</c:formatCode>
                  <c:ptCount val="3"/>
                  <c:pt idx="0">
                    <c:v>0.59</c:v>
                  </c:pt>
                  <c:pt idx="1">
                    <c:v>1.76</c:v>
                  </c:pt>
                  <c:pt idx="2">
                    <c:v>0.84</c:v>
                  </c:pt>
                </c:numCache>
              </c:numRef>
            </c:plus>
            <c:minus>
              <c:numRef>
                <c:f>Sheet2!$G$8:$G$10</c:f>
                <c:numCache>
                  <c:formatCode>General</c:formatCode>
                  <c:ptCount val="3"/>
                  <c:pt idx="0">
                    <c:v>0.59</c:v>
                  </c:pt>
                  <c:pt idx="1">
                    <c:v>1.76</c:v>
                  </c:pt>
                  <c:pt idx="2">
                    <c:v>0.84</c:v>
                  </c:pt>
                </c:numCache>
              </c:numRef>
            </c:minus>
            <c:spPr>
              <a:noFill/>
              <a:ln w="9525" cap="flat" cmpd="sng" algn="ctr">
                <a:solidFill>
                  <a:schemeClr val="tx1">
                    <a:lumMod val="65000"/>
                    <a:lumOff val="35000"/>
                  </a:schemeClr>
                </a:solidFill>
                <a:round/>
              </a:ln>
              <a:effectLst/>
            </c:spPr>
          </c:errBars>
          <c:cat>
            <c:strRef>
              <c:f>Sheet2!$B$8:$B$10</c:f>
              <c:strCache>
                <c:ptCount val="3"/>
                <c:pt idx="0">
                  <c:v>1a</c:v>
                </c:pt>
                <c:pt idx="1">
                  <c:v>1b</c:v>
                </c:pt>
                <c:pt idx="2">
                  <c:v>1c</c:v>
                </c:pt>
              </c:strCache>
            </c:strRef>
          </c:cat>
          <c:val>
            <c:numRef>
              <c:f>Sheet2!$I$25:$I$27</c:f>
              <c:numCache>
                <c:formatCode>General</c:formatCode>
                <c:ptCount val="3"/>
                <c:pt idx="0">
                  <c:v>15.58</c:v>
                </c:pt>
                <c:pt idx="1">
                  <c:v>20.58</c:v>
                </c:pt>
                <c:pt idx="2">
                  <c:v>23.15</c:v>
                </c:pt>
              </c:numCache>
            </c:numRef>
          </c:val>
          <c:extLst>
            <c:ext xmlns:c16="http://schemas.microsoft.com/office/drawing/2014/chart" uri="{C3380CC4-5D6E-409C-BE32-E72D297353CC}">
              <c16:uniqueId val="{00000004-849C-416C-81DC-E9E256FBB37C}"/>
            </c:ext>
          </c:extLst>
        </c:ser>
        <c:ser>
          <c:idx val="5"/>
          <c:order val="5"/>
          <c:tx>
            <c:strRef>
              <c:f>Sheet2!$H$7</c:f>
              <c:strCache>
                <c:ptCount val="1"/>
                <c:pt idx="0">
                  <c:v>1.25μM</c:v>
                </c:pt>
              </c:strCache>
            </c:strRef>
          </c:tx>
          <c:spPr>
            <a:gradFill rotWithShape="1">
              <a:gsLst>
                <a:gs pos="0">
                  <a:schemeClr val="accent1">
                    <a:tint val="50000"/>
                    <a:satMod val="103000"/>
                    <a:lumMod val="102000"/>
                    <a:tint val="94000"/>
                  </a:schemeClr>
                </a:gs>
                <a:gs pos="50000">
                  <a:schemeClr val="accent1">
                    <a:tint val="50000"/>
                    <a:satMod val="110000"/>
                    <a:lumMod val="100000"/>
                    <a:shade val="100000"/>
                  </a:schemeClr>
                </a:gs>
                <a:gs pos="100000">
                  <a:schemeClr val="accent1">
                    <a:tint val="5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errBars>
            <c:errBarType val="both"/>
            <c:errValType val="cust"/>
            <c:noEndCap val="0"/>
            <c:plus>
              <c:numRef>
                <c:f>Sheet2!$H$8:$H$10</c:f>
                <c:numCache>
                  <c:formatCode>General</c:formatCode>
                  <c:ptCount val="3"/>
                  <c:pt idx="0">
                    <c:v>0.41</c:v>
                  </c:pt>
                  <c:pt idx="1">
                    <c:v>0.53</c:v>
                  </c:pt>
                  <c:pt idx="2">
                    <c:v>0.51</c:v>
                  </c:pt>
                </c:numCache>
              </c:numRef>
            </c:plus>
            <c:minus>
              <c:numRef>
                <c:f>Sheet2!$H$8:$H$10</c:f>
                <c:numCache>
                  <c:formatCode>General</c:formatCode>
                  <c:ptCount val="3"/>
                  <c:pt idx="0">
                    <c:v>0.41</c:v>
                  </c:pt>
                  <c:pt idx="1">
                    <c:v>0.53</c:v>
                  </c:pt>
                  <c:pt idx="2">
                    <c:v>0.51</c:v>
                  </c:pt>
                </c:numCache>
              </c:numRef>
            </c:minus>
            <c:spPr>
              <a:noFill/>
              <a:ln w="9525" cap="flat" cmpd="sng" algn="ctr">
                <a:solidFill>
                  <a:schemeClr val="tx1">
                    <a:lumMod val="65000"/>
                    <a:lumOff val="35000"/>
                  </a:schemeClr>
                </a:solidFill>
                <a:round/>
              </a:ln>
              <a:effectLst/>
            </c:spPr>
          </c:errBars>
          <c:cat>
            <c:strRef>
              <c:f>Sheet2!$B$8:$B$10</c:f>
              <c:strCache>
                <c:ptCount val="3"/>
                <c:pt idx="0">
                  <c:v>1a</c:v>
                </c:pt>
                <c:pt idx="1">
                  <c:v>1b</c:v>
                </c:pt>
                <c:pt idx="2">
                  <c:v>1c</c:v>
                </c:pt>
              </c:strCache>
            </c:strRef>
          </c:cat>
          <c:val>
            <c:numRef>
              <c:f>Sheet2!$J$25:$J$27</c:f>
              <c:numCache>
                <c:formatCode>General</c:formatCode>
                <c:ptCount val="3"/>
                <c:pt idx="0">
                  <c:v>15.05</c:v>
                </c:pt>
                <c:pt idx="1">
                  <c:v>13.33</c:v>
                </c:pt>
                <c:pt idx="2">
                  <c:v>24.84</c:v>
                </c:pt>
              </c:numCache>
            </c:numRef>
          </c:val>
          <c:extLst>
            <c:ext xmlns:c16="http://schemas.microsoft.com/office/drawing/2014/chart" uri="{C3380CC4-5D6E-409C-BE32-E72D297353CC}">
              <c16:uniqueId val="{00000005-849C-416C-81DC-E9E256FBB37C}"/>
            </c:ext>
          </c:extLst>
        </c:ser>
        <c:dLbls>
          <c:showLegendKey val="0"/>
          <c:showVal val="0"/>
          <c:showCatName val="0"/>
          <c:showSerName val="0"/>
          <c:showPercent val="0"/>
          <c:showBubbleSize val="0"/>
        </c:dLbls>
        <c:gapWidth val="100"/>
        <c:overlap val="-24"/>
        <c:axId val="631397680"/>
        <c:axId val="631384624"/>
      </c:barChart>
      <c:catAx>
        <c:axId val="63139768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1384624"/>
        <c:crosses val="autoZero"/>
        <c:auto val="1"/>
        <c:lblAlgn val="ctr"/>
        <c:lblOffset val="100"/>
        <c:noMultiLvlLbl val="0"/>
      </c:catAx>
      <c:valAx>
        <c:axId val="631384624"/>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900" b="0" i="0" u="none" strike="noStrike" baseline="0">
                    <a:effectLst/>
                  </a:rPr>
                  <a:t>%Inhibition </a:t>
                </a:r>
                <a:endParaRPr lang="en-US"/>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1397680"/>
        <c:crosses val="autoZero"/>
        <c:crossBetween val="between"/>
        <c:majorUnit val="2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b="0">
                <a:latin typeface="Myriad Pro Light SemiCond" panose="020B0403030403020204" pitchFamily="34" charset="0"/>
                <a:cs typeface="Times New Roman" panose="02020603050405020304" pitchFamily="18" charset="0"/>
              </a:rPr>
              <a:t>MCF-10A</a:t>
            </a:r>
          </a:p>
        </c:rich>
      </c:tx>
      <c:layout>
        <c:manualLayout>
          <c:xMode val="edge"/>
          <c:yMode val="edge"/>
          <c:x val="0.40183333333333332"/>
          <c:y val="4.6296296296296294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Sheet2!$L$7</c:f>
              <c:strCache>
                <c:ptCount val="1"/>
                <c:pt idx="0">
                  <c:v>100μM</c:v>
                </c:pt>
              </c:strCache>
            </c:strRef>
          </c:tx>
          <c:spPr>
            <a:gradFill rotWithShape="1">
              <a:gsLst>
                <a:gs pos="0">
                  <a:schemeClr val="accent6">
                    <a:shade val="58000"/>
                    <a:satMod val="103000"/>
                    <a:lumMod val="102000"/>
                    <a:tint val="94000"/>
                  </a:schemeClr>
                </a:gs>
                <a:gs pos="50000">
                  <a:schemeClr val="accent6">
                    <a:shade val="58000"/>
                    <a:satMod val="110000"/>
                    <a:lumMod val="100000"/>
                    <a:shade val="100000"/>
                  </a:schemeClr>
                </a:gs>
                <a:gs pos="100000">
                  <a:schemeClr val="accent6">
                    <a:shade val="58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errBars>
            <c:errBarType val="both"/>
            <c:errValType val="cust"/>
            <c:noEndCap val="0"/>
            <c:plus>
              <c:numRef>
                <c:f>Sheet2!$L$8:$L$10</c:f>
                <c:numCache>
                  <c:formatCode>General</c:formatCode>
                  <c:ptCount val="3"/>
                  <c:pt idx="0">
                    <c:v>1.29</c:v>
                  </c:pt>
                  <c:pt idx="1">
                    <c:v>1.48</c:v>
                  </c:pt>
                  <c:pt idx="2">
                    <c:v>1.95</c:v>
                  </c:pt>
                </c:numCache>
              </c:numRef>
            </c:plus>
            <c:minus>
              <c:numRef>
                <c:f>Sheet2!$L$8:$L$10</c:f>
                <c:numCache>
                  <c:formatCode>General</c:formatCode>
                  <c:ptCount val="3"/>
                  <c:pt idx="0">
                    <c:v>1.29</c:v>
                  </c:pt>
                  <c:pt idx="1">
                    <c:v>1.48</c:v>
                  </c:pt>
                  <c:pt idx="2">
                    <c:v>1.95</c:v>
                  </c:pt>
                </c:numCache>
              </c:numRef>
            </c:minus>
            <c:spPr>
              <a:noFill/>
              <a:ln w="9525" cap="flat" cmpd="sng" algn="ctr">
                <a:solidFill>
                  <a:schemeClr val="tx1">
                    <a:lumMod val="65000"/>
                    <a:lumOff val="35000"/>
                  </a:schemeClr>
                </a:solidFill>
                <a:round/>
              </a:ln>
              <a:effectLst/>
            </c:spPr>
          </c:errBars>
          <c:cat>
            <c:strRef>
              <c:f>Sheet2!$K$8:$K$10</c:f>
              <c:strCache>
                <c:ptCount val="3"/>
                <c:pt idx="0">
                  <c:v>1a</c:v>
                </c:pt>
                <c:pt idx="1">
                  <c:v>1b</c:v>
                </c:pt>
                <c:pt idx="2">
                  <c:v>1c</c:v>
                </c:pt>
              </c:strCache>
            </c:strRef>
          </c:cat>
          <c:val>
            <c:numRef>
              <c:f>Sheet2!$N$25:$N$27</c:f>
              <c:numCache>
                <c:formatCode>General</c:formatCode>
                <c:ptCount val="3"/>
                <c:pt idx="0">
                  <c:v>45.42</c:v>
                </c:pt>
                <c:pt idx="1">
                  <c:v>62.1</c:v>
                </c:pt>
                <c:pt idx="2">
                  <c:v>46.45</c:v>
                </c:pt>
              </c:numCache>
            </c:numRef>
          </c:val>
          <c:extLst>
            <c:ext xmlns:c16="http://schemas.microsoft.com/office/drawing/2014/chart" uri="{C3380CC4-5D6E-409C-BE32-E72D297353CC}">
              <c16:uniqueId val="{00000000-5C8F-48FB-92A1-BC6735D93DF3}"/>
            </c:ext>
          </c:extLst>
        </c:ser>
        <c:ser>
          <c:idx val="1"/>
          <c:order val="1"/>
          <c:tx>
            <c:strRef>
              <c:f>Sheet2!$M$7</c:f>
              <c:strCache>
                <c:ptCount val="1"/>
                <c:pt idx="0">
                  <c:v>50μM</c:v>
                </c:pt>
              </c:strCache>
            </c:strRef>
          </c:tx>
          <c:spPr>
            <a:gradFill rotWithShape="1">
              <a:gsLst>
                <a:gs pos="0">
                  <a:schemeClr val="accent6">
                    <a:shade val="86000"/>
                    <a:satMod val="103000"/>
                    <a:lumMod val="102000"/>
                    <a:tint val="94000"/>
                  </a:schemeClr>
                </a:gs>
                <a:gs pos="50000">
                  <a:schemeClr val="accent6">
                    <a:shade val="86000"/>
                    <a:satMod val="110000"/>
                    <a:lumMod val="100000"/>
                    <a:shade val="100000"/>
                  </a:schemeClr>
                </a:gs>
                <a:gs pos="100000">
                  <a:schemeClr val="accent6">
                    <a:shade val="86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errBars>
            <c:errBarType val="both"/>
            <c:errValType val="cust"/>
            <c:noEndCap val="0"/>
            <c:plus>
              <c:numRef>
                <c:f>Sheet2!$M$8:$M$10</c:f>
                <c:numCache>
                  <c:formatCode>General</c:formatCode>
                  <c:ptCount val="3"/>
                  <c:pt idx="0">
                    <c:v>1.01</c:v>
                  </c:pt>
                  <c:pt idx="1">
                    <c:v>1.96</c:v>
                  </c:pt>
                  <c:pt idx="2">
                    <c:v>1.61</c:v>
                  </c:pt>
                </c:numCache>
              </c:numRef>
            </c:plus>
            <c:minus>
              <c:numRef>
                <c:f>Sheet2!$M$8:$M$10</c:f>
                <c:numCache>
                  <c:formatCode>General</c:formatCode>
                  <c:ptCount val="3"/>
                  <c:pt idx="0">
                    <c:v>1.01</c:v>
                  </c:pt>
                  <c:pt idx="1">
                    <c:v>1.96</c:v>
                  </c:pt>
                  <c:pt idx="2">
                    <c:v>1.61</c:v>
                  </c:pt>
                </c:numCache>
              </c:numRef>
            </c:minus>
            <c:spPr>
              <a:noFill/>
              <a:ln w="9525" cap="flat" cmpd="sng" algn="ctr">
                <a:solidFill>
                  <a:schemeClr val="tx1">
                    <a:lumMod val="65000"/>
                    <a:lumOff val="35000"/>
                  </a:schemeClr>
                </a:solidFill>
                <a:round/>
              </a:ln>
              <a:effectLst/>
            </c:spPr>
          </c:errBars>
          <c:cat>
            <c:strRef>
              <c:f>Sheet2!$K$8:$K$10</c:f>
              <c:strCache>
                <c:ptCount val="3"/>
                <c:pt idx="0">
                  <c:v>1a</c:v>
                </c:pt>
                <c:pt idx="1">
                  <c:v>1b</c:v>
                </c:pt>
                <c:pt idx="2">
                  <c:v>1c</c:v>
                </c:pt>
              </c:strCache>
            </c:strRef>
          </c:cat>
          <c:val>
            <c:numRef>
              <c:f>Sheet2!$O$25:$O$27</c:f>
              <c:numCache>
                <c:formatCode>General</c:formatCode>
                <c:ptCount val="3"/>
                <c:pt idx="0">
                  <c:v>34.520000000000003</c:v>
                </c:pt>
                <c:pt idx="1">
                  <c:v>28.06</c:v>
                </c:pt>
                <c:pt idx="2">
                  <c:v>28.92</c:v>
                </c:pt>
              </c:numCache>
            </c:numRef>
          </c:val>
          <c:extLst>
            <c:ext xmlns:c16="http://schemas.microsoft.com/office/drawing/2014/chart" uri="{C3380CC4-5D6E-409C-BE32-E72D297353CC}">
              <c16:uniqueId val="{00000001-5C8F-48FB-92A1-BC6735D93DF3}"/>
            </c:ext>
          </c:extLst>
        </c:ser>
        <c:ser>
          <c:idx val="2"/>
          <c:order val="2"/>
          <c:tx>
            <c:strRef>
              <c:f>Sheet2!$P$24</c:f>
              <c:strCache>
                <c:ptCount val="1"/>
                <c:pt idx="0">
                  <c:v>10μM</c:v>
                </c:pt>
              </c:strCache>
            </c:strRef>
          </c:tx>
          <c:spPr>
            <a:gradFill rotWithShape="1">
              <a:gsLst>
                <a:gs pos="0">
                  <a:schemeClr val="accent6">
                    <a:tint val="86000"/>
                    <a:satMod val="103000"/>
                    <a:lumMod val="102000"/>
                    <a:tint val="94000"/>
                  </a:schemeClr>
                </a:gs>
                <a:gs pos="50000">
                  <a:schemeClr val="accent6">
                    <a:tint val="86000"/>
                    <a:satMod val="110000"/>
                    <a:lumMod val="100000"/>
                    <a:shade val="100000"/>
                  </a:schemeClr>
                </a:gs>
                <a:gs pos="100000">
                  <a:schemeClr val="accent6">
                    <a:tint val="86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errBars>
            <c:errBarType val="both"/>
            <c:errValType val="cust"/>
            <c:noEndCap val="0"/>
            <c:plus>
              <c:numRef>
                <c:f>Sheet2!$N$8:$N$10</c:f>
                <c:numCache>
                  <c:formatCode>General</c:formatCode>
                  <c:ptCount val="3"/>
                  <c:pt idx="0">
                    <c:v>1.1100000000000001</c:v>
                  </c:pt>
                  <c:pt idx="1">
                    <c:v>1.42</c:v>
                  </c:pt>
                  <c:pt idx="2">
                    <c:v>1.92</c:v>
                  </c:pt>
                </c:numCache>
              </c:numRef>
            </c:plus>
            <c:minus>
              <c:numRef>
                <c:f>Sheet2!$N$8:$N$10</c:f>
                <c:numCache>
                  <c:formatCode>General</c:formatCode>
                  <c:ptCount val="3"/>
                  <c:pt idx="0">
                    <c:v>1.1100000000000001</c:v>
                  </c:pt>
                  <c:pt idx="1">
                    <c:v>1.42</c:v>
                  </c:pt>
                  <c:pt idx="2">
                    <c:v>1.92</c:v>
                  </c:pt>
                </c:numCache>
              </c:numRef>
            </c:minus>
            <c:spPr>
              <a:noFill/>
              <a:ln w="9525" cap="flat" cmpd="sng" algn="ctr">
                <a:solidFill>
                  <a:schemeClr val="tx1">
                    <a:lumMod val="65000"/>
                    <a:lumOff val="35000"/>
                  </a:schemeClr>
                </a:solidFill>
                <a:round/>
              </a:ln>
              <a:effectLst/>
            </c:spPr>
          </c:errBars>
          <c:cat>
            <c:strRef>
              <c:f>Sheet2!$K$8:$K$10</c:f>
              <c:strCache>
                <c:ptCount val="3"/>
                <c:pt idx="0">
                  <c:v>1a</c:v>
                </c:pt>
                <c:pt idx="1">
                  <c:v>1b</c:v>
                </c:pt>
                <c:pt idx="2">
                  <c:v>1c</c:v>
                </c:pt>
              </c:strCache>
            </c:strRef>
          </c:cat>
          <c:val>
            <c:numRef>
              <c:f>Sheet2!$P$25:$P$27</c:f>
              <c:numCache>
                <c:formatCode>General</c:formatCode>
                <c:ptCount val="3"/>
                <c:pt idx="0">
                  <c:v>20.12</c:v>
                </c:pt>
                <c:pt idx="1">
                  <c:v>22.6</c:v>
                </c:pt>
                <c:pt idx="2">
                  <c:v>19.579999999999998</c:v>
                </c:pt>
              </c:numCache>
            </c:numRef>
          </c:val>
          <c:extLst>
            <c:ext xmlns:c16="http://schemas.microsoft.com/office/drawing/2014/chart" uri="{C3380CC4-5D6E-409C-BE32-E72D297353CC}">
              <c16:uniqueId val="{00000002-5C8F-48FB-92A1-BC6735D93DF3}"/>
            </c:ext>
          </c:extLst>
        </c:ser>
        <c:ser>
          <c:idx val="3"/>
          <c:order val="3"/>
          <c:tx>
            <c:strRef>
              <c:f>Sheet2!$O$7</c:f>
              <c:strCache>
                <c:ptCount val="1"/>
                <c:pt idx="0">
                  <c:v>5μM</c:v>
                </c:pt>
              </c:strCache>
            </c:strRef>
          </c:tx>
          <c:spPr>
            <a:gradFill rotWithShape="1">
              <a:gsLst>
                <a:gs pos="0">
                  <a:schemeClr val="accent6">
                    <a:tint val="58000"/>
                    <a:satMod val="103000"/>
                    <a:lumMod val="102000"/>
                    <a:tint val="94000"/>
                  </a:schemeClr>
                </a:gs>
                <a:gs pos="50000">
                  <a:schemeClr val="accent6">
                    <a:tint val="58000"/>
                    <a:satMod val="110000"/>
                    <a:lumMod val="100000"/>
                    <a:shade val="100000"/>
                  </a:schemeClr>
                </a:gs>
                <a:gs pos="100000">
                  <a:schemeClr val="accent6">
                    <a:tint val="58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errBars>
            <c:errBarType val="both"/>
            <c:errValType val="cust"/>
            <c:noEndCap val="0"/>
            <c:plus>
              <c:numRef>
                <c:f>Sheet2!$O$8:$O$10</c:f>
                <c:numCache>
                  <c:formatCode>General</c:formatCode>
                  <c:ptCount val="3"/>
                  <c:pt idx="0">
                    <c:v>1.47</c:v>
                  </c:pt>
                  <c:pt idx="1">
                    <c:v>1.45</c:v>
                  </c:pt>
                  <c:pt idx="2">
                    <c:v>1.76</c:v>
                  </c:pt>
                </c:numCache>
              </c:numRef>
            </c:plus>
            <c:minus>
              <c:numRef>
                <c:f>Sheet2!$O$8:$O$10</c:f>
                <c:numCache>
                  <c:formatCode>General</c:formatCode>
                  <c:ptCount val="3"/>
                  <c:pt idx="0">
                    <c:v>1.47</c:v>
                  </c:pt>
                  <c:pt idx="1">
                    <c:v>1.45</c:v>
                  </c:pt>
                  <c:pt idx="2">
                    <c:v>1.76</c:v>
                  </c:pt>
                </c:numCache>
              </c:numRef>
            </c:minus>
            <c:spPr>
              <a:noFill/>
              <a:ln w="9525" cap="flat" cmpd="sng" algn="ctr">
                <a:solidFill>
                  <a:schemeClr val="tx1">
                    <a:lumMod val="65000"/>
                    <a:lumOff val="35000"/>
                  </a:schemeClr>
                </a:solidFill>
                <a:round/>
              </a:ln>
              <a:effectLst/>
            </c:spPr>
          </c:errBars>
          <c:cat>
            <c:strRef>
              <c:f>Sheet2!$K$8:$K$10</c:f>
              <c:strCache>
                <c:ptCount val="3"/>
                <c:pt idx="0">
                  <c:v>1a</c:v>
                </c:pt>
                <c:pt idx="1">
                  <c:v>1b</c:v>
                </c:pt>
                <c:pt idx="2">
                  <c:v>1c</c:v>
                </c:pt>
              </c:strCache>
            </c:strRef>
          </c:cat>
          <c:val>
            <c:numRef>
              <c:f>Sheet2!$Q$25:$Q$27</c:f>
              <c:numCache>
                <c:formatCode>General</c:formatCode>
                <c:ptCount val="3"/>
                <c:pt idx="0">
                  <c:v>7.59</c:v>
                </c:pt>
                <c:pt idx="1">
                  <c:v>12.13</c:v>
                </c:pt>
                <c:pt idx="2">
                  <c:v>12.06</c:v>
                </c:pt>
              </c:numCache>
            </c:numRef>
          </c:val>
          <c:extLst>
            <c:ext xmlns:c16="http://schemas.microsoft.com/office/drawing/2014/chart" uri="{C3380CC4-5D6E-409C-BE32-E72D297353CC}">
              <c16:uniqueId val="{00000003-5C8F-48FB-92A1-BC6735D93DF3}"/>
            </c:ext>
          </c:extLst>
        </c:ser>
        <c:dLbls>
          <c:showLegendKey val="0"/>
          <c:showVal val="0"/>
          <c:showCatName val="0"/>
          <c:showSerName val="0"/>
          <c:showPercent val="0"/>
          <c:showBubbleSize val="0"/>
        </c:dLbls>
        <c:gapWidth val="100"/>
        <c:overlap val="-24"/>
        <c:axId val="631396592"/>
        <c:axId val="631385168"/>
      </c:barChart>
      <c:catAx>
        <c:axId val="63139659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1385168"/>
        <c:crosses val="autoZero"/>
        <c:auto val="1"/>
        <c:lblAlgn val="ctr"/>
        <c:lblOffset val="100"/>
        <c:noMultiLvlLbl val="0"/>
      </c:catAx>
      <c:valAx>
        <c:axId val="631385168"/>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900" b="0" i="0" u="none" strike="noStrike" baseline="0">
                    <a:effectLst/>
                  </a:rPr>
                  <a:t>%Inhibition </a:t>
                </a:r>
                <a:endParaRPr lang="en-US"/>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1396592"/>
        <c:crosses val="autoZero"/>
        <c:crossBetween val="between"/>
        <c:majorUnit val="2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withinLinear" id="17">
  <a:schemeClr val="accent4"/>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withinLinear" id="19">
  <a:schemeClr val="accent6"/>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965</Words>
  <Characters>6248</Characters>
  <Application>Microsoft Office Word</Application>
  <DocSecurity>0</DocSecurity>
  <Lines>148</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Hamid Reza Shahsavari</dc:creator>
  <cp:keywords/>
  <dc:description/>
  <cp:lastModifiedBy>ayyub mojaddami</cp:lastModifiedBy>
  <cp:revision>2</cp:revision>
  <dcterms:created xsi:type="dcterms:W3CDTF">2022-10-12T19:11:00Z</dcterms:created>
  <dcterms:modified xsi:type="dcterms:W3CDTF">2022-10-12T19:11:00Z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0c001bcc20dfff3a3e858b25c0c54e901813d71f25fcd03d310f8686a6d4f248</vt:lpwstr>
  </property>
</Properties>
</file>