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3"/>
          <w:szCs w:val="23"/>
        </w:rPr>
      </w:pPr>
      <w:r w:rsidDel="00000000" w:rsidR="00000000" w:rsidRPr="00000000">
        <w:rPr>
          <w:b w:val="1"/>
          <w:sz w:val="23"/>
          <w:szCs w:val="23"/>
          <w:rtl w:val="0"/>
        </w:rPr>
        <w:t xml:space="preserve">Online Resource 2:</w:t>
      </w:r>
      <w:r w:rsidDel="00000000" w:rsidR="00000000" w:rsidRPr="00000000">
        <w:rPr>
          <w:sz w:val="23"/>
          <w:szCs w:val="23"/>
          <w:rtl w:val="0"/>
        </w:rPr>
        <w:t xml:space="preserve"> Regression modelling techniques used for examining the temporal dynamics of reported costs from 1960 to 2020 incurred by terrestrial IAS invertebrates. Root Mean Square Error (RMSE) of the models used to estimate annual costs over time are presented. </w:t>
      </w:r>
    </w:p>
    <w:p w:rsidR="00000000" w:rsidDel="00000000" w:rsidP="00000000" w:rsidRDefault="00000000" w:rsidRPr="00000000" w14:paraId="00000002">
      <w:pPr>
        <w:rPr>
          <w:sz w:val="23"/>
          <w:szCs w:val="23"/>
        </w:rPr>
      </w:pPr>
      <w:r w:rsidDel="00000000" w:rsidR="00000000" w:rsidRPr="00000000">
        <w:rPr>
          <w:sz w:val="23"/>
          <w:szCs w:val="23"/>
          <w:rtl w:val="0"/>
        </w:rPr>
        <w:t xml:space="preserve">The following models were computed:</w:t>
      </w:r>
    </w:p>
    <w:p w:rsidR="00000000" w:rsidDel="00000000" w:rsidP="00000000" w:rsidRDefault="00000000" w:rsidRPr="00000000" w14:paraId="00000003">
      <w:pPr>
        <w:rPr>
          <w:sz w:val="23"/>
          <w:szCs w:val="23"/>
        </w:rPr>
      </w:pPr>
      <w:r w:rsidDel="00000000" w:rsidR="00000000" w:rsidRPr="00000000">
        <w:rPr>
          <w:sz w:val="23"/>
          <w:szCs w:val="23"/>
          <w:rtl w:val="0"/>
        </w:rPr>
        <w:t xml:space="preserve">(ols) means linear regressions (linear and quadratic) </w:t>
      </w:r>
    </w:p>
    <w:p w:rsidR="00000000" w:rsidDel="00000000" w:rsidP="00000000" w:rsidRDefault="00000000" w:rsidRPr="00000000" w14:paraId="00000004">
      <w:pPr>
        <w:rPr>
          <w:sz w:val="23"/>
          <w:szCs w:val="23"/>
        </w:rPr>
      </w:pPr>
      <w:r w:rsidDel="00000000" w:rsidR="00000000" w:rsidRPr="00000000">
        <w:rPr>
          <w:sz w:val="23"/>
          <w:szCs w:val="23"/>
          <w:rtl w:val="0"/>
        </w:rPr>
        <w:t xml:space="preserve">(robust) means robust regression (linear and quadratic)</w:t>
      </w:r>
    </w:p>
    <w:p w:rsidR="00000000" w:rsidDel="00000000" w:rsidP="00000000" w:rsidRDefault="00000000" w:rsidRPr="00000000" w14:paraId="00000005">
      <w:pPr>
        <w:rPr>
          <w:sz w:val="23"/>
          <w:szCs w:val="23"/>
        </w:rPr>
      </w:pPr>
      <w:r w:rsidDel="00000000" w:rsidR="00000000" w:rsidRPr="00000000">
        <w:rPr>
          <w:sz w:val="23"/>
          <w:szCs w:val="23"/>
          <w:rtl w:val="0"/>
        </w:rPr>
        <w:t xml:space="preserve">(mars) means Multivariate Adaptive Regression Splines</w:t>
      </w:r>
    </w:p>
    <w:p w:rsidR="00000000" w:rsidDel="00000000" w:rsidP="00000000" w:rsidRDefault="00000000" w:rsidRPr="00000000" w14:paraId="00000006">
      <w:pPr>
        <w:rPr>
          <w:sz w:val="23"/>
          <w:szCs w:val="23"/>
        </w:rPr>
      </w:pPr>
      <w:r w:rsidDel="00000000" w:rsidR="00000000" w:rsidRPr="00000000">
        <w:rPr>
          <w:sz w:val="23"/>
          <w:szCs w:val="23"/>
          <w:rtl w:val="0"/>
        </w:rPr>
        <w:t xml:space="preserve">(gam) means Generalized Additive Model</w:t>
      </w:r>
    </w:p>
    <w:p w:rsidR="00000000" w:rsidDel="00000000" w:rsidP="00000000" w:rsidRDefault="00000000" w:rsidRPr="00000000" w14:paraId="00000007">
      <w:pPr>
        <w:rPr>
          <w:sz w:val="23"/>
          <w:szCs w:val="23"/>
        </w:rPr>
      </w:pPr>
      <w:r w:rsidDel="00000000" w:rsidR="00000000" w:rsidRPr="00000000">
        <w:rPr>
          <w:sz w:val="23"/>
          <w:szCs w:val="23"/>
          <w:rtl w:val="0"/>
        </w:rPr>
        <w:t xml:space="preserve">(qt) means quantile regression (0.1: 1st quantile, 0.5: 5th quantile, 0.9; 9th quantile).  </w:t>
      </w:r>
    </w:p>
    <w:p w:rsidR="00000000" w:rsidDel="00000000" w:rsidP="00000000" w:rsidRDefault="00000000" w:rsidRPr="00000000" w14:paraId="00000008">
      <w:pPr>
        <w:rPr>
          <w:sz w:val="23"/>
          <w:szCs w:val="23"/>
        </w:rPr>
      </w:pPr>
      <w:r w:rsidDel="00000000" w:rsidR="00000000" w:rsidRPr="00000000">
        <w:rPr>
          <w:rtl w:val="0"/>
        </w:rPr>
      </w:r>
    </w:p>
    <w:tbl>
      <w:tblPr>
        <w:tblStyle w:val="Table1"/>
        <w:tblW w:w="9071.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23"/>
        <w:gridCol w:w="3024"/>
        <w:gridCol w:w="3024"/>
        <w:tblGridChange w:id="0">
          <w:tblGrid>
            <w:gridCol w:w="3023"/>
            <w:gridCol w:w="3024"/>
            <w:gridCol w:w="3024"/>
          </w:tblGrid>
        </w:tblGridChange>
      </w:tblGrid>
      <w:tr>
        <w:trPr>
          <w:trHeight w:val="410" w:hRule="atLeast"/>
        </w:trPr>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9">
            <w:pPr>
              <w:spacing w:after="0" w:line="276" w:lineRule="auto"/>
              <w:rPr>
                <w:b w:val="1"/>
                <w:sz w:val="23"/>
                <w:szCs w:val="23"/>
              </w:rPr>
            </w:pPr>
            <w:r w:rsidDel="00000000" w:rsidR="00000000" w:rsidRPr="00000000">
              <w:rPr>
                <w:b w:val="1"/>
                <w:sz w:val="23"/>
                <w:szCs w:val="23"/>
                <w:rtl w:val="0"/>
              </w:rPr>
              <w:t xml:space="preserve"> Model</w:t>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A">
            <w:pPr>
              <w:spacing w:after="0" w:line="276" w:lineRule="auto"/>
              <w:rPr>
                <w:b w:val="1"/>
                <w:sz w:val="23"/>
                <w:szCs w:val="23"/>
              </w:rPr>
            </w:pPr>
            <w:r w:rsidDel="00000000" w:rsidR="00000000" w:rsidRPr="00000000">
              <w:rPr>
                <w:b w:val="1"/>
                <w:sz w:val="23"/>
                <w:szCs w:val="23"/>
                <w:rtl w:val="0"/>
              </w:rPr>
              <w:t xml:space="preserve">RMSE.calibration</w:t>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B">
            <w:pPr>
              <w:spacing w:after="0" w:line="276" w:lineRule="auto"/>
              <w:rPr>
                <w:b w:val="1"/>
                <w:sz w:val="23"/>
                <w:szCs w:val="23"/>
              </w:rPr>
            </w:pPr>
            <w:r w:rsidDel="00000000" w:rsidR="00000000" w:rsidRPr="00000000">
              <w:rPr>
                <w:b w:val="1"/>
                <w:sz w:val="23"/>
                <w:szCs w:val="23"/>
                <w:rtl w:val="0"/>
              </w:rPr>
              <w:t xml:space="preserve">RMSE.alldata</w:t>
            </w:r>
          </w:p>
        </w:tc>
      </w:tr>
      <w:tr>
        <w:trPr>
          <w:trHeight w:val="395" w:hRule="atLeast"/>
        </w:trPr>
        <w:tc>
          <w:tcPr>
            <w:tcMar>
              <w:top w:w="100.0" w:type="dxa"/>
              <w:left w:w="100.0" w:type="dxa"/>
              <w:bottom w:w="100.0" w:type="dxa"/>
              <w:right w:w="100.0" w:type="dxa"/>
            </w:tcMar>
          </w:tcPr>
          <w:p w:rsidR="00000000" w:rsidDel="00000000" w:rsidP="00000000" w:rsidRDefault="00000000" w:rsidRPr="00000000" w14:paraId="0000000C">
            <w:pPr>
              <w:spacing w:after="0" w:line="276" w:lineRule="auto"/>
              <w:rPr>
                <w:sz w:val="23"/>
                <w:szCs w:val="23"/>
              </w:rPr>
            </w:pPr>
            <w:r w:rsidDel="00000000" w:rsidR="00000000" w:rsidRPr="00000000">
              <w:rPr>
                <w:sz w:val="23"/>
                <w:szCs w:val="23"/>
                <w:rtl w:val="0"/>
              </w:rPr>
              <w:t xml:space="preserve">ols.linear</w:t>
            </w:r>
          </w:p>
        </w:tc>
        <w:tc>
          <w:tcPr>
            <w:tcMar>
              <w:top w:w="100.0" w:type="dxa"/>
              <w:left w:w="100.0" w:type="dxa"/>
              <w:bottom w:w="100.0" w:type="dxa"/>
              <w:right w:w="100.0" w:type="dxa"/>
            </w:tcMar>
          </w:tcPr>
          <w:p w:rsidR="00000000" w:rsidDel="00000000" w:rsidP="00000000" w:rsidRDefault="00000000" w:rsidRPr="00000000" w14:paraId="0000000D">
            <w:pPr>
              <w:spacing w:after="0" w:line="276" w:lineRule="auto"/>
              <w:rPr>
                <w:sz w:val="23"/>
                <w:szCs w:val="23"/>
              </w:rPr>
            </w:pPr>
            <w:r w:rsidDel="00000000" w:rsidR="00000000" w:rsidRPr="00000000">
              <w:rPr>
                <w:sz w:val="23"/>
                <w:szCs w:val="23"/>
                <w:rtl w:val="0"/>
              </w:rPr>
              <w:t xml:space="preserve">0.278</w:t>
            </w:r>
          </w:p>
        </w:tc>
        <w:tc>
          <w:tcPr>
            <w:tcMar>
              <w:top w:w="100.0" w:type="dxa"/>
              <w:left w:w="100.0" w:type="dxa"/>
              <w:bottom w:w="100.0" w:type="dxa"/>
              <w:right w:w="100.0" w:type="dxa"/>
            </w:tcMar>
          </w:tcPr>
          <w:p w:rsidR="00000000" w:rsidDel="00000000" w:rsidP="00000000" w:rsidRDefault="00000000" w:rsidRPr="00000000" w14:paraId="0000000E">
            <w:pPr>
              <w:spacing w:after="0" w:line="276" w:lineRule="auto"/>
              <w:rPr>
                <w:sz w:val="23"/>
                <w:szCs w:val="23"/>
              </w:rPr>
            </w:pPr>
            <w:r w:rsidDel="00000000" w:rsidR="00000000" w:rsidRPr="00000000">
              <w:rPr>
                <w:sz w:val="23"/>
                <w:szCs w:val="23"/>
                <w:rtl w:val="0"/>
              </w:rPr>
              <w:t xml:space="preserve">0.280</w:t>
            </w:r>
          </w:p>
        </w:tc>
      </w:tr>
      <w:tr>
        <w:trPr>
          <w:trHeight w:val="395" w:hRule="atLeast"/>
        </w:trPr>
        <w:tc>
          <w:tcPr>
            <w:tcMar>
              <w:top w:w="100.0" w:type="dxa"/>
              <w:left w:w="100.0" w:type="dxa"/>
              <w:bottom w:w="100.0" w:type="dxa"/>
              <w:right w:w="100.0" w:type="dxa"/>
            </w:tcMar>
          </w:tcPr>
          <w:p w:rsidR="00000000" w:rsidDel="00000000" w:rsidP="00000000" w:rsidRDefault="00000000" w:rsidRPr="00000000" w14:paraId="0000000F">
            <w:pPr>
              <w:spacing w:after="0" w:line="276" w:lineRule="auto"/>
              <w:rPr>
                <w:sz w:val="23"/>
                <w:szCs w:val="23"/>
              </w:rPr>
            </w:pPr>
            <w:r w:rsidDel="00000000" w:rsidR="00000000" w:rsidRPr="00000000">
              <w:rPr>
                <w:sz w:val="23"/>
                <w:szCs w:val="23"/>
                <w:rtl w:val="0"/>
              </w:rPr>
              <w:t xml:space="preserve">ols.quadratic</w:t>
            </w:r>
          </w:p>
        </w:tc>
        <w:tc>
          <w:tcPr>
            <w:tcMar>
              <w:top w:w="100.0" w:type="dxa"/>
              <w:left w:w="100.0" w:type="dxa"/>
              <w:bottom w:w="100.0" w:type="dxa"/>
              <w:right w:w="100.0" w:type="dxa"/>
            </w:tcMar>
          </w:tcPr>
          <w:p w:rsidR="00000000" w:rsidDel="00000000" w:rsidP="00000000" w:rsidRDefault="00000000" w:rsidRPr="00000000" w14:paraId="00000010">
            <w:pPr>
              <w:spacing w:after="0" w:line="276" w:lineRule="auto"/>
              <w:rPr>
                <w:sz w:val="23"/>
                <w:szCs w:val="23"/>
              </w:rPr>
            </w:pPr>
            <w:r w:rsidDel="00000000" w:rsidR="00000000" w:rsidRPr="00000000">
              <w:rPr>
                <w:sz w:val="23"/>
                <w:szCs w:val="23"/>
                <w:rtl w:val="0"/>
              </w:rPr>
              <w:t xml:space="preserve">0.277</w:t>
            </w:r>
          </w:p>
        </w:tc>
        <w:tc>
          <w:tcPr>
            <w:tcMar>
              <w:top w:w="100.0" w:type="dxa"/>
              <w:left w:w="100.0" w:type="dxa"/>
              <w:bottom w:w="100.0" w:type="dxa"/>
              <w:right w:w="100.0" w:type="dxa"/>
            </w:tcMar>
          </w:tcPr>
          <w:p w:rsidR="00000000" w:rsidDel="00000000" w:rsidP="00000000" w:rsidRDefault="00000000" w:rsidRPr="00000000" w14:paraId="00000011">
            <w:pPr>
              <w:spacing w:after="0" w:line="276" w:lineRule="auto"/>
              <w:rPr>
                <w:sz w:val="23"/>
                <w:szCs w:val="23"/>
              </w:rPr>
            </w:pPr>
            <w:r w:rsidDel="00000000" w:rsidR="00000000" w:rsidRPr="00000000">
              <w:rPr>
                <w:sz w:val="23"/>
                <w:szCs w:val="23"/>
                <w:rtl w:val="0"/>
              </w:rPr>
              <w:t xml:space="preserve">0.277</w:t>
            </w:r>
          </w:p>
        </w:tc>
      </w:tr>
      <w:tr>
        <w:trPr>
          <w:trHeight w:val="395" w:hRule="atLeast"/>
        </w:trPr>
        <w:tc>
          <w:tcPr>
            <w:tcMar>
              <w:top w:w="100.0" w:type="dxa"/>
              <w:left w:w="100.0" w:type="dxa"/>
              <w:bottom w:w="100.0" w:type="dxa"/>
              <w:right w:w="100.0" w:type="dxa"/>
            </w:tcMar>
          </w:tcPr>
          <w:p w:rsidR="00000000" w:rsidDel="00000000" w:rsidP="00000000" w:rsidRDefault="00000000" w:rsidRPr="00000000" w14:paraId="00000012">
            <w:pPr>
              <w:spacing w:after="0" w:line="276" w:lineRule="auto"/>
              <w:rPr>
                <w:sz w:val="23"/>
                <w:szCs w:val="23"/>
              </w:rPr>
            </w:pPr>
            <w:r w:rsidDel="00000000" w:rsidR="00000000" w:rsidRPr="00000000">
              <w:rPr>
                <w:sz w:val="23"/>
                <w:szCs w:val="23"/>
                <w:rtl w:val="0"/>
              </w:rPr>
              <w:t xml:space="preserve">robust.linear</w:t>
            </w:r>
          </w:p>
        </w:tc>
        <w:tc>
          <w:tcPr>
            <w:tcMar>
              <w:top w:w="100.0" w:type="dxa"/>
              <w:left w:w="100.0" w:type="dxa"/>
              <w:bottom w:w="100.0" w:type="dxa"/>
              <w:right w:w="100.0" w:type="dxa"/>
            </w:tcMar>
          </w:tcPr>
          <w:p w:rsidR="00000000" w:rsidDel="00000000" w:rsidP="00000000" w:rsidRDefault="00000000" w:rsidRPr="00000000" w14:paraId="00000013">
            <w:pPr>
              <w:spacing w:after="0" w:line="276" w:lineRule="auto"/>
              <w:rPr>
                <w:sz w:val="23"/>
                <w:szCs w:val="23"/>
              </w:rPr>
            </w:pPr>
            <w:r w:rsidDel="00000000" w:rsidR="00000000" w:rsidRPr="00000000">
              <w:rPr>
                <w:sz w:val="23"/>
                <w:szCs w:val="23"/>
                <w:rtl w:val="0"/>
              </w:rPr>
              <w:t xml:space="preserve">0.289</w:t>
            </w:r>
          </w:p>
        </w:tc>
        <w:tc>
          <w:tcPr>
            <w:tcMar>
              <w:top w:w="100.0" w:type="dxa"/>
              <w:left w:w="100.0" w:type="dxa"/>
              <w:bottom w:w="100.0" w:type="dxa"/>
              <w:right w:w="100.0" w:type="dxa"/>
            </w:tcMar>
          </w:tcPr>
          <w:p w:rsidR="00000000" w:rsidDel="00000000" w:rsidP="00000000" w:rsidRDefault="00000000" w:rsidRPr="00000000" w14:paraId="00000014">
            <w:pPr>
              <w:spacing w:after="0" w:line="276" w:lineRule="auto"/>
              <w:rPr>
                <w:sz w:val="23"/>
                <w:szCs w:val="23"/>
              </w:rPr>
            </w:pPr>
            <w:r w:rsidDel="00000000" w:rsidR="00000000" w:rsidRPr="00000000">
              <w:rPr>
                <w:sz w:val="23"/>
                <w:szCs w:val="23"/>
                <w:rtl w:val="0"/>
              </w:rPr>
              <w:t xml:space="preserve">0.288</w:t>
            </w:r>
          </w:p>
        </w:tc>
      </w:tr>
      <w:tr>
        <w:trPr>
          <w:trHeight w:val="395" w:hRule="atLeast"/>
        </w:trPr>
        <w:tc>
          <w:tcPr>
            <w:tcMar>
              <w:top w:w="100.0" w:type="dxa"/>
              <w:left w:w="100.0" w:type="dxa"/>
              <w:bottom w:w="100.0" w:type="dxa"/>
              <w:right w:w="100.0" w:type="dxa"/>
            </w:tcMar>
          </w:tcPr>
          <w:p w:rsidR="00000000" w:rsidDel="00000000" w:rsidP="00000000" w:rsidRDefault="00000000" w:rsidRPr="00000000" w14:paraId="00000015">
            <w:pPr>
              <w:spacing w:after="0" w:line="276" w:lineRule="auto"/>
              <w:rPr>
                <w:sz w:val="23"/>
                <w:szCs w:val="23"/>
              </w:rPr>
            </w:pPr>
            <w:r w:rsidDel="00000000" w:rsidR="00000000" w:rsidRPr="00000000">
              <w:rPr>
                <w:sz w:val="23"/>
                <w:szCs w:val="23"/>
                <w:rtl w:val="0"/>
              </w:rPr>
              <w:t xml:space="preserve">robust.quadratic</w:t>
            </w:r>
          </w:p>
        </w:tc>
        <w:tc>
          <w:tcPr>
            <w:tcMar>
              <w:top w:w="100.0" w:type="dxa"/>
              <w:left w:w="100.0" w:type="dxa"/>
              <w:bottom w:w="100.0" w:type="dxa"/>
              <w:right w:w="100.0" w:type="dxa"/>
            </w:tcMar>
          </w:tcPr>
          <w:p w:rsidR="00000000" w:rsidDel="00000000" w:rsidP="00000000" w:rsidRDefault="00000000" w:rsidRPr="00000000" w14:paraId="00000016">
            <w:pPr>
              <w:spacing w:after="0" w:line="276" w:lineRule="auto"/>
              <w:rPr>
                <w:sz w:val="23"/>
                <w:szCs w:val="23"/>
              </w:rPr>
            </w:pPr>
            <w:r w:rsidDel="00000000" w:rsidR="00000000" w:rsidRPr="00000000">
              <w:rPr>
                <w:sz w:val="23"/>
                <w:szCs w:val="23"/>
                <w:rtl w:val="0"/>
              </w:rPr>
              <w:t xml:space="preserve">0.308</w:t>
            </w:r>
          </w:p>
        </w:tc>
        <w:tc>
          <w:tcPr>
            <w:tcMar>
              <w:top w:w="100.0" w:type="dxa"/>
              <w:left w:w="100.0" w:type="dxa"/>
              <w:bottom w:w="100.0" w:type="dxa"/>
              <w:right w:w="100.0" w:type="dxa"/>
            </w:tcMar>
          </w:tcPr>
          <w:p w:rsidR="00000000" w:rsidDel="00000000" w:rsidP="00000000" w:rsidRDefault="00000000" w:rsidRPr="00000000" w14:paraId="00000017">
            <w:pPr>
              <w:spacing w:after="0" w:line="276" w:lineRule="auto"/>
              <w:rPr>
                <w:sz w:val="23"/>
                <w:szCs w:val="23"/>
              </w:rPr>
            </w:pPr>
            <w:r w:rsidDel="00000000" w:rsidR="00000000" w:rsidRPr="00000000">
              <w:rPr>
                <w:sz w:val="23"/>
                <w:szCs w:val="23"/>
                <w:rtl w:val="0"/>
              </w:rPr>
              <w:t xml:space="preserve">0.316</w:t>
            </w:r>
          </w:p>
        </w:tc>
      </w:tr>
      <w:tr>
        <w:trPr>
          <w:trHeight w:val="395" w:hRule="atLeast"/>
        </w:trPr>
        <w:tc>
          <w:tcPr>
            <w:tcMar>
              <w:top w:w="100.0" w:type="dxa"/>
              <w:left w:w="100.0" w:type="dxa"/>
              <w:bottom w:w="100.0" w:type="dxa"/>
              <w:right w:w="100.0" w:type="dxa"/>
            </w:tcMar>
          </w:tcPr>
          <w:p w:rsidR="00000000" w:rsidDel="00000000" w:rsidP="00000000" w:rsidRDefault="00000000" w:rsidRPr="00000000" w14:paraId="00000018">
            <w:pPr>
              <w:spacing w:after="0" w:line="276" w:lineRule="auto"/>
              <w:rPr>
                <w:sz w:val="23"/>
                <w:szCs w:val="23"/>
              </w:rPr>
            </w:pPr>
            <w:r w:rsidDel="00000000" w:rsidR="00000000" w:rsidRPr="00000000">
              <w:rPr>
                <w:sz w:val="23"/>
                <w:szCs w:val="23"/>
                <w:rtl w:val="0"/>
              </w:rPr>
              <w:t xml:space="preserve">mars</w:t>
            </w:r>
          </w:p>
        </w:tc>
        <w:tc>
          <w:tcPr>
            <w:tcMar>
              <w:top w:w="100.0" w:type="dxa"/>
              <w:left w:w="100.0" w:type="dxa"/>
              <w:bottom w:w="100.0" w:type="dxa"/>
              <w:right w:w="100.0" w:type="dxa"/>
            </w:tcMar>
          </w:tcPr>
          <w:p w:rsidR="00000000" w:rsidDel="00000000" w:rsidP="00000000" w:rsidRDefault="00000000" w:rsidRPr="00000000" w14:paraId="00000019">
            <w:pPr>
              <w:spacing w:after="0" w:line="276" w:lineRule="auto"/>
              <w:rPr>
                <w:sz w:val="23"/>
                <w:szCs w:val="23"/>
              </w:rPr>
            </w:pPr>
            <w:r w:rsidDel="00000000" w:rsidR="00000000" w:rsidRPr="00000000">
              <w:rPr>
                <w:sz w:val="23"/>
                <w:szCs w:val="23"/>
                <w:rtl w:val="0"/>
              </w:rPr>
              <w:t xml:space="preserve">0.228</w:t>
            </w:r>
          </w:p>
        </w:tc>
        <w:tc>
          <w:tcPr>
            <w:tcMar>
              <w:top w:w="100.0" w:type="dxa"/>
              <w:left w:w="100.0" w:type="dxa"/>
              <w:bottom w:w="100.0" w:type="dxa"/>
              <w:right w:w="100.0" w:type="dxa"/>
            </w:tcMar>
          </w:tcPr>
          <w:p w:rsidR="00000000" w:rsidDel="00000000" w:rsidP="00000000" w:rsidRDefault="00000000" w:rsidRPr="00000000" w14:paraId="0000001A">
            <w:pPr>
              <w:spacing w:after="0" w:line="276" w:lineRule="auto"/>
              <w:rPr>
                <w:sz w:val="23"/>
                <w:szCs w:val="23"/>
              </w:rPr>
            </w:pPr>
            <w:r w:rsidDel="00000000" w:rsidR="00000000" w:rsidRPr="00000000">
              <w:rPr>
                <w:sz w:val="23"/>
                <w:szCs w:val="23"/>
                <w:rtl w:val="0"/>
              </w:rPr>
              <w:t xml:space="preserve">0.227</w:t>
            </w:r>
          </w:p>
        </w:tc>
      </w:tr>
      <w:tr>
        <w:trPr>
          <w:trHeight w:val="395" w:hRule="atLeast"/>
        </w:trPr>
        <w:tc>
          <w:tcPr>
            <w:tcMar>
              <w:top w:w="100.0" w:type="dxa"/>
              <w:left w:w="100.0" w:type="dxa"/>
              <w:bottom w:w="100.0" w:type="dxa"/>
              <w:right w:w="100.0" w:type="dxa"/>
            </w:tcMar>
          </w:tcPr>
          <w:p w:rsidR="00000000" w:rsidDel="00000000" w:rsidP="00000000" w:rsidRDefault="00000000" w:rsidRPr="00000000" w14:paraId="0000001B">
            <w:pPr>
              <w:spacing w:after="0" w:line="276" w:lineRule="auto"/>
              <w:rPr>
                <w:sz w:val="23"/>
                <w:szCs w:val="23"/>
              </w:rPr>
            </w:pPr>
            <w:r w:rsidDel="00000000" w:rsidR="00000000" w:rsidRPr="00000000">
              <w:rPr>
                <w:sz w:val="23"/>
                <w:szCs w:val="23"/>
                <w:rtl w:val="0"/>
              </w:rPr>
              <w:t xml:space="preserve">gam</w:t>
            </w:r>
          </w:p>
        </w:tc>
        <w:tc>
          <w:tcPr>
            <w:tcMar>
              <w:top w:w="100.0" w:type="dxa"/>
              <w:left w:w="100.0" w:type="dxa"/>
              <w:bottom w:w="100.0" w:type="dxa"/>
              <w:right w:w="100.0" w:type="dxa"/>
            </w:tcMar>
          </w:tcPr>
          <w:p w:rsidR="00000000" w:rsidDel="00000000" w:rsidP="00000000" w:rsidRDefault="00000000" w:rsidRPr="00000000" w14:paraId="0000001C">
            <w:pPr>
              <w:spacing w:after="0" w:line="276" w:lineRule="auto"/>
              <w:rPr>
                <w:sz w:val="23"/>
                <w:szCs w:val="23"/>
              </w:rPr>
            </w:pPr>
            <w:r w:rsidDel="00000000" w:rsidR="00000000" w:rsidRPr="00000000">
              <w:rPr>
                <w:sz w:val="23"/>
                <w:szCs w:val="23"/>
                <w:rtl w:val="0"/>
              </w:rPr>
              <w:t xml:space="preserve">0.277</w:t>
            </w:r>
          </w:p>
        </w:tc>
        <w:tc>
          <w:tcPr>
            <w:tcMar>
              <w:top w:w="100.0" w:type="dxa"/>
              <w:left w:w="100.0" w:type="dxa"/>
              <w:bottom w:w="100.0" w:type="dxa"/>
              <w:right w:w="100.0" w:type="dxa"/>
            </w:tcMar>
          </w:tcPr>
          <w:p w:rsidR="00000000" w:rsidDel="00000000" w:rsidP="00000000" w:rsidRDefault="00000000" w:rsidRPr="00000000" w14:paraId="0000001D">
            <w:pPr>
              <w:spacing w:after="0" w:line="276" w:lineRule="auto"/>
              <w:rPr>
                <w:sz w:val="23"/>
                <w:szCs w:val="23"/>
              </w:rPr>
            </w:pPr>
            <w:r w:rsidDel="00000000" w:rsidR="00000000" w:rsidRPr="00000000">
              <w:rPr>
                <w:sz w:val="23"/>
                <w:szCs w:val="23"/>
                <w:rtl w:val="0"/>
              </w:rPr>
              <w:t xml:space="preserve">0.278</w:t>
            </w:r>
          </w:p>
        </w:tc>
      </w:tr>
      <w:tr>
        <w:trPr>
          <w:trHeight w:val="395" w:hRule="atLeast"/>
        </w:trPr>
        <w:tc>
          <w:tcPr>
            <w:tcMar>
              <w:top w:w="100.0" w:type="dxa"/>
              <w:left w:w="100.0" w:type="dxa"/>
              <w:bottom w:w="100.0" w:type="dxa"/>
              <w:right w:w="100.0" w:type="dxa"/>
            </w:tcMar>
          </w:tcPr>
          <w:p w:rsidR="00000000" w:rsidDel="00000000" w:rsidP="00000000" w:rsidRDefault="00000000" w:rsidRPr="00000000" w14:paraId="0000001E">
            <w:pPr>
              <w:spacing w:after="0" w:line="276" w:lineRule="auto"/>
              <w:rPr>
                <w:sz w:val="23"/>
                <w:szCs w:val="23"/>
              </w:rPr>
            </w:pPr>
            <w:r w:rsidDel="00000000" w:rsidR="00000000" w:rsidRPr="00000000">
              <w:rPr>
                <w:sz w:val="23"/>
                <w:szCs w:val="23"/>
                <w:rtl w:val="0"/>
              </w:rPr>
              <w:t xml:space="preserve">qt0.1</w:t>
            </w:r>
          </w:p>
        </w:tc>
        <w:tc>
          <w:tcPr>
            <w:tcMar>
              <w:top w:w="100.0" w:type="dxa"/>
              <w:left w:w="100.0" w:type="dxa"/>
              <w:bottom w:w="100.0" w:type="dxa"/>
              <w:right w:w="100.0" w:type="dxa"/>
            </w:tcMar>
          </w:tcPr>
          <w:p w:rsidR="00000000" w:rsidDel="00000000" w:rsidP="00000000" w:rsidRDefault="00000000" w:rsidRPr="00000000" w14:paraId="0000001F">
            <w:pPr>
              <w:spacing w:after="0" w:line="276" w:lineRule="auto"/>
              <w:rPr>
                <w:sz w:val="23"/>
                <w:szCs w:val="23"/>
              </w:rPr>
            </w:pPr>
            <w:r w:rsidDel="00000000" w:rsidR="00000000" w:rsidRPr="00000000">
              <w:rPr>
                <w:sz w:val="23"/>
                <w:szCs w:val="23"/>
                <w:rtl w:val="0"/>
              </w:rPr>
              <w:t xml:space="preserve">0.391</w:t>
            </w:r>
          </w:p>
        </w:tc>
        <w:tc>
          <w:tcPr>
            <w:tcMar>
              <w:top w:w="100.0" w:type="dxa"/>
              <w:left w:w="100.0" w:type="dxa"/>
              <w:bottom w:w="100.0" w:type="dxa"/>
              <w:right w:w="100.0" w:type="dxa"/>
            </w:tcMar>
          </w:tcPr>
          <w:p w:rsidR="00000000" w:rsidDel="00000000" w:rsidP="00000000" w:rsidRDefault="00000000" w:rsidRPr="00000000" w14:paraId="00000020">
            <w:pPr>
              <w:spacing w:after="0" w:line="276" w:lineRule="auto"/>
              <w:rPr>
                <w:sz w:val="23"/>
                <w:szCs w:val="23"/>
              </w:rPr>
            </w:pPr>
            <w:r w:rsidDel="00000000" w:rsidR="00000000" w:rsidRPr="00000000">
              <w:rPr>
                <w:sz w:val="23"/>
                <w:szCs w:val="23"/>
                <w:rtl w:val="0"/>
              </w:rPr>
              <w:t xml:space="preserve">0.388</w:t>
            </w:r>
          </w:p>
        </w:tc>
      </w:tr>
      <w:tr>
        <w:trPr>
          <w:trHeight w:val="395" w:hRule="atLeast"/>
        </w:trPr>
        <w:tc>
          <w:tcPr>
            <w:tcMar>
              <w:top w:w="100.0" w:type="dxa"/>
              <w:left w:w="100.0" w:type="dxa"/>
              <w:bottom w:w="100.0" w:type="dxa"/>
              <w:right w:w="100.0" w:type="dxa"/>
            </w:tcMar>
          </w:tcPr>
          <w:p w:rsidR="00000000" w:rsidDel="00000000" w:rsidP="00000000" w:rsidRDefault="00000000" w:rsidRPr="00000000" w14:paraId="00000021">
            <w:pPr>
              <w:spacing w:after="0" w:line="276" w:lineRule="auto"/>
              <w:rPr>
                <w:sz w:val="23"/>
                <w:szCs w:val="23"/>
              </w:rPr>
            </w:pPr>
            <w:r w:rsidDel="00000000" w:rsidR="00000000" w:rsidRPr="00000000">
              <w:rPr>
                <w:sz w:val="23"/>
                <w:szCs w:val="23"/>
                <w:rtl w:val="0"/>
              </w:rPr>
              <w:t xml:space="preserve">qt0.5</w:t>
            </w:r>
          </w:p>
        </w:tc>
        <w:tc>
          <w:tcPr>
            <w:tcMar>
              <w:top w:w="100.0" w:type="dxa"/>
              <w:left w:w="100.0" w:type="dxa"/>
              <w:bottom w:w="100.0" w:type="dxa"/>
              <w:right w:w="100.0" w:type="dxa"/>
            </w:tcMar>
          </w:tcPr>
          <w:p w:rsidR="00000000" w:rsidDel="00000000" w:rsidP="00000000" w:rsidRDefault="00000000" w:rsidRPr="00000000" w14:paraId="00000022">
            <w:pPr>
              <w:spacing w:after="0" w:line="276" w:lineRule="auto"/>
              <w:rPr>
                <w:sz w:val="23"/>
                <w:szCs w:val="23"/>
              </w:rPr>
            </w:pPr>
            <w:r w:rsidDel="00000000" w:rsidR="00000000" w:rsidRPr="00000000">
              <w:rPr>
                <w:sz w:val="23"/>
                <w:szCs w:val="23"/>
                <w:rtl w:val="0"/>
              </w:rPr>
              <w:t xml:space="preserve">0.294</w:t>
            </w:r>
          </w:p>
        </w:tc>
        <w:tc>
          <w:tcPr>
            <w:tcMar>
              <w:top w:w="100.0" w:type="dxa"/>
              <w:left w:w="100.0" w:type="dxa"/>
              <w:bottom w:w="100.0" w:type="dxa"/>
              <w:right w:w="100.0" w:type="dxa"/>
            </w:tcMar>
          </w:tcPr>
          <w:p w:rsidR="00000000" w:rsidDel="00000000" w:rsidP="00000000" w:rsidRDefault="00000000" w:rsidRPr="00000000" w14:paraId="00000023">
            <w:pPr>
              <w:spacing w:after="0" w:line="276" w:lineRule="auto"/>
              <w:rPr>
                <w:sz w:val="23"/>
                <w:szCs w:val="23"/>
              </w:rPr>
            </w:pPr>
            <w:r w:rsidDel="00000000" w:rsidR="00000000" w:rsidRPr="00000000">
              <w:rPr>
                <w:sz w:val="23"/>
                <w:szCs w:val="23"/>
                <w:rtl w:val="0"/>
              </w:rPr>
              <w:t xml:space="preserve">0.293</w:t>
            </w:r>
          </w:p>
        </w:tc>
      </w:tr>
      <w:tr>
        <w:trPr>
          <w:trHeight w:val="395" w:hRule="atLeast"/>
        </w:trPr>
        <w:tc>
          <w:tcPr>
            <w:tcMar>
              <w:top w:w="100.0" w:type="dxa"/>
              <w:left w:w="100.0" w:type="dxa"/>
              <w:bottom w:w="100.0" w:type="dxa"/>
              <w:right w:w="100.0" w:type="dxa"/>
            </w:tcMar>
          </w:tcPr>
          <w:p w:rsidR="00000000" w:rsidDel="00000000" w:rsidP="00000000" w:rsidRDefault="00000000" w:rsidRPr="00000000" w14:paraId="00000024">
            <w:pPr>
              <w:spacing w:after="0" w:line="276" w:lineRule="auto"/>
              <w:rPr>
                <w:sz w:val="23"/>
                <w:szCs w:val="23"/>
              </w:rPr>
            </w:pPr>
            <w:r w:rsidDel="00000000" w:rsidR="00000000" w:rsidRPr="00000000">
              <w:rPr>
                <w:sz w:val="23"/>
                <w:szCs w:val="23"/>
                <w:rtl w:val="0"/>
              </w:rPr>
              <w:t xml:space="preserve">qt0.9</w:t>
            </w:r>
          </w:p>
        </w:tc>
        <w:tc>
          <w:tcPr>
            <w:tcMar>
              <w:top w:w="100.0" w:type="dxa"/>
              <w:left w:w="100.0" w:type="dxa"/>
              <w:bottom w:w="100.0" w:type="dxa"/>
              <w:right w:w="100.0" w:type="dxa"/>
            </w:tcMar>
          </w:tcPr>
          <w:p w:rsidR="00000000" w:rsidDel="00000000" w:rsidP="00000000" w:rsidRDefault="00000000" w:rsidRPr="00000000" w14:paraId="00000025">
            <w:pPr>
              <w:spacing w:after="0" w:line="276" w:lineRule="auto"/>
              <w:rPr>
                <w:sz w:val="23"/>
                <w:szCs w:val="23"/>
              </w:rPr>
            </w:pPr>
            <w:r w:rsidDel="00000000" w:rsidR="00000000" w:rsidRPr="00000000">
              <w:rPr>
                <w:sz w:val="23"/>
                <w:szCs w:val="23"/>
                <w:rtl w:val="0"/>
              </w:rPr>
              <w:t xml:space="preserve">0.543</w:t>
            </w:r>
          </w:p>
        </w:tc>
        <w:tc>
          <w:tcPr>
            <w:tcMar>
              <w:top w:w="100.0" w:type="dxa"/>
              <w:left w:w="100.0" w:type="dxa"/>
              <w:bottom w:w="100.0" w:type="dxa"/>
              <w:right w:w="100.0" w:type="dxa"/>
            </w:tcMar>
          </w:tcPr>
          <w:p w:rsidR="00000000" w:rsidDel="00000000" w:rsidP="00000000" w:rsidRDefault="00000000" w:rsidRPr="00000000" w14:paraId="00000026">
            <w:pPr>
              <w:spacing w:after="0" w:line="276" w:lineRule="auto"/>
              <w:rPr>
                <w:sz w:val="23"/>
                <w:szCs w:val="23"/>
              </w:rPr>
            </w:pPr>
            <w:r w:rsidDel="00000000" w:rsidR="00000000" w:rsidRPr="00000000">
              <w:rPr>
                <w:sz w:val="23"/>
                <w:szCs w:val="23"/>
                <w:rtl w:val="0"/>
              </w:rPr>
              <w:t xml:space="preserve">0.557</w:t>
            </w:r>
          </w:p>
        </w:tc>
      </w:tr>
      <w:tr>
        <w:trPr>
          <w:trHeight w:val="395" w:hRule="atLeast"/>
        </w:trPr>
        <w:tc>
          <w:tcPr>
            <w:gridSpan w:val="3"/>
            <w:tcMar>
              <w:top w:w="100.0" w:type="dxa"/>
              <w:left w:w="100.0" w:type="dxa"/>
              <w:bottom w:w="100.0" w:type="dxa"/>
              <w:right w:w="100.0" w:type="dxa"/>
            </w:tcMar>
          </w:tcPr>
          <w:p w:rsidR="00000000" w:rsidDel="00000000" w:rsidP="00000000" w:rsidRDefault="00000000" w:rsidRPr="00000000" w14:paraId="00000027">
            <w:pPr>
              <w:spacing w:after="0" w:line="276" w:lineRule="auto"/>
              <w:rPr>
                <w:sz w:val="23"/>
                <w:szCs w:val="23"/>
              </w:rPr>
            </w:pPr>
            <w:r w:rsidDel="00000000" w:rsidR="00000000" w:rsidRPr="00000000">
              <w:rPr>
                <w:sz w:val="23"/>
                <w:szCs w:val="23"/>
                <w:rtl w:val="0"/>
              </w:rPr>
              <w:t xml:space="preserve">* RMSE.calibration is based on the filtered (1960-2020) and weighted data, while RMSE.alldata considers all available data</w:t>
            </w:r>
          </w:p>
        </w:tc>
      </w:tr>
    </w:tbl>
    <w:p w:rsidR="00000000" w:rsidDel="00000000" w:rsidP="00000000" w:rsidRDefault="00000000" w:rsidRPr="00000000" w14:paraId="0000002A">
      <w:pPr>
        <w:rPr/>
      </w:pPr>
      <w:bookmarkStart w:colFirst="0" w:colLast="0" w:name="_gjdgxs" w:id="0"/>
      <w:bookmarkEnd w:id="0"/>
      <w:r w:rsidDel="00000000" w:rsidR="00000000" w:rsidRPr="00000000">
        <w:rPr>
          <w:rtl w:val="0"/>
        </w:rPr>
      </w:r>
    </w:p>
    <w:sectPr>
      <w:pgSz w:h="16838" w:w="11906" w:orient="portrait"/>
      <w:pgMar w:bottom="1440" w:top="1440" w:left="1797" w:right="179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