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C3A04" w14:textId="5857391D" w:rsidR="00B102DE" w:rsidRPr="009435C9" w:rsidRDefault="00B102DE" w:rsidP="00B102D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AACTT components of the PPRO study.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102DE" w14:paraId="4747F59E" w14:textId="77777777" w:rsidTr="00735C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64A6321" w14:textId="77777777" w:rsidR="00B102DE" w:rsidRPr="007043CE" w:rsidRDefault="00B102DE" w:rsidP="00735CB7">
            <w:pPr>
              <w:spacing w:line="480" w:lineRule="auto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7043CE">
              <w:rPr>
                <w:rFonts w:ascii="Times New Roman" w:hAnsi="Times New Roman" w:cs="Times New Roman"/>
                <w:bCs w:val="0"/>
                <w:sz w:val="24"/>
                <w:szCs w:val="24"/>
              </w:rPr>
              <w:t>AACTT Component</w:t>
            </w:r>
          </w:p>
        </w:tc>
        <w:tc>
          <w:tcPr>
            <w:tcW w:w="6611" w:type="dxa"/>
          </w:tcPr>
          <w:p w14:paraId="6EC99AE3" w14:textId="77777777" w:rsidR="00B102DE" w:rsidRPr="006F0E4E" w:rsidRDefault="00B102DE" w:rsidP="00735CB7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7043CE">
              <w:rPr>
                <w:rFonts w:ascii="Times New Roman" w:hAnsi="Times New Roman" w:cs="Times New Roman"/>
                <w:bCs w:val="0"/>
                <w:sz w:val="24"/>
                <w:szCs w:val="24"/>
              </w:rPr>
              <w:t>PPR</w:t>
            </w:r>
            <w:r w:rsidRPr="007043CE">
              <w:rPr>
                <w:rFonts w:ascii="Times New Roman" w:hAnsi="Times New Roman" w:cs="Times New Roman"/>
                <w:sz w:val="24"/>
                <w:szCs w:val="24"/>
              </w:rPr>
              <w:t>O-Behave study</w:t>
            </w:r>
          </w:p>
        </w:tc>
      </w:tr>
      <w:tr w:rsidR="00B102DE" w14:paraId="1FB40658" w14:textId="77777777" w:rsidTr="00735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EA691AE" w14:textId="77777777" w:rsidR="00B102DE" w:rsidRPr="00F422C1" w:rsidRDefault="00B102DE" w:rsidP="00735CB7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043CE">
              <w:rPr>
                <w:rFonts w:ascii="Times New Roman" w:hAnsi="Times New Roman" w:cs="Times New Roman"/>
                <w:sz w:val="24"/>
                <w:szCs w:val="24"/>
              </w:rPr>
              <w:t>Action(s)</w:t>
            </w:r>
          </w:p>
        </w:tc>
        <w:tc>
          <w:tcPr>
            <w:tcW w:w="6611" w:type="dxa"/>
          </w:tcPr>
          <w:p w14:paraId="472F8D89" w14:textId="77777777" w:rsidR="00B102DE" w:rsidRDefault="00B102DE" w:rsidP="00735CB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2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Recruitment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standard clinical assessment of the patient to determine eligibility. Includes establishing mechanisms of injury and liaising with the team. The decision to recruit a patient typically lies with the consultant.</w:t>
            </w:r>
          </w:p>
          <w:p w14:paraId="0655ABFF" w14:textId="77777777" w:rsidR="00B102DE" w:rsidRPr="00F422C1" w:rsidRDefault="00B102DE" w:rsidP="00735CB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043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Intervention delivery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 </w:t>
            </w:r>
            <w:r w:rsidRPr="00F422C1">
              <w:rPr>
                <w:rFonts w:ascii="Times New Roman" w:hAnsi="Times New Roman" w:cs="Times New Roman"/>
                <w:sz w:val="24"/>
                <w:szCs w:val="24"/>
              </w:rPr>
              <w:t>insertion of a REBOA catheter through the femoral artery (cannulation)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02DE" w14:paraId="00AF79AB" w14:textId="77777777" w:rsidTr="00735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86413FE" w14:textId="77777777" w:rsidR="00B102DE" w:rsidRPr="00F422C1" w:rsidRDefault="00B102DE" w:rsidP="00735CB7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043CE">
              <w:rPr>
                <w:rFonts w:ascii="Times New Roman" w:hAnsi="Times New Roman" w:cs="Times New Roman"/>
                <w:sz w:val="24"/>
                <w:szCs w:val="24"/>
              </w:rPr>
              <w:t>Actor(s)</w:t>
            </w:r>
          </w:p>
        </w:tc>
        <w:tc>
          <w:tcPr>
            <w:tcW w:w="6611" w:type="dxa"/>
          </w:tcPr>
          <w:p w14:paraId="125FCFB1" w14:textId="77777777" w:rsidR="00B102DE" w:rsidRDefault="00B102DE" w:rsidP="00735CB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HEMS team – 2/3 people (usually 1 or 2 doctors and a paramedic, sometimes a registrar). </w:t>
            </w:r>
          </w:p>
        </w:tc>
      </w:tr>
      <w:tr w:rsidR="00B102DE" w14:paraId="56B20A6A" w14:textId="77777777" w:rsidTr="00735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6DB49B8" w14:textId="77777777" w:rsidR="00B102DE" w:rsidRPr="00F422C1" w:rsidRDefault="00B102DE" w:rsidP="00735CB7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043CE">
              <w:rPr>
                <w:rFonts w:ascii="Times New Roman" w:hAnsi="Times New Roman" w:cs="Times New Roman"/>
                <w:sz w:val="24"/>
                <w:szCs w:val="24"/>
              </w:rPr>
              <w:t>Context</w:t>
            </w:r>
          </w:p>
        </w:tc>
        <w:tc>
          <w:tcPr>
            <w:tcW w:w="6611" w:type="dxa"/>
          </w:tcPr>
          <w:p w14:paraId="05A80552" w14:textId="77777777" w:rsidR="00B102DE" w:rsidRDefault="00B102DE" w:rsidP="00735CB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2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Physical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setting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outdoors, can be in turbulent conditions, in a public place (e.g. train station) or indoors in a private residence.</w:t>
            </w:r>
          </w:p>
          <w:p w14:paraId="19E0C1D4" w14:textId="77777777" w:rsidR="00B102DE" w:rsidRDefault="00B102DE" w:rsidP="00735CB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2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Emotional setting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stressful, unpredictable, can be situated in a violent scenario (e.g. cases that involve violence).</w:t>
            </w:r>
          </w:p>
          <w:p w14:paraId="5E78ADD7" w14:textId="77777777" w:rsidR="00B102DE" w:rsidRDefault="00B102DE" w:rsidP="00735CB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2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Geography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distance from hospital can vary. </w:t>
            </w:r>
          </w:p>
        </w:tc>
      </w:tr>
      <w:tr w:rsidR="00B102DE" w14:paraId="6DDD777C" w14:textId="77777777" w:rsidTr="00735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7466146" w14:textId="77777777" w:rsidR="00B102DE" w:rsidRPr="00F422C1" w:rsidRDefault="00B102DE" w:rsidP="00735CB7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043CE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</w:p>
        </w:tc>
        <w:tc>
          <w:tcPr>
            <w:tcW w:w="6611" w:type="dxa"/>
          </w:tcPr>
          <w:p w14:paraId="320E68F6" w14:textId="77777777" w:rsidR="00B102DE" w:rsidRDefault="00B102DE" w:rsidP="00735CB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Patients with rapid life threatening bleeding (eligible for the REBOA intervention).  </w:t>
            </w:r>
          </w:p>
        </w:tc>
      </w:tr>
      <w:tr w:rsidR="00B102DE" w14:paraId="07DFBAA0" w14:textId="77777777" w:rsidTr="00735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43DD33F" w14:textId="77777777" w:rsidR="00B102DE" w:rsidRPr="00F422C1" w:rsidRDefault="00B102DE" w:rsidP="00735CB7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043CE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6611" w:type="dxa"/>
          </w:tcPr>
          <w:p w14:paraId="32DDF3D3" w14:textId="77777777" w:rsidR="00B102DE" w:rsidRDefault="00B102DE" w:rsidP="00735CB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Any time of day. Most commonly after school, and around 11pm-1am on Friday/Saturday nights. </w:t>
            </w:r>
          </w:p>
        </w:tc>
      </w:tr>
    </w:tbl>
    <w:p w14:paraId="1BB829A8" w14:textId="77777777" w:rsidR="002818B7" w:rsidRDefault="002818B7"/>
    <w:sectPr w:rsidR="002818B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3EBFF" w14:textId="77777777" w:rsidR="00B102DE" w:rsidRDefault="00B102DE" w:rsidP="00B102DE">
      <w:pPr>
        <w:spacing w:after="0" w:line="240" w:lineRule="auto"/>
      </w:pPr>
      <w:r>
        <w:separator/>
      </w:r>
    </w:p>
  </w:endnote>
  <w:endnote w:type="continuationSeparator" w:id="0">
    <w:p w14:paraId="4920BB66" w14:textId="77777777" w:rsidR="00B102DE" w:rsidRDefault="00B102DE" w:rsidP="00B10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3AD36" w14:textId="77777777" w:rsidR="00B102DE" w:rsidRDefault="00B102DE" w:rsidP="00B102DE">
      <w:pPr>
        <w:spacing w:after="0" w:line="240" w:lineRule="auto"/>
      </w:pPr>
      <w:r>
        <w:separator/>
      </w:r>
    </w:p>
  </w:footnote>
  <w:footnote w:type="continuationSeparator" w:id="0">
    <w:p w14:paraId="5041EB42" w14:textId="77777777" w:rsidR="00B102DE" w:rsidRDefault="00B102DE" w:rsidP="00B10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AB691" w14:textId="16867718" w:rsidR="00B102DE" w:rsidRPr="00B102DE" w:rsidRDefault="00235475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Additional</w:t>
    </w:r>
    <w:r w:rsidR="00B102DE" w:rsidRPr="00B102DE">
      <w:rPr>
        <w:rFonts w:ascii="Times New Roman" w:hAnsi="Times New Roman" w:cs="Times New Roman"/>
        <w:b/>
        <w:bCs/>
        <w:sz w:val="24"/>
        <w:szCs w:val="24"/>
      </w:rPr>
      <w:t xml:space="preserve"> file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2DE"/>
    <w:rsid w:val="00235475"/>
    <w:rsid w:val="002818B7"/>
    <w:rsid w:val="00B1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67B70"/>
  <w15:chartTrackingRefBased/>
  <w15:docId w15:val="{88DA9942-6ABF-476F-9D08-72D20039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2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B102D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B102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2DE"/>
  </w:style>
  <w:style w:type="paragraph" w:styleId="Footer">
    <w:name w:val="footer"/>
    <w:basedOn w:val="Normal"/>
    <w:link w:val="FooterChar"/>
    <w:uiPriority w:val="99"/>
    <w:unhideWhenUsed/>
    <w:rsid w:val="00B102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864</Characters>
  <Application>Microsoft Office Word</Application>
  <DocSecurity>0</DocSecurity>
  <Lines>7</Lines>
  <Paragraphs>2</Paragraphs>
  <ScaleCrop>false</ScaleCrop>
  <Company>University of Aberdeen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Lawrie, Louisa</dc:creator>
  <cp:keywords/>
  <dc:description/>
  <cp:lastModifiedBy>Lawrie, Louisa</cp:lastModifiedBy>
  <cp:revision>2</cp:revision>
  <dcterms:created xsi:type="dcterms:W3CDTF">2022-06-16T10:13:00Z</dcterms:created>
  <dcterms:modified xsi:type="dcterms:W3CDTF">2022-06-16T10:13:00Z</dcterms:modified>
</cp:coreProperties>
</file>