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B08438C" w14:textId="34C92C5C" w:rsidR="00C42332" w:rsidRDefault="00C42332" w:rsidP="00D12863">
      <w:pPr>
        <w:spacing w:after="43" w:line="240" w:lineRule="auto"/>
        <w:ind w:left="0" w:firstLine="0"/>
        <w:rPr>
          <w:bCs/>
          <w:szCs w:val="20"/>
        </w:rPr>
      </w:pPr>
    </w:p>
    <w:p w14:paraId="24B7A1E3" w14:textId="33CA3A7D" w:rsidR="00997756" w:rsidRDefault="00997756" w:rsidP="00D12863">
      <w:pPr>
        <w:spacing w:after="43" w:line="240" w:lineRule="auto"/>
        <w:ind w:left="0" w:firstLine="0"/>
        <w:rPr>
          <w:bCs/>
          <w:szCs w:val="20"/>
        </w:rPr>
      </w:pPr>
    </w:p>
    <w:p w14:paraId="18140039" w14:textId="77777777" w:rsidR="00997756" w:rsidRPr="00B70E0D" w:rsidRDefault="00997756" w:rsidP="00997756">
      <w:pPr>
        <w:pStyle w:val="NormalWeb"/>
      </w:pPr>
      <w:r>
        <w:rPr>
          <w:rFonts w:ascii="NimbusSanL" w:hAnsi="NimbusSanL"/>
          <w:b/>
          <w:bCs/>
          <w:sz w:val="40"/>
          <w:szCs w:val="40"/>
        </w:rPr>
        <w:t xml:space="preserve">Pre-motor vs. motor cerebral cortex </w:t>
      </w:r>
      <w:proofErr w:type="spellStart"/>
      <w:r>
        <w:rPr>
          <w:rFonts w:ascii="NimbusSanL" w:hAnsi="NimbusSanL"/>
          <w:b/>
          <w:bCs/>
          <w:sz w:val="40"/>
          <w:szCs w:val="40"/>
        </w:rPr>
        <w:t>neuromodulation</w:t>
      </w:r>
      <w:proofErr w:type="spellEnd"/>
      <w:r>
        <w:rPr>
          <w:rFonts w:ascii="NimbusSanL" w:hAnsi="NimbusSanL"/>
          <w:b/>
          <w:bCs/>
          <w:sz w:val="40"/>
          <w:szCs w:val="40"/>
        </w:rPr>
        <w:t xml:space="preserve"> for chronic neuropathic pain </w:t>
      </w:r>
      <w:r w:rsidRPr="00B70E0D">
        <w:rPr>
          <w:b/>
        </w:rPr>
        <w:t xml:space="preserve"> </w:t>
      </w:r>
    </w:p>
    <w:p w14:paraId="52595423" w14:textId="77777777" w:rsidR="00997756" w:rsidRPr="00C306BA" w:rsidRDefault="00997756" w:rsidP="00997756">
      <w:pPr>
        <w:spacing w:after="22" w:line="240" w:lineRule="auto"/>
        <w:ind w:left="0" w:firstLine="0"/>
        <w:rPr>
          <w:rFonts w:ascii="NimbusSanL" w:hAnsi="NimbusSanL"/>
          <w:b/>
          <w:bCs/>
          <w:sz w:val="24"/>
        </w:rPr>
      </w:pPr>
      <w:r w:rsidRPr="00C306BA">
        <w:rPr>
          <w:rFonts w:ascii="NimbusSanL" w:hAnsi="NimbusSanL"/>
          <w:b/>
          <w:bCs/>
          <w:sz w:val="24"/>
        </w:rPr>
        <w:t>Igor Lavrov</w:t>
      </w:r>
      <w:r w:rsidRPr="00733F8C">
        <w:rPr>
          <w:rFonts w:ascii="NimbusSanL" w:hAnsi="NimbusSanL"/>
          <w:sz w:val="24"/>
          <w:vertAlign w:val="superscript"/>
        </w:rPr>
        <w:t>1,</w:t>
      </w:r>
      <w:r>
        <w:rPr>
          <w:rFonts w:ascii="NimbusSanL" w:hAnsi="NimbusSanL"/>
          <w:sz w:val="24"/>
          <w:vertAlign w:val="superscript"/>
        </w:rPr>
        <w:t>2</w:t>
      </w:r>
      <w:r w:rsidRPr="00733F8C">
        <w:rPr>
          <w:rFonts w:ascii="NimbusSanL" w:hAnsi="NimbusSanL"/>
          <w:sz w:val="24"/>
          <w:vertAlign w:val="superscript"/>
        </w:rPr>
        <w:t>,</w:t>
      </w:r>
      <w:r>
        <w:rPr>
          <w:rFonts w:ascii="NimbusSanL" w:hAnsi="NimbusSanL"/>
          <w:sz w:val="24"/>
          <w:vertAlign w:val="superscript"/>
        </w:rPr>
        <w:t>3</w:t>
      </w:r>
      <w:r w:rsidRPr="00733F8C">
        <w:rPr>
          <w:rFonts w:ascii="NimbusSanL" w:hAnsi="NimbusSanL"/>
          <w:sz w:val="24"/>
          <w:vertAlign w:val="superscript"/>
        </w:rPr>
        <w:t>*</w:t>
      </w:r>
      <w:r w:rsidRPr="00733F8C">
        <w:rPr>
          <w:rFonts w:ascii="NimbusSanL" w:hAnsi="NimbusSanL"/>
          <w:sz w:val="24"/>
        </w:rPr>
        <w:t xml:space="preserve">, </w:t>
      </w:r>
      <w:proofErr w:type="spellStart"/>
      <w:r w:rsidRPr="00C306BA">
        <w:rPr>
          <w:rFonts w:ascii="NimbusSanL" w:hAnsi="NimbusSanL"/>
          <w:b/>
          <w:bCs/>
          <w:sz w:val="24"/>
        </w:rPr>
        <w:t>Timur</w:t>
      </w:r>
      <w:proofErr w:type="spellEnd"/>
      <w:r w:rsidRPr="00C306BA">
        <w:rPr>
          <w:rFonts w:ascii="NimbusSanL" w:hAnsi="NimbusSanL"/>
          <w:b/>
          <w:bCs/>
          <w:sz w:val="24"/>
        </w:rPr>
        <w:t xml:space="preserve"> Latypov</w:t>
      </w:r>
      <w:r>
        <w:rPr>
          <w:rFonts w:ascii="NimbusSanL" w:hAnsi="NimbusSanL"/>
          <w:sz w:val="24"/>
          <w:vertAlign w:val="superscript"/>
        </w:rPr>
        <w:t>4</w:t>
      </w:r>
      <w:r w:rsidRPr="00733F8C">
        <w:rPr>
          <w:rFonts w:ascii="NimbusSanL" w:hAnsi="NimbusSanL"/>
          <w:sz w:val="24"/>
          <w:vertAlign w:val="superscript"/>
        </w:rPr>
        <w:t>,</w:t>
      </w:r>
      <w:r>
        <w:rPr>
          <w:rFonts w:ascii="NimbusSanL" w:hAnsi="NimbusSanL"/>
          <w:sz w:val="24"/>
          <w:vertAlign w:val="superscript"/>
        </w:rPr>
        <w:t>5</w:t>
      </w:r>
      <w:r w:rsidRPr="00C306BA">
        <w:rPr>
          <w:rFonts w:ascii="NimbusSanL" w:hAnsi="NimbusSanL"/>
          <w:b/>
          <w:bCs/>
          <w:sz w:val="24"/>
        </w:rPr>
        <w:t>, Elvira Mukhametova</w:t>
      </w:r>
      <w:r>
        <w:rPr>
          <w:rFonts w:ascii="NimbusSanL" w:hAnsi="NimbusSanL"/>
          <w:sz w:val="24"/>
          <w:vertAlign w:val="superscript"/>
        </w:rPr>
        <w:t>3</w:t>
      </w:r>
      <w:r w:rsidRPr="00C306BA">
        <w:rPr>
          <w:rFonts w:ascii="NimbusSanL" w:hAnsi="NimbusSanL"/>
          <w:b/>
          <w:bCs/>
          <w:sz w:val="24"/>
        </w:rPr>
        <w:t>, Brian Lundstrom</w:t>
      </w:r>
      <w:r w:rsidRPr="00733F8C">
        <w:rPr>
          <w:rFonts w:ascii="NimbusSanL" w:hAnsi="NimbusSanL"/>
          <w:sz w:val="24"/>
          <w:vertAlign w:val="superscript"/>
        </w:rPr>
        <w:t>1</w:t>
      </w:r>
      <w:r w:rsidRPr="00C306BA">
        <w:rPr>
          <w:rFonts w:ascii="NimbusSanL" w:hAnsi="NimbusSanL"/>
          <w:b/>
          <w:bCs/>
          <w:sz w:val="24"/>
        </w:rPr>
        <w:t>, Paola Sandroni</w:t>
      </w:r>
      <w:r w:rsidRPr="00733F8C">
        <w:rPr>
          <w:rFonts w:ascii="NimbusSanL" w:hAnsi="NimbusSanL"/>
          <w:sz w:val="24"/>
          <w:vertAlign w:val="superscript"/>
        </w:rPr>
        <w:t>1</w:t>
      </w:r>
      <w:r w:rsidRPr="00C306BA">
        <w:rPr>
          <w:rFonts w:ascii="NimbusSanL" w:hAnsi="NimbusSanL"/>
          <w:b/>
          <w:bCs/>
          <w:sz w:val="24"/>
        </w:rPr>
        <w:t>, Kendall Lee</w:t>
      </w:r>
      <w:r>
        <w:rPr>
          <w:rFonts w:ascii="NimbusSanL" w:hAnsi="NimbusSanL"/>
          <w:sz w:val="24"/>
          <w:vertAlign w:val="superscript"/>
        </w:rPr>
        <w:t>6</w:t>
      </w:r>
      <w:r w:rsidRPr="00C306BA">
        <w:rPr>
          <w:rFonts w:ascii="NimbusSanL" w:hAnsi="NimbusSanL"/>
          <w:b/>
          <w:bCs/>
          <w:sz w:val="24"/>
        </w:rPr>
        <w:t>, Bryan Klassen</w:t>
      </w:r>
      <w:r w:rsidRPr="00733F8C">
        <w:rPr>
          <w:rFonts w:ascii="NimbusSanL" w:hAnsi="NimbusSanL"/>
          <w:sz w:val="24"/>
          <w:vertAlign w:val="superscript"/>
        </w:rPr>
        <w:t>1</w:t>
      </w:r>
      <w:r w:rsidRPr="00C306BA">
        <w:rPr>
          <w:rFonts w:ascii="NimbusSanL" w:hAnsi="NimbusSanL"/>
          <w:b/>
          <w:bCs/>
          <w:sz w:val="24"/>
        </w:rPr>
        <w:t xml:space="preserve"> &amp; Matt Stead</w:t>
      </w:r>
      <w:r w:rsidRPr="00733F8C">
        <w:rPr>
          <w:rFonts w:ascii="NimbusSanL" w:hAnsi="NimbusSanL"/>
          <w:sz w:val="24"/>
          <w:vertAlign w:val="superscript"/>
        </w:rPr>
        <w:t>1</w:t>
      </w:r>
    </w:p>
    <w:p w14:paraId="47FD9CDA" w14:textId="77777777" w:rsidR="00997756" w:rsidRPr="005B4EF7" w:rsidRDefault="00997756" w:rsidP="00997756">
      <w:pPr>
        <w:spacing w:after="11" w:line="240" w:lineRule="auto"/>
        <w:ind w:left="0" w:firstLine="0"/>
        <w:rPr>
          <w:rFonts w:ascii="NimbusRomNo9L" w:hAnsi="NimbusRomNo9L"/>
          <w:szCs w:val="20"/>
        </w:rPr>
      </w:pPr>
      <w:r w:rsidRPr="005B4EF7">
        <w:rPr>
          <w:rFonts w:ascii="NimbusRomNo9L" w:hAnsi="NimbusRomNo9L"/>
          <w:szCs w:val="20"/>
        </w:rPr>
        <w:t xml:space="preserve">Author affiliation: </w:t>
      </w:r>
    </w:p>
    <w:p w14:paraId="677744BD" w14:textId="77777777" w:rsidR="00997756" w:rsidRDefault="00997756" w:rsidP="00997756">
      <w:pPr>
        <w:spacing w:after="20" w:line="240" w:lineRule="auto"/>
        <w:ind w:left="0" w:firstLine="0"/>
        <w:rPr>
          <w:rFonts w:ascii="NimbusRomNo9L" w:hAnsi="NimbusRomNo9L"/>
          <w:szCs w:val="20"/>
        </w:rPr>
      </w:pPr>
      <w:r w:rsidRPr="005B4EF7">
        <w:rPr>
          <w:rFonts w:ascii="NimbusRomNo9L" w:hAnsi="NimbusRomNo9L"/>
          <w:szCs w:val="20"/>
          <w:vertAlign w:val="superscript"/>
        </w:rPr>
        <w:t>1</w:t>
      </w:r>
      <w:r w:rsidRPr="005B4EF7">
        <w:rPr>
          <w:rFonts w:ascii="NimbusRomNo9L" w:hAnsi="NimbusRomNo9L"/>
          <w:szCs w:val="20"/>
        </w:rPr>
        <w:t xml:space="preserve">Department of Neurology, Mayo Clinic, Rochester, MN, USA </w:t>
      </w:r>
    </w:p>
    <w:p w14:paraId="6594F5ED" w14:textId="77777777" w:rsidR="00997756" w:rsidRDefault="00997756" w:rsidP="00997756">
      <w:pPr>
        <w:spacing w:after="21" w:line="240" w:lineRule="auto"/>
        <w:ind w:left="0" w:firstLine="0"/>
        <w:rPr>
          <w:rFonts w:ascii="NimbusRomNo9L" w:hAnsi="NimbusRomNo9L"/>
          <w:szCs w:val="20"/>
        </w:rPr>
      </w:pPr>
      <w:r>
        <w:rPr>
          <w:rFonts w:ascii="NimbusRomNo9L" w:hAnsi="NimbusRomNo9L"/>
          <w:szCs w:val="20"/>
          <w:vertAlign w:val="superscript"/>
        </w:rPr>
        <w:t>2</w:t>
      </w:r>
      <w:r w:rsidRPr="005B4EF7">
        <w:rPr>
          <w:rFonts w:ascii="NimbusRomNo9L" w:hAnsi="NimbusRomNo9L"/>
          <w:szCs w:val="20"/>
        </w:rPr>
        <w:t xml:space="preserve">Department of Biomedical Engineering, Mayo Clinic, Rochester, MN, USA </w:t>
      </w:r>
    </w:p>
    <w:p w14:paraId="1EAB7B30" w14:textId="77777777" w:rsidR="00997756" w:rsidRDefault="00997756" w:rsidP="00997756">
      <w:pPr>
        <w:spacing w:after="20" w:line="240" w:lineRule="auto"/>
        <w:ind w:left="0" w:firstLine="0"/>
        <w:rPr>
          <w:rFonts w:ascii="NimbusRomNo9L" w:hAnsi="NimbusRomNo9L"/>
          <w:szCs w:val="20"/>
        </w:rPr>
      </w:pPr>
      <w:r>
        <w:rPr>
          <w:rFonts w:ascii="NimbusRomNo9L" w:hAnsi="NimbusRomNo9L"/>
          <w:szCs w:val="20"/>
          <w:vertAlign w:val="superscript"/>
        </w:rPr>
        <w:t>3</w:t>
      </w:r>
      <w:r w:rsidRPr="005B4EF7">
        <w:rPr>
          <w:rFonts w:ascii="NimbusRomNo9L" w:hAnsi="NimbusRomNo9L"/>
          <w:szCs w:val="20"/>
        </w:rPr>
        <w:t xml:space="preserve">Institute of Fundamental Medicine and Biology, Kazan Federal University, Kazan, Russia </w:t>
      </w:r>
    </w:p>
    <w:p w14:paraId="33A19E1B" w14:textId="77777777" w:rsidR="00997756" w:rsidRPr="005B4EF7" w:rsidRDefault="00997756" w:rsidP="00997756">
      <w:pPr>
        <w:spacing w:after="20" w:line="240" w:lineRule="auto"/>
        <w:ind w:left="0" w:firstLine="0"/>
        <w:rPr>
          <w:rFonts w:ascii="NimbusRomNo9L" w:hAnsi="NimbusRomNo9L"/>
          <w:szCs w:val="20"/>
        </w:rPr>
      </w:pPr>
      <w:r>
        <w:rPr>
          <w:rFonts w:ascii="NimbusRomNo9L" w:hAnsi="NimbusRomNo9L"/>
          <w:szCs w:val="20"/>
          <w:vertAlign w:val="superscript"/>
        </w:rPr>
        <w:t>4</w:t>
      </w:r>
      <w:r w:rsidRPr="005B4EF7">
        <w:rPr>
          <w:rFonts w:ascii="NimbusRomNo9L" w:hAnsi="NimbusRomNo9L"/>
          <w:szCs w:val="20"/>
        </w:rPr>
        <w:t xml:space="preserve">Division of Brain, Imaging, and Behaviour Systems Neuroscience, </w:t>
      </w:r>
      <w:proofErr w:type="spellStart"/>
      <w:r w:rsidRPr="005B4EF7">
        <w:rPr>
          <w:rFonts w:ascii="NimbusRomNo9L" w:hAnsi="NimbusRomNo9L"/>
          <w:szCs w:val="20"/>
        </w:rPr>
        <w:t>Krembil</w:t>
      </w:r>
      <w:proofErr w:type="spellEnd"/>
      <w:r w:rsidRPr="005B4EF7">
        <w:rPr>
          <w:rFonts w:ascii="NimbusRomNo9L" w:hAnsi="NimbusRomNo9L"/>
          <w:szCs w:val="20"/>
        </w:rPr>
        <w:t xml:space="preserve"> Research Institute, Toronto Western Hospital, University Health Network, Toronto, Ontario, Canada</w:t>
      </w:r>
    </w:p>
    <w:p w14:paraId="5A3B3817" w14:textId="77777777" w:rsidR="00997756" w:rsidRPr="00CA5CFF" w:rsidRDefault="00997756" w:rsidP="00997756">
      <w:pPr>
        <w:spacing w:after="20" w:line="240" w:lineRule="auto"/>
        <w:ind w:left="0" w:firstLine="0"/>
        <w:rPr>
          <w:rFonts w:ascii="NimbusRomNo9L" w:hAnsi="NimbusRomNo9L"/>
          <w:szCs w:val="20"/>
        </w:rPr>
      </w:pPr>
      <w:r>
        <w:rPr>
          <w:rFonts w:ascii="NimbusRomNo9L" w:hAnsi="NimbusRomNo9L"/>
          <w:szCs w:val="20"/>
          <w:vertAlign w:val="superscript"/>
        </w:rPr>
        <w:t>5</w:t>
      </w:r>
      <w:r w:rsidRPr="005B4EF7">
        <w:rPr>
          <w:rFonts w:ascii="NimbusRomNo9L" w:hAnsi="NimbusRomNo9L"/>
          <w:szCs w:val="20"/>
        </w:rPr>
        <w:t>Institute of Medical Science, Faculty of Medicine, University of Toronto, Toronto, Ontario, Canada</w:t>
      </w:r>
    </w:p>
    <w:p w14:paraId="2CE3B2BB" w14:textId="77777777" w:rsidR="00997756" w:rsidRPr="00CA5CFF" w:rsidRDefault="00997756" w:rsidP="00997756">
      <w:pPr>
        <w:spacing w:after="20" w:line="240" w:lineRule="auto"/>
        <w:ind w:left="0" w:firstLine="0"/>
        <w:rPr>
          <w:rFonts w:ascii="NimbusRomNo9L" w:hAnsi="NimbusRomNo9L"/>
          <w:szCs w:val="20"/>
        </w:rPr>
      </w:pPr>
      <w:r>
        <w:rPr>
          <w:rFonts w:ascii="NimbusRomNo9L" w:hAnsi="NimbusRomNo9L"/>
          <w:szCs w:val="20"/>
          <w:vertAlign w:val="superscript"/>
        </w:rPr>
        <w:t>6</w:t>
      </w:r>
      <w:r w:rsidRPr="005B4EF7">
        <w:rPr>
          <w:rFonts w:ascii="NimbusRomNo9L" w:hAnsi="NimbusRomNo9L"/>
          <w:szCs w:val="20"/>
        </w:rPr>
        <w:t xml:space="preserve">Department of Neurologic Surgery, Mayo Clinic, Rochester, MN, USA </w:t>
      </w:r>
    </w:p>
    <w:p w14:paraId="364C8ABF" w14:textId="77777777" w:rsidR="00997756" w:rsidRPr="005B4EF7" w:rsidRDefault="00997756" w:rsidP="00997756">
      <w:pPr>
        <w:tabs>
          <w:tab w:val="left" w:pos="0"/>
        </w:tabs>
        <w:spacing w:after="107" w:line="240" w:lineRule="auto"/>
        <w:ind w:left="0" w:firstLine="0"/>
        <w:rPr>
          <w:rFonts w:ascii="NimbusRomNo9L" w:hAnsi="NimbusRomNo9L"/>
          <w:szCs w:val="20"/>
        </w:rPr>
      </w:pPr>
      <w:r w:rsidRPr="005B4EF7">
        <w:rPr>
          <w:rFonts w:ascii="NimbusRomNo9L" w:hAnsi="NimbusRomNo9L"/>
          <w:szCs w:val="20"/>
          <w:vertAlign w:val="superscript"/>
        </w:rPr>
        <w:t>*</w:t>
      </w:r>
      <w:r w:rsidRPr="005B4EF7">
        <w:rPr>
          <w:rFonts w:ascii="NimbusRomNo9L" w:hAnsi="NimbusRomNo9L"/>
          <w:szCs w:val="20"/>
        </w:rPr>
        <w:t xml:space="preserve">Corresponding author: I. </w:t>
      </w:r>
      <w:proofErr w:type="spellStart"/>
      <w:r w:rsidRPr="005B4EF7">
        <w:rPr>
          <w:rFonts w:ascii="NimbusRomNo9L" w:hAnsi="NimbusRomNo9L"/>
          <w:szCs w:val="20"/>
        </w:rPr>
        <w:t>Lavrov</w:t>
      </w:r>
      <w:proofErr w:type="spellEnd"/>
      <w:r w:rsidRPr="005B4EF7">
        <w:rPr>
          <w:rFonts w:ascii="NimbusRomNo9L" w:hAnsi="NimbusRomNo9L"/>
          <w:szCs w:val="20"/>
        </w:rPr>
        <w:t xml:space="preserve"> (</w:t>
      </w:r>
      <w:proofErr w:type="gramStart"/>
      <w:r w:rsidRPr="005B4EF7">
        <w:rPr>
          <w:rFonts w:ascii="NimbusRomNo9L" w:hAnsi="NimbusRomNo9L"/>
          <w:szCs w:val="20"/>
        </w:rPr>
        <w:t>igor.lavrov@gmail.com )</w:t>
      </w:r>
      <w:proofErr w:type="gramEnd"/>
    </w:p>
    <w:p w14:paraId="703289A6" w14:textId="5DD7A701" w:rsidR="00997756" w:rsidRDefault="00997756" w:rsidP="00D12863">
      <w:pPr>
        <w:spacing w:after="43" w:line="240" w:lineRule="auto"/>
        <w:ind w:left="0" w:firstLine="0"/>
        <w:rPr>
          <w:bCs/>
          <w:szCs w:val="20"/>
        </w:rPr>
      </w:pPr>
    </w:p>
    <w:p w14:paraId="352EBB63" w14:textId="5CD79FA0" w:rsidR="00997756" w:rsidRDefault="00997756" w:rsidP="00D12863">
      <w:pPr>
        <w:spacing w:after="43" w:line="240" w:lineRule="auto"/>
        <w:ind w:left="0" w:firstLine="0"/>
        <w:rPr>
          <w:bCs/>
          <w:szCs w:val="20"/>
        </w:rPr>
      </w:pPr>
    </w:p>
    <w:p w14:paraId="5713B516" w14:textId="2A16DF6A" w:rsidR="00997756" w:rsidRDefault="00997756" w:rsidP="00D12863">
      <w:pPr>
        <w:spacing w:after="43" w:line="240" w:lineRule="auto"/>
        <w:ind w:left="0" w:firstLine="0"/>
        <w:rPr>
          <w:bCs/>
          <w:szCs w:val="20"/>
        </w:rPr>
      </w:pPr>
    </w:p>
    <w:p w14:paraId="4A85B7DB" w14:textId="06EB17F1" w:rsidR="00997756" w:rsidRDefault="00997756" w:rsidP="00D12863">
      <w:pPr>
        <w:spacing w:after="43" w:line="240" w:lineRule="auto"/>
        <w:ind w:left="0" w:firstLine="0"/>
        <w:rPr>
          <w:bCs/>
          <w:szCs w:val="20"/>
        </w:rPr>
      </w:pPr>
    </w:p>
    <w:p w14:paraId="040221B1" w14:textId="60D32C0F" w:rsidR="00997756" w:rsidRDefault="00997756" w:rsidP="00D12863">
      <w:pPr>
        <w:spacing w:after="43" w:line="240" w:lineRule="auto"/>
        <w:ind w:left="0" w:firstLine="0"/>
        <w:rPr>
          <w:bCs/>
          <w:szCs w:val="20"/>
        </w:rPr>
      </w:pPr>
    </w:p>
    <w:p w14:paraId="204E3476" w14:textId="733F53C1" w:rsidR="00997756" w:rsidRDefault="00997756" w:rsidP="00D12863">
      <w:pPr>
        <w:spacing w:after="43" w:line="240" w:lineRule="auto"/>
        <w:ind w:left="0" w:firstLine="0"/>
        <w:rPr>
          <w:bCs/>
          <w:szCs w:val="20"/>
        </w:rPr>
      </w:pPr>
    </w:p>
    <w:p w14:paraId="5F7CF87D" w14:textId="5855CA78" w:rsidR="00997756" w:rsidRDefault="00997756" w:rsidP="00D12863">
      <w:pPr>
        <w:spacing w:after="43" w:line="240" w:lineRule="auto"/>
        <w:ind w:left="0" w:firstLine="0"/>
        <w:rPr>
          <w:bCs/>
          <w:szCs w:val="20"/>
        </w:rPr>
      </w:pPr>
    </w:p>
    <w:p w14:paraId="6E454F7B" w14:textId="7407257B" w:rsidR="00997756" w:rsidRDefault="00997756" w:rsidP="00D12863">
      <w:pPr>
        <w:spacing w:after="43" w:line="240" w:lineRule="auto"/>
        <w:ind w:left="0" w:firstLine="0"/>
        <w:rPr>
          <w:bCs/>
          <w:szCs w:val="20"/>
        </w:rPr>
      </w:pPr>
    </w:p>
    <w:p w14:paraId="060905DC" w14:textId="0E441279" w:rsidR="00997756" w:rsidRPr="00D12863" w:rsidRDefault="00997756" w:rsidP="00D12863">
      <w:pPr>
        <w:spacing w:after="43" w:line="240" w:lineRule="auto"/>
        <w:ind w:left="0" w:firstLine="0"/>
        <w:rPr>
          <w:bCs/>
          <w:szCs w:val="20"/>
        </w:rPr>
      </w:pPr>
      <w:bookmarkStart w:id="0" w:name="_GoBack"/>
      <w:bookmarkEnd w:id="0"/>
    </w:p>
    <w:tbl>
      <w:tblPr>
        <w:tblStyle w:val="1"/>
        <w:tblW w:w="9362" w:type="dxa"/>
        <w:tblInd w:w="139" w:type="dxa"/>
        <w:tblCellMar>
          <w:top w:w="82" w:type="dxa"/>
          <w:left w:w="79" w:type="dxa"/>
          <w:right w:w="41" w:type="dxa"/>
        </w:tblCellMar>
        <w:tblLook w:val="04A0" w:firstRow="1" w:lastRow="0" w:firstColumn="1" w:lastColumn="0" w:noHBand="0" w:noVBand="1"/>
      </w:tblPr>
      <w:tblGrid>
        <w:gridCol w:w="438"/>
        <w:gridCol w:w="1864"/>
        <w:gridCol w:w="934"/>
        <w:gridCol w:w="1643"/>
        <w:gridCol w:w="975"/>
        <w:gridCol w:w="1546"/>
        <w:gridCol w:w="1962"/>
      </w:tblGrid>
      <w:tr w:rsidR="00D12863" w:rsidRPr="00D12863" w14:paraId="7B7B7171" w14:textId="77777777" w:rsidTr="000D28EF">
        <w:trPr>
          <w:trHeight w:val="900"/>
        </w:trPr>
        <w:tc>
          <w:tcPr>
            <w:tcW w:w="438" w:type="dxa"/>
            <w:tcBorders>
              <w:top w:val="single" w:sz="2" w:space="0" w:color="000000"/>
              <w:left w:val="single" w:sz="2" w:space="0" w:color="000000"/>
              <w:bottom w:val="single" w:sz="2" w:space="0" w:color="000000"/>
              <w:right w:val="single" w:sz="2" w:space="0" w:color="000000"/>
            </w:tcBorders>
            <w:vAlign w:val="center"/>
          </w:tcPr>
          <w:p w14:paraId="48022454" w14:textId="77777777" w:rsidR="00D12863" w:rsidRPr="00D12863" w:rsidRDefault="00D12863" w:rsidP="00D12863">
            <w:pPr>
              <w:spacing w:after="0" w:line="240" w:lineRule="auto"/>
              <w:ind w:left="0" w:firstLine="0"/>
              <w:jc w:val="left"/>
              <w:rPr>
                <w:szCs w:val="20"/>
              </w:rPr>
            </w:pPr>
            <w:r w:rsidRPr="00D12863">
              <w:rPr>
                <w:b/>
                <w:szCs w:val="20"/>
              </w:rPr>
              <w:t>№</w:t>
            </w:r>
            <w:r w:rsidRPr="00D12863">
              <w:rPr>
                <w:szCs w:val="20"/>
              </w:rPr>
              <w:t xml:space="preserve"> </w:t>
            </w:r>
          </w:p>
        </w:tc>
        <w:tc>
          <w:tcPr>
            <w:tcW w:w="1864" w:type="dxa"/>
            <w:tcBorders>
              <w:top w:val="single" w:sz="2" w:space="0" w:color="000000"/>
              <w:left w:val="single" w:sz="2" w:space="0" w:color="000000"/>
              <w:bottom w:val="single" w:sz="2" w:space="0" w:color="000000"/>
              <w:right w:val="single" w:sz="2" w:space="0" w:color="000000"/>
            </w:tcBorders>
            <w:vAlign w:val="center"/>
          </w:tcPr>
          <w:p w14:paraId="15389285" w14:textId="77777777" w:rsidR="00D12863" w:rsidRPr="00D12863" w:rsidRDefault="00D12863" w:rsidP="00D12863">
            <w:pPr>
              <w:spacing w:after="0" w:line="240" w:lineRule="auto"/>
              <w:ind w:left="0" w:right="40" w:firstLine="0"/>
              <w:jc w:val="center"/>
              <w:rPr>
                <w:szCs w:val="20"/>
              </w:rPr>
            </w:pPr>
            <w:r w:rsidRPr="00D12863">
              <w:rPr>
                <w:b/>
                <w:szCs w:val="20"/>
              </w:rPr>
              <w:t>Author, year</w:t>
            </w:r>
            <w:r w:rsidRPr="00D12863">
              <w:rPr>
                <w:szCs w:val="20"/>
              </w:rPr>
              <w:t xml:space="preserve"> </w:t>
            </w:r>
          </w:p>
        </w:tc>
        <w:tc>
          <w:tcPr>
            <w:tcW w:w="934" w:type="dxa"/>
            <w:tcBorders>
              <w:top w:val="single" w:sz="2" w:space="0" w:color="000000"/>
              <w:left w:val="single" w:sz="2" w:space="0" w:color="000000"/>
              <w:bottom w:val="single" w:sz="2" w:space="0" w:color="000000"/>
              <w:right w:val="single" w:sz="2" w:space="0" w:color="000000"/>
            </w:tcBorders>
            <w:vAlign w:val="center"/>
          </w:tcPr>
          <w:p w14:paraId="3659B04A" w14:textId="77777777" w:rsidR="00D12863" w:rsidRPr="00D12863" w:rsidRDefault="00D12863" w:rsidP="00D12863">
            <w:pPr>
              <w:spacing w:after="0" w:line="240" w:lineRule="auto"/>
              <w:ind w:left="0" w:firstLine="0"/>
              <w:jc w:val="center"/>
              <w:rPr>
                <w:szCs w:val="20"/>
              </w:rPr>
            </w:pPr>
            <w:r w:rsidRPr="00D12863">
              <w:rPr>
                <w:b/>
                <w:szCs w:val="20"/>
              </w:rPr>
              <w:t>N of patients</w:t>
            </w:r>
            <w:r w:rsidRPr="00D12863">
              <w:rPr>
                <w:szCs w:val="20"/>
              </w:rPr>
              <w:t xml:space="preserve"> </w:t>
            </w:r>
          </w:p>
        </w:tc>
        <w:tc>
          <w:tcPr>
            <w:tcW w:w="1643" w:type="dxa"/>
            <w:tcBorders>
              <w:top w:val="single" w:sz="2" w:space="0" w:color="000000"/>
              <w:left w:val="single" w:sz="2" w:space="0" w:color="000000"/>
              <w:bottom w:val="single" w:sz="2" w:space="0" w:color="000000"/>
              <w:right w:val="single" w:sz="2" w:space="0" w:color="000000"/>
            </w:tcBorders>
            <w:vAlign w:val="center"/>
          </w:tcPr>
          <w:p w14:paraId="29CCD4A9" w14:textId="77777777" w:rsidR="00D12863" w:rsidRPr="00D12863" w:rsidRDefault="00D12863" w:rsidP="00D12863">
            <w:pPr>
              <w:spacing w:after="0" w:line="240" w:lineRule="auto"/>
              <w:ind w:left="0" w:right="39" w:firstLine="0"/>
              <w:jc w:val="center"/>
              <w:rPr>
                <w:szCs w:val="20"/>
              </w:rPr>
            </w:pPr>
            <w:r w:rsidRPr="00D12863">
              <w:rPr>
                <w:b/>
                <w:szCs w:val="20"/>
              </w:rPr>
              <w:t>Pain type</w:t>
            </w:r>
            <w:r w:rsidRPr="00D12863">
              <w:rPr>
                <w:szCs w:val="20"/>
              </w:rPr>
              <w:t xml:space="preserve"> </w:t>
            </w:r>
          </w:p>
        </w:tc>
        <w:tc>
          <w:tcPr>
            <w:tcW w:w="975" w:type="dxa"/>
            <w:tcBorders>
              <w:top w:val="single" w:sz="2" w:space="0" w:color="000000"/>
              <w:left w:val="single" w:sz="2" w:space="0" w:color="000000"/>
              <w:bottom w:val="single" w:sz="2" w:space="0" w:color="000000"/>
              <w:right w:val="single" w:sz="2" w:space="0" w:color="000000"/>
            </w:tcBorders>
            <w:vAlign w:val="center"/>
          </w:tcPr>
          <w:p w14:paraId="32071FB4" w14:textId="70F8BEFF" w:rsidR="00D12863" w:rsidRPr="00D12863" w:rsidRDefault="00D12863" w:rsidP="00D12863">
            <w:pPr>
              <w:spacing w:after="21" w:line="240" w:lineRule="auto"/>
              <w:ind w:left="0" w:right="34" w:firstLine="0"/>
              <w:jc w:val="center"/>
              <w:rPr>
                <w:szCs w:val="20"/>
              </w:rPr>
            </w:pPr>
            <w:r w:rsidRPr="00D12863">
              <w:rPr>
                <w:b/>
                <w:szCs w:val="20"/>
              </w:rPr>
              <w:t xml:space="preserve">Success on TS </w:t>
            </w:r>
          </w:p>
          <w:p w14:paraId="5657FABB" w14:textId="77777777" w:rsidR="00D12863" w:rsidRPr="00D12863" w:rsidRDefault="00D12863" w:rsidP="00D12863">
            <w:pPr>
              <w:spacing w:after="0" w:line="240" w:lineRule="auto"/>
              <w:ind w:left="0" w:right="41" w:firstLine="0"/>
              <w:jc w:val="center"/>
              <w:rPr>
                <w:szCs w:val="20"/>
              </w:rPr>
            </w:pPr>
            <w:r w:rsidRPr="00D12863">
              <w:rPr>
                <w:b/>
                <w:szCs w:val="20"/>
              </w:rPr>
              <w:t>#</w:t>
            </w:r>
            <w:r w:rsidRPr="00D12863">
              <w:rPr>
                <w:szCs w:val="20"/>
              </w:rPr>
              <w:t xml:space="preserve"> </w:t>
            </w:r>
          </w:p>
        </w:tc>
        <w:tc>
          <w:tcPr>
            <w:tcW w:w="1546" w:type="dxa"/>
            <w:tcBorders>
              <w:top w:val="single" w:sz="2" w:space="0" w:color="000000"/>
              <w:left w:val="single" w:sz="2" w:space="0" w:color="000000"/>
              <w:bottom w:val="single" w:sz="2" w:space="0" w:color="000000"/>
              <w:right w:val="single" w:sz="2" w:space="0" w:color="000000"/>
            </w:tcBorders>
          </w:tcPr>
          <w:p w14:paraId="083AB692" w14:textId="77777777" w:rsidR="00D12863" w:rsidRPr="00D12863" w:rsidRDefault="00D12863" w:rsidP="00D12863">
            <w:pPr>
              <w:spacing w:after="0" w:line="240" w:lineRule="auto"/>
              <w:ind w:left="0" w:firstLine="0"/>
              <w:jc w:val="center"/>
              <w:rPr>
                <w:szCs w:val="20"/>
              </w:rPr>
            </w:pPr>
            <w:r w:rsidRPr="00D12863">
              <w:rPr>
                <w:b/>
                <w:szCs w:val="20"/>
              </w:rPr>
              <w:t xml:space="preserve">Long-term success/ </w:t>
            </w:r>
          </w:p>
          <w:p w14:paraId="4F7AC253" w14:textId="77777777" w:rsidR="00D12863" w:rsidRPr="00D12863" w:rsidRDefault="00D12863" w:rsidP="00D12863">
            <w:pPr>
              <w:spacing w:after="0" w:line="240" w:lineRule="auto"/>
              <w:ind w:left="0" w:firstLine="0"/>
              <w:jc w:val="center"/>
              <w:rPr>
                <w:szCs w:val="20"/>
              </w:rPr>
            </w:pPr>
            <w:r w:rsidRPr="00D12863">
              <w:rPr>
                <w:b/>
                <w:szCs w:val="20"/>
              </w:rPr>
              <w:t>Pain relief(control)</w:t>
            </w:r>
            <w:r w:rsidRPr="00D12863">
              <w:rPr>
                <w:szCs w:val="20"/>
              </w:rPr>
              <w:t xml:space="preserve"> </w:t>
            </w:r>
          </w:p>
        </w:tc>
        <w:tc>
          <w:tcPr>
            <w:tcW w:w="1962" w:type="dxa"/>
            <w:tcBorders>
              <w:top w:val="single" w:sz="2" w:space="0" w:color="000000"/>
              <w:left w:val="single" w:sz="2" w:space="0" w:color="000000"/>
              <w:bottom w:val="single" w:sz="2" w:space="0" w:color="000000"/>
              <w:right w:val="single" w:sz="2" w:space="0" w:color="000000"/>
            </w:tcBorders>
            <w:vAlign w:val="center"/>
          </w:tcPr>
          <w:p w14:paraId="337DC857" w14:textId="77777777" w:rsidR="00D12863" w:rsidRPr="00D12863" w:rsidRDefault="00D12863" w:rsidP="00D12863">
            <w:pPr>
              <w:spacing w:after="0" w:line="240" w:lineRule="auto"/>
              <w:ind w:left="0" w:right="35" w:firstLine="0"/>
              <w:jc w:val="center"/>
              <w:rPr>
                <w:szCs w:val="20"/>
              </w:rPr>
            </w:pPr>
            <w:r w:rsidRPr="00D12863">
              <w:rPr>
                <w:b/>
                <w:szCs w:val="20"/>
              </w:rPr>
              <w:t>Side effects</w:t>
            </w:r>
            <w:r w:rsidRPr="00D12863">
              <w:rPr>
                <w:szCs w:val="20"/>
              </w:rPr>
              <w:t xml:space="preserve"> </w:t>
            </w:r>
          </w:p>
        </w:tc>
      </w:tr>
      <w:tr w:rsidR="00D12863" w:rsidRPr="00D12863" w14:paraId="1231026F" w14:textId="77777777" w:rsidTr="000D28EF">
        <w:trPr>
          <w:trHeight w:val="533"/>
        </w:trPr>
        <w:tc>
          <w:tcPr>
            <w:tcW w:w="438" w:type="dxa"/>
            <w:tcBorders>
              <w:top w:val="single" w:sz="2" w:space="0" w:color="000000"/>
              <w:left w:val="single" w:sz="2" w:space="0" w:color="000000"/>
              <w:bottom w:val="single" w:sz="2" w:space="0" w:color="000000"/>
              <w:right w:val="single" w:sz="2" w:space="0" w:color="000000"/>
            </w:tcBorders>
            <w:vAlign w:val="center"/>
          </w:tcPr>
          <w:p w14:paraId="49BBF2F6" w14:textId="77777777" w:rsidR="00D12863" w:rsidRPr="00D12863" w:rsidRDefault="00D12863" w:rsidP="00D12863">
            <w:pPr>
              <w:spacing w:after="0" w:line="240" w:lineRule="auto"/>
              <w:ind w:left="0" w:right="39" w:firstLine="0"/>
              <w:jc w:val="center"/>
              <w:rPr>
                <w:szCs w:val="20"/>
              </w:rPr>
            </w:pPr>
            <w:r w:rsidRPr="00D12863">
              <w:rPr>
                <w:szCs w:val="20"/>
              </w:rPr>
              <w:t xml:space="preserve">1 </w:t>
            </w:r>
          </w:p>
        </w:tc>
        <w:tc>
          <w:tcPr>
            <w:tcW w:w="1864" w:type="dxa"/>
            <w:tcBorders>
              <w:top w:val="single" w:sz="2" w:space="0" w:color="000000"/>
              <w:left w:val="single" w:sz="2" w:space="0" w:color="000000"/>
              <w:bottom w:val="single" w:sz="2" w:space="0" w:color="000000"/>
              <w:right w:val="single" w:sz="2" w:space="0" w:color="000000"/>
            </w:tcBorders>
            <w:vAlign w:val="center"/>
          </w:tcPr>
          <w:p w14:paraId="4A64AB65" w14:textId="77777777" w:rsidR="00D12863" w:rsidRPr="00D12863" w:rsidRDefault="00D12863" w:rsidP="00D12863">
            <w:pPr>
              <w:spacing w:after="0" w:line="240" w:lineRule="auto"/>
              <w:ind w:left="0" w:right="36" w:firstLine="0"/>
              <w:jc w:val="center"/>
              <w:rPr>
                <w:szCs w:val="20"/>
              </w:rPr>
            </w:pPr>
            <w:proofErr w:type="spellStart"/>
            <w:r w:rsidRPr="00D12863">
              <w:rPr>
                <w:szCs w:val="20"/>
              </w:rPr>
              <w:t>Tsubokawa</w:t>
            </w:r>
            <w:proofErr w:type="spellEnd"/>
            <w:r w:rsidRPr="00D12863">
              <w:rPr>
                <w:szCs w:val="20"/>
              </w:rPr>
              <w:t xml:space="preserve"> et al., 1991 </w:t>
            </w:r>
            <w:r w:rsidRPr="00D12863">
              <w:rPr>
                <w:szCs w:val="20"/>
              </w:rPr>
              <w:fldChar w:fldCharType="begin" w:fldLock="1"/>
            </w:r>
            <w:r w:rsidRPr="00D12863">
              <w:rPr>
                <w:szCs w:val="20"/>
              </w:rPr>
              <w:instrText>ADDIN CSL_CITATION {"citationItems":[{"id":"ITEM-1","itemData":{"DOI":"10.1111/j.1540-8159.1991.tb04058.x","ISSN":"15408159","abstract":"All forms of therapy, including chronic stimulation of the thalamic relay nucleus, can provide satisfactory pain control in only 20%‐30% of cases of thalamic pain syndrome. In order to develop a more effective treatment for fhalamic pain syndrome, we investigated the effects of stimulation of various brain regions on the burst hyperactivity of thalamic neurons recorded in cats after deafferentiation of the spinothalamic pathway. Complete, long‐ term inhibition of the burst hyperactivity was induced by stimulation of the motor cortex, Based on this experimental finding, we treated seven cases of thalamic pain syndrome by chronic motor cortex stimulation employing epidural plate electrodes. Excellent or good pain control was obtained in all cases without any complications or side effects. During the stimulation, an increase in regional blood flow of the cerebral cortex and thalamus, a marked rise in temperature of the painful skin regions, and improved movements of the painful limbs were observed. These results suggest that thalamic pain syndrome can be most effectively treated by chronic motor cortex stimulation. Copyright © 1991, Wiley Blackwell. All rights reserved","author":[{"dropping-particle":"","family":"TSUBOKAWA","given":"TAKASHI","non-dropping-particle":"","parse-names":false,"suffix":""},{"dropping-particle":"","family":"KATAYAMA","given":"YOICHI","non-dropping-particle":"","parse-names":false,"suffix":""},{"dropping-particle":"","family":"YAMAMOTO","given":"TAKAMITSU","non-dropping-particle":"","parse-names":false,"suffix":""},{"dropping-particle":"","family":"HIRAYAMA","given":"TERUYASU","non-dropping-particle":"","parse-names":false,"suffix":""},{"dropping-particle":"","family":"KOYAMA","given":"SEIGOU","non-dropping-particle":"","parse-names":false,"suffix":""}],"container-title":"Pacing and Clinical Electrophysiology","id":"ITEM-1","issue":"1","issued":{"date-parts":[["1991"]]},"page":"131-134","title":"Treatment of Thalamic Pain by Chronic Motor Cortex Stimulation","type":"article-journal","volume":"14"},"uris":["http://www.mendeley.com/documents/?uuid=cc7bdde4-ed2c-4dfb-9812-734534cb75d1"]}],"mendeley":{"formattedCitation":"&lt;sup&gt;8&lt;/sup&gt;","plainTextFormattedCitation":"8","previouslyFormattedCitation":"(8)"},"properties":{"noteIndex":0},"schema":"https://github.com/citation-style-language/schema/raw/master/csl-citation.json"}</w:instrText>
            </w:r>
            <w:r w:rsidRPr="00D12863">
              <w:rPr>
                <w:szCs w:val="20"/>
              </w:rPr>
              <w:fldChar w:fldCharType="separate"/>
            </w:r>
            <w:r w:rsidRPr="00D12863">
              <w:rPr>
                <w:noProof/>
                <w:szCs w:val="20"/>
                <w:vertAlign w:val="superscript"/>
              </w:rPr>
              <w:t>8</w:t>
            </w:r>
            <w:r w:rsidRPr="00D12863">
              <w:rPr>
                <w:szCs w:val="20"/>
              </w:rPr>
              <w:fldChar w:fldCharType="end"/>
            </w:r>
            <w:r w:rsidRPr="00D12863">
              <w:rPr>
                <w:szCs w:val="20"/>
              </w:rPr>
              <w:t>.</w:t>
            </w:r>
          </w:p>
        </w:tc>
        <w:tc>
          <w:tcPr>
            <w:tcW w:w="934" w:type="dxa"/>
            <w:tcBorders>
              <w:top w:val="single" w:sz="2" w:space="0" w:color="000000"/>
              <w:left w:val="single" w:sz="2" w:space="0" w:color="000000"/>
              <w:bottom w:val="single" w:sz="2" w:space="0" w:color="000000"/>
              <w:right w:val="single" w:sz="2" w:space="0" w:color="000000"/>
            </w:tcBorders>
            <w:vAlign w:val="center"/>
          </w:tcPr>
          <w:p w14:paraId="13102E57" w14:textId="77777777" w:rsidR="00D12863" w:rsidRPr="00D12863" w:rsidRDefault="00D12863" w:rsidP="00D12863">
            <w:pPr>
              <w:spacing w:after="0" w:line="240" w:lineRule="auto"/>
              <w:ind w:left="0" w:right="39" w:firstLine="0"/>
              <w:jc w:val="center"/>
              <w:rPr>
                <w:szCs w:val="20"/>
              </w:rPr>
            </w:pPr>
            <w:r w:rsidRPr="00D12863">
              <w:rPr>
                <w:szCs w:val="20"/>
              </w:rPr>
              <w:t xml:space="preserve">7 </w:t>
            </w:r>
          </w:p>
        </w:tc>
        <w:tc>
          <w:tcPr>
            <w:tcW w:w="1643" w:type="dxa"/>
            <w:tcBorders>
              <w:top w:val="single" w:sz="2" w:space="0" w:color="000000"/>
              <w:left w:val="single" w:sz="2" w:space="0" w:color="000000"/>
              <w:bottom w:val="single" w:sz="2" w:space="0" w:color="000000"/>
              <w:right w:val="single" w:sz="2" w:space="0" w:color="000000"/>
            </w:tcBorders>
            <w:vAlign w:val="center"/>
          </w:tcPr>
          <w:p w14:paraId="6ECE819D" w14:textId="77777777" w:rsidR="00D12863" w:rsidRPr="00D12863" w:rsidRDefault="00D12863" w:rsidP="00D12863">
            <w:pPr>
              <w:spacing w:after="0" w:line="240" w:lineRule="auto"/>
              <w:ind w:left="0" w:right="40" w:firstLine="0"/>
              <w:jc w:val="center"/>
              <w:rPr>
                <w:szCs w:val="20"/>
              </w:rPr>
            </w:pPr>
            <w:r w:rsidRPr="00D12863">
              <w:rPr>
                <w:szCs w:val="20"/>
              </w:rPr>
              <w:t xml:space="preserve">CPS </w:t>
            </w:r>
          </w:p>
        </w:tc>
        <w:tc>
          <w:tcPr>
            <w:tcW w:w="975" w:type="dxa"/>
            <w:tcBorders>
              <w:top w:val="single" w:sz="2" w:space="0" w:color="000000"/>
              <w:left w:val="single" w:sz="2" w:space="0" w:color="000000"/>
              <w:bottom w:val="single" w:sz="2" w:space="0" w:color="000000"/>
              <w:right w:val="single" w:sz="2" w:space="0" w:color="000000"/>
            </w:tcBorders>
            <w:vAlign w:val="center"/>
          </w:tcPr>
          <w:p w14:paraId="034F6537" w14:textId="77777777" w:rsidR="00D12863" w:rsidRPr="00D12863" w:rsidRDefault="00D12863" w:rsidP="00D12863">
            <w:pPr>
              <w:spacing w:after="0" w:line="240" w:lineRule="auto"/>
              <w:ind w:left="0" w:right="39" w:firstLine="0"/>
              <w:jc w:val="center"/>
              <w:rPr>
                <w:szCs w:val="20"/>
              </w:rPr>
            </w:pPr>
            <w:r w:rsidRPr="00D12863">
              <w:rPr>
                <w:szCs w:val="20"/>
              </w:rPr>
              <w:t xml:space="preserve">NA </w:t>
            </w:r>
          </w:p>
        </w:tc>
        <w:tc>
          <w:tcPr>
            <w:tcW w:w="1546" w:type="dxa"/>
            <w:tcBorders>
              <w:top w:val="single" w:sz="2" w:space="0" w:color="000000"/>
              <w:left w:val="single" w:sz="2" w:space="0" w:color="000000"/>
              <w:bottom w:val="single" w:sz="2" w:space="0" w:color="000000"/>
              <w:right w:val="single" w:sz="2" w:space="0" w:color="000000"/>
            </w:tcBorders>
            <w:vAlign w:val="center"/>
          </w:tcPr>
          <w:p w14:paraId="17EAA827" w14:textId="77777777" w:rsidR="00D12863" w:rsidRPr="00D12863" w:rsidRDefault="00D12863" w:rsidP="00D12863">
            <w:pPr>
              <w:spacing w:after="0" w:line="240" w:lineRule="auto"/>
              <w:ind w:left="0" w:right="41" w:firstLine="0"/>
              <w:jc w:val="center"/>
              <w:rPr>
                <w:szCs w:val="20"/>
              </w:rPr>
            </w:pPr>
            <w:r w:rsidRPr="00D12863">
              <w:rPr>
                <w:szCs w:val="20"/>
              </w:rPr>
              <w:t xml:space="preserve">~71/100% </w:t>
            </w:r>
          </w:p>
        </w:tc>
        <w:tc>
          <w:tcPr>
            <w:tcW w:w="1962" w:type="dxa"/>
            <w:tcBorders>
              <w:top w:val="single" w:sz="2" w:space="0" w:color="000000"/>
              <w:left w:val="single" w:sz="2" w:space="0" w:color="000000"/>
              <w:bottom w:val="single" w:sz="2" w:space="0" w:color="000000"/>
              <w:right w:val="single" w:sz="2" w:space="0" w:color="000000"/>
            </w:tcBorders>
            <w:vAlign w:val="center"/>
          </w:tcPr>
          <w:p w14:paraId="2041AA5A" w14:textId="77777777" w:rsidR="00D12863" w:rsidRPr="00D12863" w:rsidRDefault="00D12863" w:rsidP="00D12863">
            <w:pPr>
              <w:spacing w:after="0" w:line="240" w:lineRule="auto"/>
              <w:ind w:left="0" w:right="36" w:firstLine="0"/>
              <w:jc w:val="center"/>
              <w:rPr>
                <w:szCs w:val="20"/>
              </w:rPr>
            </w:pPr>
            <w:r w:rsidRPr="00D12863">
              <w:rPr>
                <w:szCs w:val="20"/>
              </w:rPr>
              <w:t xml:space="preserve">·· </w:t>
            </w:r>
          </w:p>
        </w:tc>
      </w:tr>
      <w:tr w:rsidR="00D12863" w:rsidRPr="00D12863" w14:paraId="67FF821C" w14:textId="77777777" w:rsidTr="000D28EF">
        <w:trPr>
          <w:trHeight w:val="533"/>
        </w:trPr>
        <w:tc>
          <w:tcPr>
            <w:tcW w:w="438" w:type="dxa"/>
            <w:tcBorders>
              <w:top w:val="single" w:sz="2" w:space="0" w:color="000000"/>
              <w:left w:val="single" w:sz="2" w:space="0" w:color="000000"/>
              <w:bottom w:val="single" w:sz="2" w:space="0" w:color="000000"/>
              <w:right w:val="single" w:sz="2" w:space="0" w:color="000000"/>
            </w:tcBorders>
            <w:vAlign w:val="center"/>
          </w:tcPr>
          <w:p w14:paraId="7D371797" w14:textId="77777777" w:rsidR="00D12863" w:rsidRPr="00D12863" w:rsidRDefault="00D12863" w:rsidP="00D12863">
            <w:pPr>
              <w:spacing w:after="0" w:line="240" w:lineRule="auto"/>
              <w:ind w:left="0" w:right="39" w:firstLine="0"/>
              <w:jc w:val="center"/>
              <w:rPr>
                <w:szCs w:val="20"/>
              </w:rPr>
            </w:pPr>
            <w:r w:rsidRPr="00D12863">
              <w:rPr>
                <w:szCs w:val="20"/>
              </w:rPr>
              <w:t xml:space="preserve">2 </w:t>
            </w:r>
          </w:p>
        </w:tc>
        <w:tc>
          <w:tcPr>
            <w:tcW w:w="1864" w:type="dxa"/>
            <w:tcBorders>
              <w:top w:val="single" w:sz="2" w:space="0" w:color="000000"/>
              <w:left w:val="single" w:sz="2" w:space="0" w:color="000000"/>
              <w:bottom w:val="single" w:sz="2" w:space="0" w:color="000000"/>
              <w:right w:val="single" w:sz="2" w:space="0" w:color="000000"/>
            </w:tcBorders>
            <w:vAlign w:val="center"/>
          </w:tcPr>
          <w:p w14:paraId="4590EFB2" w14:textId="77777777" w:rsidR="00D12863" w:rsidRPr="00D12863" w:rsidRDefault="00D12863" w:rsidP="00D12863">
            <w:pPr>
              <w:spacing w:after="0" w:line="240" w:lineRule="auto"/>
              <w:ind w:left="0" w:firstLine="0"/>
              <w:jc w:val="left"/>
              <w:rPr>
                <w:szCs w:val="20"/>
              </w:rPr>
            </w:pPr>
            <w:r w:rsidRPr="00D12863">
              <w:rPr>
                <w:szCs w:val="20"/>
              </w:rPr>
              <w:t xml:space="preserve">Meyerson  BA et al., 1993 </w:t>
            </w:r>
            <w:r w:rsidRPr="00D12863">
              <w:rPr>
                <w:szCs w:val="20"/>
              </w:rPr>
              <w:fldChar w:fldCharType="begin" w:fldLock="1"/>
            </w:r>
            <w:r w:rsidRPr="00D12863">
              <w:rPr>
                <w:szCs w:val="20"/>
              </w:rPr>
              <w:instrText>ADDIN CSL_CITATION {"citationItems":[{"id":"ITEM-1","itemData":{"DOI":"10.1007/978-3-7091-9297-9_34","ISSN":"00651419","abstract":"A report is given on first experiences with motor cortex stimulation in 10 patients with different forms of neuropathic pain. Three of them had central pain as sequelae of cerebrovascular disease. In none of them did the stimulation provide pain relief. Two patients had pain from peripheral nerve injuries. One did not respond, but the other obtained about 50% pain relief. The remaining 5 patients with trigeminal neuropathy experienced definite pain relief varying between 60 and 90%. During test stimulation most patients had one or two short-lasting generalized seizures. But no one had any motor effects after permanent implantation. Motor cortex stimulation appears to be a new and promising possibility of pain treatment, especially in cases with trigeminal neuropathy, but many problems have yet to be solved, before a clear indication could be given.","author":[{"dropping-particle":"","family":"Meyerson","given":"B. A.","non-dropping-particle":"","parse-names":false,"suffix":""},{"dropping-particle":"","family":"Lindblom","given":"U.","non-dropping-particle":"","parse-names":false,"suffix":""},{"dropping-particle":"","family":"Linderoth","given":"B.","non-dropping-particle":"","parse-names":false,"suffix":""},{"dropping-particle":"","family":"Lind","given":"G.","non-dropping-particle":"","parse-names":false,"suffix":""},{"dropping-particle":"","family":"Herregodts","given":"P.","non-dropping-particle":"","parse-names":false,"suffix":""}],"container-title":"Acta neurochirurgica. Supplementum","id":"ITEM-1","issued":{"date-parts":[["1993"]]},"page":"150-153","title":"Motor cortex stimulation as treatment of trigeminal neuropathic pain.","type":"article-journal","volume":"58"},"uris":["http://www.mendeley.com/documents/?uuid=7205779d-b5e9-4474-af07-21e0aa1ebda2"]}],"mendeley":{"formattedCitation":"&lt;sup&gt;43&lt;/sup&gt;","plainTextFormattedCitation":"43","previouslyFormattedCitation":"(41)"},"properties":{"noteIndex":0},"schema":"https://github.com/citation-style-language/schema/raw/master/csl-citation.json"}</w:instrText>
            </w:r>
            <w:r w:rsidRPr="00D12863">
              <w:rPr>
                <w:szCs w:val="20"/>
              </w:rPr>
              <w:fldChar w:fldCharType="separate"/>
            </w:r>
            <w:r w:rsidRPr="00D12863">
              <w:rPr>
                <w:noProof/>
                <w:szCs w:val="20"/>
                <w:vertAlign w:val="superscript"/>
              </w:rPr>
              <w:t>43</w:t>
            </w:r>
            <w:r w:rsidRPr="00D12863">
              <w:rPr>
                <w:szCs w:val="20"/>
              </w:rPr>
              <w:fldChar w:fldCharType="end"/>
            </w:r>
            <w:r w:rsidRPr="00D12863">
              <w:rPr>
                <w:szCs w:val="20"/>
              </w:rPr>
              <w:t>.</w:t>
            </w:r>
          </w:p>
        </w:tc>
        <w:tc>
          <w:tcPr>
            <w:tcW w:w="934" w:type="dxa"/>
            <w:tcBorders>
              <w:top w:val="single" w:sz="2" w:space="0" w:color="000000"/>
              <w:left w:val="single" w:sz="2" w:space="0" w:color="000000"/>
              <w:bottom w:val="single" w:sz="2" w:space="0" w:color="000000"/>
              <w:right w:val="single" w:sz="2" w:space="0" w:color="000000"/>
            </w:tcBorders>
            <w:vAlign w:val="center"/>
          </w:tcPr>
          <w:p w14:paraId="6448529C" w14:textId="77777777" w:rsidR="00D12863" w:rsidRPr="00D12863" w:rsidRDefault="00D12863" w:rsidP="00D12863">
            <w:pPr>
              <w:spacing w:after="0" w:line="240" w:lineRule="auto"/>
              <w:ind w:left="0" w:right="39" w:firstLine="0"/>
              <w:jc w:val="center"/>
              <w:rPr>
                <w:szCs w:val="20"/>
              </w:rPr>
            </w:pPr>
            <w:r w:rsidRPr="00D12863">
              <w:rPr>
                <w:szCs w:val="20"/>
              </w:rPr>
              <w:t xml:space="preserve">10 </w:t>
            </w:r>
          </w:p>
        </w:tc>
        <w:tc>
          <w:tcPr>
            <w:tcW w:w="1643" w:type="dxa"/>
            <w:tcBorders>
              <w:top w:val="single" w:sz="2" w:space="0" w:color="000000"/>
              <w:left w:val="single" w:sz="2" w:space="0" w:color="000000"/>
              <w:bottom w:val="single" w:sz="2" w:space="0" w:color="000000"/>
              <w:right w:val="single" w:sz="2" w:space="0" w:color="000000"/>
            </w:tcBorders>
            <w:vAlign w:val="center"/>
          </w:tcPr>
          <w:p w14:paraId="4596076F" w14:textId="77777777" w:rsidR="00D12863" w:rsidRPr="00D12863" w:rsidRDefault="00D12863" w:rsidP="00D12863">
            <w:pPr>
              <w:spacing w:after="0" w:line="240" w:lineRule="auto"/>
              <w:ind w:left="0" w:right="40" w:firstLine="0"/>
              <w:jc w:val="center"/>
              <w:rPr>
                <w:szCs w:val="20"/>
              </w:rPr>
            </w:pPr>
            <w:r w:rsidRPr="00D12863">
              <w:rPr>
                <w:szCs w:val="20"/>
              </w:rPr>
              <w:t xml:space="preserve">TN; CPS; PPTN </w:t>
            </w:r>
          </w:p>
        </w:tc>
        <w:tc>
          <w:tcPr>
            <w:tcW w:w="975" w:type="dxa"/>
            <w:tcBorders>
              <w:top w:val="single" w:sz="2" w:space="0" w:color="000000"/>
              <w:left w:val="single" w:sz="2" w:space="0" w:color="000000"/>
              <w:bottom w:val="single" w:sz="2" w:space="0" w:color="000000"/>
              <w:right w:val="single" w:sz="2" w:space="0" w:color="000000"/>
            </w:tcBorders>
            <w:vAlign w:val="center"/>
          </w:tcPr>
          <w:p w14:paraId="27A80238" w14:textId="77777777" w:rsidR="00D12863" w:rsidRPr="00D12863" w:rsidRDefault="00D12863" w:rsidP="00D12863">
            <w:pPr>
              <w:spacing w:after="0" w:line="240" w:lineRule="auto"/>
              <w:ind w:left="0" w:right="38" w:firstLine="0"/>
              <w:jc w:val="center"/>
              <w:rPr>
                <w:szCs w:val="20"/>
              </w:rPr>
            </w:pPr>
            <w:r w:rsidRPr="00D12863">
              <w:rPr>
                <w:szCs w:val="20"/>
              </w:rPr>
              <w:t xml:space="preserve">90% </w:t>
            </w:r>
          </w:p>
        </w:tc>
        <w:tc>
          <w:tcPr>
            <w:tcW w:w="1546" w:type="dxa"/>
            <w:tcBorders>
              <w:top w:val="single" w:sz="2" w:space="0" w:color="000000"/>
              <w:left w:val="single" w:sz="2" w:space="0" w:color="000000"/>
              <w:bottom w:val="single" w:sz="2" w:space="0" w:color="000000"/>
              <w:right w:val="single" w:sz="2" w:space="0" w:color="000000"/>
            </w:tcBorders>
            <w:vAlign w:val="center"/>
          </w:tcPr>
          <w:p w14:paraId="7369F076" w14:textId="77777777" w:rsidR="00D12863" w:rsidRPr="00D12863" w:rsidRDefault="00D12863" w:rsidP="00D12863">
            <w:pPr>
              <w:spacing w:after="0" w:line="240" w:lineRule="auto"/>
              <w:ind w:left="0" w:firstLine="0"/>
              <w:jc w:val="left"/>
              <w:rPr>
                <w:szCs w:val="20"/>
              </w:rPr>
            </w:pPr>
            <w:r w:rsidRPr="00D12863">
              <w:rPr>
                <w:szCs w:val="20"/>
              </w:rPr>
              <w:t xml:space="preserve">50% /~60-90% </w:t>
            </w:r>
          </w:p>
        </w:tc>
        <w:tc>
          <w:tcPr>
            <w:tcW w:w="1962" w:type="dxa"/>
            <w:tcBorders>
              <w:top w:val="single" w:sz="2" w:space="0" w:color="000000"/>
              <w:left w:val="single" w:sz="2" w:space="0" w:color="000000"/>
              <w:bottom w:val="single" w:sz="2" w:space="0" w:color="000000"/>
              <w:right w:val="single" w:sz="2" w:space="0" w:color="000000"/>
            </w:tcBorders>
          </w:tcPr>
          <w:p w14:paraId="423AE211" w14:textId="77777777" w:rsidR="00D12863" w:rsidRPr="00D12863" w:rsidRDefault="00D12863" w:rsidP="00D12863">
            <w:pPr>
              <w:spacing w:after="0" w:line="240" w:lineRule="auto"/>
              <w:ind w:left="0" w:firstLine="0"/>
              <w:jc w:val="center"/>
              <w:rPr>
                <w:szCs w:val="20"/>
              </w:rPr>
            </w:pPr>
            <w:r w:rsidRPr="00D12863">
              <w:rPr>
                <w:szCs w:val="20"/>
              </w:rPr>
              <w:t xml:space="preserve">Short-lasting generalized seizures during TS </w:t>
            </w:r>
          </w:p>
        </w:tc>
      </w:tr>
      <w:tr w:rsidR="00D12863" w:rsidRPr="00D12863" w14:paraId="6DD79D0F" w14:textId="77777777" w:rsidTr="000D28EF">
        <w:trPr>
          <w:trHeight w:val="533"/>
        </w:trPr>
        <w:tc>
          <w:tcPr>
            <w:tcW w:w="438" w:type="dxa"/>
            <w:tcBorders>
              <w:top w:val="single" w:sz="2" w:space="0" w:color="000000"/>
              <w:left w:val="single" w:sz="2" w:space="0" w:color="000000"/>
              <w:bottom w:val="single" w:sz="2" w:space="0" w:color="000000"/>
              <w:right w:val="single" w:sz="2" w:space="0" w:color="000000"/>
            </w:tcBorders>
            <w:vAlign w:val="center"/>
          </w:tcPr>
          <w:p w14:paraId="502F6781" w14:textId="77777777" w:rsidR="00D12863" w:rsidRPr="00D12863" w:rsidRDefault="00D12863" w:rsidP="00D12863">
            <w:pPr>
              <w:spacing w:after="0" w:line="240" w:lineRule="auto"/>
              <w:ind w:left="0" w:right="39" w:firstLine="0"/>
              <w:jc w:val="center"/>
              <w:rPr>
                <w:szCs w:val="20"/>
              </w:rPr>
            </w:pPr>
            <w:r w:rsidRPr="00D12863">
              <w:rPr>
                <w:szCs w:val="20"/>
              </w:rPr>
              <w:t xml:space="preserve">3 </w:t>
            </w:r>
          </w:p>
        </w:tc>
        <w:tc>
          <w:tcPr>
            <w:tcW w:w="1864" w:type="dxa"/>
            <w:tcBorders>
              <w:top w:val="single" w:sz="2" w:space="0" w:color="000000"/>
              <w:left w:val="single" w:sz="2" w:space="0" w:color="000000"/>
              <w:bottom w:val="single" w:sz="2" w:space="0" w:color="000000"/>
              <w:right w:val="single" w:sz="2" w:space="0" w:color="000000"/>
            </w:tcBorders>
            <w:vAlign w:val="center"/>
          </w:tcPr>
          <w:p w14:paraId="45A298F4" w14:textId="77777777" w:rsidR="00D12863" w:rsidRPr="00D12863" w:rsidRDefault="00D12863" w:rsidP="00D12863">
            <w:pPr>
              <w:spacing w:after="0" w:line="240" w:lineRule="auto"/>
              <w:ind w:left="0" w:right="36" w:firstLine="0"/>
              <w:jc w:val="center"/>
              <w:rPr>
                <w:szCs w:val="20"/>
              </w:rPr>
            </w:pPr>
            <w:proofErr w:type="spellStart"/>
            <w:r w:rsidRPr="00D12863">
              <w:rPr>
                <w:szCs w:val="20"/>
              </w:rPr>
              <w:t>Ebel</w:t>
            </w:r>
            <w:proofErr w:type="spellEnd"/>
            <w:r w:rsidRPr="00D12863">
              <w:rPr>
                <w:szCs w:val="20"/>
              </w:rPr>
              <w:t xml:space="preserve"> H et al., 1996 </w:t>
            </w:r>
            <w:r w:rsidRPr="00D12863">
              <w:rPr>
                <w:szCs w:val="20"/>
              </w:rPr>
              <w:fldChar w:fldCharType="begin" w:fldLock="1"/>
            </w:r>
            <w:r w:rsidRPr="00D12863">
              <w:rPr>
                <w:szCs w:val="20"/>
              </w:rPr>
              <w:instrText>ADDIN CSL_CITATION {"citationItems":[{"id":"ITEM-1","itemData":{"DOI":"10.1007/BF01411059","ISSN":"00016268","abstract":"The results of Deep Brain Stimulation in deafferentation pain syndromes, in particular in thalamic pain, indicate that excellent long-term pain relief can hardly ever be achieved. We report 7 cases using Motor-Cortex-Stimulation for treating severe trigeminal neuropathic pain syndromes, i.e., dysaesthesia, anaesthesia dolorosa and postherpetic neuralgia. The first implantation of the stimulation device for precentral cerebral stimulation was performed in June 1993, the last in September 1995. In all but one case the impulse-generator was implanted after a successful period of test stimulation. Successful means a pain reduction of more than 50% as assessed with a Visual Analogue Scale. Excluding one case, in whom a prolonged focal seizure resulting in a postictal speech arrest occurred during test stimulation, there have been no operative complications and the postoperative course was uneventful. In all the other patients the pain inhibition appeared below the threshold for producting motor effects. Initially these patients reported a good to excellent pain relief. In three of 6 patients a good to excellent pain control was maintained for a follow-up period of 5 months to 2 years. In the remaining three patients the positive effect decreased over several months.","author":[{"dropping-particle":"","family":"Ebel","given":"H.","non-dropping-particle":"","parse-names":false,"suffix":""},{"dropping-particle":"","family":"Rust","given":"D.","non-dropping-particle":"","parse-names":false,"suffix":""},{"dropping-particle":"","family":"Tronnier","given":"V.","non-dropping-particle":"","parse-names":false,"suffix":""},{"dropping-particle":"","family":"Böker","given":"D.","non-dropping-particle":"","parse-names":false,"suffix":""},{"dropping-particle":"","family":"Kunze","given":"S.","non-dropping-particle":"","parse-names":false,"suffix":""}],"container-title":"Acta Neurochirurgica","id":"ITEM-1","issue":"11","issued":{"date-parts":[["1996"]]},"page":"1300-1306","title":"Chronic precentral stimulation in trigeminal neuropathic pain","type":"article-journal","volume":"138"},"uris":["http://www.mendeley.com/documents/?uuid=7dc36819-b346-458e-b3b3-da56c6f7827f"]}],"mendeley":{"formattedCitation":"&lt;sup&gt;37&lt;/sup&gt;","plainTextFormattedCitation":"37","previouslyFormattedCitation":"(37)"},"properties":{"noteIndex":0},"schema":"https://github.com/citation-style-language/schema/raw/master/csl-citation.json"}</w:instrText>
            </w:r>
            <w:r w:rsidRPr="00D12863">
              <w:rPr>
                <w:szCs w:val="20"/>
              </w:rPr>
              <w:fldChar w:fldCharType="separate"/>
            </w:r>
            <w:r w:rsidRPr="00D12863">
              <w:rPr>
                <w:noProof/>
                <w:szCs w:val="20"/>
                <w:vertAlign w:val="superscript"/>
              </w:rPr>
              <w:t>37</w:t>
            </w:r>
            <w:r w:rsidRPr="00D12863">
              <w:rPr>
                <w:szCs w:val="20"/>
              </w:rPr>
              <w:fldChar w:fldCharType="end"/>
            </w:r>
            <w:r w:rsidRPr="00D12863">
              <w:rPr>
                <w:szCs w:val="20"/>
              </w:rPr>
              <w:t>.</w:t>
            </w:r>
          </w:p>
        </w:tc>
        <w:tc>
          <w:tcPr>
            <w:tcW w:w="934" w:type="dxa"/>
            <w:tcBorders>
              <w:top w:val="single" w:sz="2" w:space="0" w:color="000000"/>
              <w:left w:val="single" w:sz="2" w:space="0" w:color="000000"/>
              <w:bottom w:val="single" w:sz="2" w:space="0" w:color="000000"/>
              <w:right w:val="single" w:sz="2" w:space="0" w:color="000000"/>
            </w:tcBorders>
            <w:vAlign w:val="center"/>
          </w:tcPr>
          <w:p w14:paraId="09D2A15C" w14:textId="77777777" w:rsidR="00D12863" w:rsidRPr="00D12863" w:rsidRDefault="00D12863" w:rsidP="00D12863">
            <w:pPr>
              <w:spacing w:after="0" w:line="240" w:lineRule="auto"/>
              <w:ind w:left="0" w:right="39" w:firstLine="0"/>
              <w:jc w:val="center"/>
              <w:rPr>
                <w:szCs w:val="20"/>
              </w:rPr>
            </w:pPr>
            <w:r w:rsidRPr="00D12863">
              <w:rPr>
                <w:szCs w:val="20"/>
              </w:rPr>
              <w:t xml:space="preserve">7 </w:t>
            </w:r>
          </w:p>
        </w:tc>
        <w:tc>
          <w:tcPr>
            <w:tcW w:w="1643" w:type="dxa"/>
            <w:tcBorders>
              <w:top w:val="single" w:sz="2" w:space="0" w:color="000000"/>
              <w:left w:val="single" w:sz="2" w:space="0" w:color="000000"/>
              <w:bottom w:val="single" w:sz="2" w:space="0" w:color="000000"/>
              <w:right w:val="single" w:sz="2" w:space="0" w:color="000000"/>
            </w:tcBorders>
            <w:vAlign w:val="center"/>
          </w:tcPr>
          <w:p w14:paraId="7084FC4B" w14:textId="77777777" w:rsidR="00D12863" w:rsidRPr="00D12863" w:rsidRDefault="00D12863" w:rsidP="00D12863">
            <w:pPr>
              <w:spacing w:after="0" w:line="240" w:lineRule="auto"/>
              <w:ind w:left="0" w:right="42" w:firstLine="0"/>
              <w:jc w:val="center"/>
              <w:rPr>
                <w:szCs w:val="20"/>
              </w:rPr>
            </w:pPr>
            <w:r w:rsidRPr="00D12863">
              <w:rPr>
                <w:szCs w:val="20"/>
              </w:rPr>
              <w:t xml:space="preserve">TN </w:t>
            </w:r>
          </w:p>
        </w:tc>
        <w:tc>
          <w:tcPr>
            <w:tcW w:w="975" w:type="dxa"/>
            <w:tcBorders>
              <w:top w:val="single" w:sz="2" w:space="0" w:color="000000"/>
              <w:left w:val="single" w:sz="2" w:space="0" w:color="000000"/>
              <w:bottom w:val="single" w:sz="2" w:space="0" w:color="000000"/>
              <w:right w:val="single" w:sz="2" w:space="0" w:color="000000"/>
            </w:tcBorders>
            <w:vAlign w:val="center"/>
          </w:tcPr>
          <w:p w14:paraId="38CFBA17" w14:textId="77777777" w:rsidR="00D12863" w:rsidRPr="00D12863" w:rsidRDefault="00D12863" w:rsidP="00D12863">
            <w:pPr>
              <w:spacing w:after="0" w:line="240" w:lineRule="auto"/>
              <w:ind w:left="0" w:right="39" w:firstLine="0"/>
              <w:jc w:val="center"/>
              <w:rPr>
                <w:szCs w:val="20"/>
              </w:rPr>
            </w:pPr>
            <w:r w:rsidRPr="00D12863">
              <w:rPr>
                <w:szCs w:val="20"/>
              </w:rPr>
              <w:t xml:space="preserve">1 TS </w:t>
            </w:r>
          </w:p>
        </w:tc>
        <w:tc>
          <w:tcPr>
            <w:tcW w:w="1546" w:type="dxa"/>
            <w:tcBorders>
              <w:top w:val="single" w:sz="2" w:space="0" w:color="000000"/>
              <w:left w:val="single" w:sz="2" w:space="0" w:color="000000"/>
              <w:bottom w:val="single" w:sz="2" w:space="0" w:color="000000"/>
              <w:right w:val="single" w:sz="2" w:space="0" w:color="000000"/>
            </w:tcBorders>
            <w:vAlign w:val="center"/>
          </w:tcPr>
          <w:p w14:paraId="1422CD1D" w14:textId="77777777" w:rsidR="00D12863" w:rsidRPr="00D12863" w:rsidRDefault="00D12863" w:rsidP="00D12863">
            <w:pPr>
              <w:spacing w:after="0" w:line="240" w:lineRule="auto"/>
              <w:ind w:left="0" w:right="38" w:firstLine="0"/>
              <w:jc w:val="center"/>
              <w:rPr>
                <w:szCs w:val="20"/>
              </w:rPr>
            </w:pPr>
            <w:r w:rsidRPr="00D12863">
              <w:rPr>
                <w:szCs w:val="20"/>
              </w:rPr>
              <w:t xml:space="preserve">86% / &gt;50% </w:t>
            </w:r>
          </w:p>
        </w:tc>
        <w:tc>
          <w:tcPr>
            <w:tcW w:w="1962" w:type="dxa"/>
            <w:tcBorders>
              <w:top w:val="single" w:sz="2" w:space="0" w:color="000000"/>
              <w:left w:val="single" w:sz="2" w:space="0" w:color="000000"/>
              <w:bottom w:val="single" w:sz="2" w:space="0" w:color="000000"/>
              <w:right w:val="single" w:sz="2" w:space="0" w:color="000000"/>
            </w:tcBorders>
            <w:vAlign w:val="center"/>
          </w:tcPr>
          <w:p w14:paraId="16239353" w14:textId="77777777" w:rsidR="00D12863" w:rsidRPr="00D12863" w:rsidRDefault="00D12863" w:rsidP="00D12863">
            <w:pPr>
              <w:spacing w:after="0" w:line="240" w:lineRule="auto"/>
              <w:ind w:left="0" w:right="38" w:firstLine="0"/>
              <w:jc w:val="center"/>
              <w:rPr>
                <w:szCs w:val="20"/>
              </w:rPr>
            </w:pPr>
            <w:r w:rsidRPr="00D12863">
              <w:rPr>
                <w:szCs w:val="20"/>
              </w:rPr>
              <w:t xml:space="preserve">Focal seizure  </w:t>
            </w:r>
          </w:p>
        </w:tc>
      </w:tr>
      <w:tr w:rsidR="00D12863" w:rsidRPr="00D12863" w14:paraId="79CE9DF1" w14:textId="77777777" w:rsidTr="000D28EF">
        <w:trPr>
          <w:trHeight w:val="718"/>
        </w:trPr>
        <w:tc>
          <w:tcPr>
            <w:tcW w:w="438" w:type="dxa"/>
            <w:tcBorders>
              <w:top w:val="single" w:sz="2" w:space="0" w:color="000000"/>
              <w:left w:val="single" w:sz="2" w:space="0" w:color="000000"/>
              <w:bottom w:val="single" w:sz="2" w:space="0" w:color="000000"/>
              <w:right w:val="single" w:sz="2" w:space="0" w:color="000000"/>
            </w:tcBorders>
            <w:vAlign w:val="center"/>
          </w:tcPr>
          <w:p w14:paraId="03B1345A" w14:textId="77777777" w:rsidR="00D12863" w:rsidRPr="00D12863" w:rsidRDefault="00D12863" w:rsidP="00D12863">
            <w:pPr>
              <w:spacing w:after="0" w:line="240" w:lineRule="auto"/>
              <w:ind w:left="0" w:right="39" w:firstLine="0"/>
              <w:jc w:val="center"/>
              <w:rPr>
                <w:szCs w:val="20"/>
              </w:rPr>
            </w:pPr>
            <w:r w:rsidRPr="00D12863">
              <w:rPr>
                <w:szCs w:val="20"/>
              </w:rPr>
              <w:t xml:space="preserve">4 </w:t>
            </w:r>
          </w:p>
        </w:tc>
        <w:tc>
          <w:tcPr>
            <w:tcW w:w="1864" w:type="dxa"/>
            <w:tcBorders>
              <w:top w:val="single" w:sz="2" w:space="0" w:color="000000"/>
              <w:left w:val="single" w:sz="2" w:space="0" w:color="000000"/>
              <w:bottom w:val="single" w:sz="2" w:space="0" w:color="000000"/>
              <w:right w:val="single" w:sz="2" w:space="0" w:color="000000"/>
            </w:tcBorders>
            <w:vAlign w:val="center"/>
          </w:tcPr>
          <w:p w14:paraId="40320363" w14:textId="77777777" w:rsidR="00D12863" w:rsidRPr="00D12863" w:rsidRDefault="00D12863" w:rsidP="00D12863">
            <w:pPr>
              <w:spacing w:after="0" w:line="240" w:lineRule="auto"/>
              <w:ind w:left="0" w:right="36" w:firstLine="0"/>
              <w:jc w:val="center"/>
              <w:rPr>
                <w:szCs w:val="20"/>
              </w:rPr>
            </w:pPr>
            <w:r w:rsidRPr="00D12863">
              <w:rPr>
                <w:szCs w:val="20"/>
              </w:rPr>
              <w:t xml:space="preserve">Nguyen JP et al., 2000 </w:t>
            </w:r>
            <w:r w:rsidRPr="00D12863">
              <w:rPr>
                <w:szCs w:val="20"/>
              </w:rPr>
              <w:fldChar w:fldCharType="begin" w:fldLock="1"/>
            </w:r>
            <w:r w:rsidRPr="00D12863">
              <w:rPr>
                <w:szCs w:val="20"/>
              </w:rPr>
              <w:instrText>ADDIN CSL_CITATION {"citationItems":[{"id":"ITEM-1","itemData":{"DOI":"10.1016/S0188-4409(00)00078-3","ISSN":"01884409","abstract":"Background. Motor cortex stimulation has been proposed for the treatment of central pain. Methods. Thirty-two patients with refractory central and neuropathic pain of peripheral origin were treated by chronic stimulation of the motor cortex between May 1993 and January 1997. The mean follow-up was 27.3 months. The first 24 patients were operated on according to the technique described by Tsubokawa. The last 13 cases (8 new patients and 5 reinterventions) were operated on by a technique including localization by superficial CT reconstruction of the central region and neuronavigator guidance. The position of the central sulcus was confirmed by the use of intraoperative somatosensory evoked potentials. The somatotopic organization of the motor cortex was established preoperatively by studying the motor responses at stimulation of the motor cortex through the dura. Results. Ten of the 13 patients with central pain (77%) and 10 of the 12 patients with neuropathic facial pain experienced substantial pain relief (83.3%). One of the three patients with post-paraplegia pain was clearly improved. A satisfactory result was obtained in one patient with pain related to plexus avulsion and in one patient with pain related to intercostal herpes zoster. None of the patients developed epileptic seizures. Conclusions. Our results confirm that chronic stimulation of the motor cortex is an effective method in treating certain forms of refractory pain. Copyright (C) 2000 IMSS.","author":[{"dropping-particle":"","family":"Nguyen","given":"J. P.","non-dropping-particle":"","parse-names":false,"suffix":""},{"dropping-particle":"","family":"Lefaucher","given":"J. P.","non-dropping-particle":"","parse-names":false,"suffix":""},{"dropping-particle":"","family":"Guerinel","given":"C.","non-dropping-particle":"Le","parse-names":false,"suffix":""},{"dropping-particle":"","family":"Eizenbaum","given":"J. F.","non-dropping-particle":"","parse-names":false,"suffix":""},{"dropping-particle":"","family":"Nakano","given":"N.","non-dropping-particle":"","parse-names":false,"suffix":""},{"dropping-particle":"","family":"Carpentier","given":"A.","non-dropping-particle":"","parse-names":false,"suffix":""},{"dropping-particle":"","family":"Brugières","given":"P.","non-dropping-particle":"","parse-names":false,"suffix":""},{"dropping-particle":"","family":"Pollin","given":"B.","non-dropping-particle":"","parse-names":false,"suffix":""},{"dropping-particle":"","family":"Rostaing","given":"S.","non-dropping-particle":"","parse-names":false,"suffix":""},{"dropping-particle":"","family":"Keravel","given":"Y.","non-dropping-particle":"","parse-names":false,"suffix":""}],"container-title":"Archives of Medical Research","id":"ITEM-1","issue":"3","issued":{"date-parts":[["2000"]]},"page":"263-265","title":"Motor cortex stimulation in the treatment of central and neuropathic pain","type":"article-journal","volume":"31"},"uris":["http://www.mendeley.com/documents/?uuid=b574b64e-d28b-4425-84ca-46479586835f"]}],"mendeley":{"formattedCitation":"&lt;sup&gt;10&lt;/sup&gt;","plainTextFormattedCitation":"10","previouslyFormattedCitation":"(10)"},"properties":{"noteIndex":0},"schema":"https://github.com/citation-style-language/schema/raw/master/csl-citation.json"}</w:instrText>
            </w:r>
            <w:r w:rsidRPr="00D12863">
              <w:rPr>
                <w:szCs w:val="20"/>
              </w:rPr>
              <w:fldChar w:fldCharType="separate"/>
            </w:r>
            <w:r w:rsidRPr="00D12863">
              <w:rPr>
                <w:noProof/>
                <w:szCs w:val="20"/>
                <w:vertAlign w:val="superscript"/>
              </w:rPr>
              <w:t>10</w:t>
            </w:r>
            <w:r w:rsidRPr="00D12863">
              <w:rPr>
                <w:szCs w:val="20"/>
              </w:rPr>
              <w:fldChar w:fldCharType="end"/>
            </w:r>
          </w:p>
        </w:tc>
        <w:tc>
          <w:tcPr>
            <w:tcW w:w="934" w:type="dxa"/>
            <w:tcBorders>
              <w:top w:val="single" w:sz="2" w:space="0" w:color="000000"/>
              <w:left w:val="single" w:sz="2" w:space="0" w:color="000000"/>
              <w:bottom w:val="single" w:sz="2" w:space="0" w:color="000000"/>
              <w:right w:val="single" w:sz="2" w:space="0" w:color="000000"/>
            </w:tcBorders>
            <w:vAlign w:val="center"/>
          </w:tcPr>
          <w:p w14:paraId="59B8CAA0" w14:textId="77777777" w:rsidR="00D12863" w:rsidRPr="00D12863" w:rsidRDefault="00D12863" w:rsidP="00D12863">
            <w:pPr>
              <w:spacing w:after="0" w:line="240" w:lineRule="auto"/>
              <w:ind w:left="0" w:right="39" w:firstLine="0"/>
              <w:jc w:val="center"/>
              <w:rPr>
                <w:szCs w:val="20"/>
              </w:rPr>
            </w:pPr>
            <w:r w:rsidRPr="00D12863">
              <w:rPr>
                <w:szCs w:val="20"/>
              </w:rPr>
              <w:t xml:space="preserve">32 </w:t>
            </w:r>
          </w:p>
        </w:tc>
        <w:tc>
          <w:tcPr>
            <w:tcW w:w="1643" w:type="dxa"/>
            <w:tcBorders>
              <w:top w:val="single" w:sz="2" w:space="0" w:color="000000"/>
              <w:left w:val="single" w:sz="2" w:space="0" w:color="000000"/>
              <w:bottom w:val="single" w:sz="2" w:space="0" w:color="000000"/>
              <w:right w:val="single" w:sz="2" w:space="0" w:color="000000"/>
            </w:tcBorders>
            <w:vAlign w:val="center"/>
          </w:tcPr>
          <w:p w14:paraId="214237EA" w14:textId="77777777" w:rsidR="00D12863" w:rsidRPr="00D12863" w:rsidRDefault="00D12863" w:rsidP="00D12863">
            <w:pPr>
              <w:spacing w:after="0" w:line="240" w:lineRule="auto"/>
              <w:ind w:left="0" w:right="40" w:firstLine="0"/>
              <w:jc w:val="center"/>
              <w:rPr>
                <w:szCs w:val="20"/>
              </w:rPr>
            </w:pPr>
            <w:r w:rsidRPr="00D12863">
              <w:rPr>
                <w:szCs w:val="20"/>
              </w:rPr>
              <w:t xml:space="preserve">TN; CPS; PPTN; SCI </w:t>
            </w:r>
          </w:p>
        </w:tc>
        <w:tc>
          <w:tcPr>
            <w:tcW w:w="975" w:type="dxa"/>
            <w:tcBorders>
              <w:top w:val="single" w:sz="2" w:space="0" w:color="000000"/>
              <w:left w:val="single" w:sz="2" w:space="0" w:color="000000"/>
              <w:bottom w:val="single" w:sz="2" w:space="0" w:color="000000"/>
              <w:right w:val="single" w:sz="2" w:space="0" w:color="000000"/>
            </w:tcBorders>
            <w:vAlign w:val="center"/>
          </w:tcPr>
          <w:p w14:paraId="0467D30B" w14:textId="77777777" w:rsidR="00D12863" w:rsidRPr="00D12863" w:rsidRDefault="00D12863" w:rsidP="00D12863">
            <w:pPr>
              <w:spacing w:after="0" w:line="240" w:lineRule="auto"/>
              <w:ind w:left="0" w:right="39" w:firstLine="0"/>
              <w:jc w:val="center"/>
              <w:rPr>
                <w:szCs w:val="20"/>
              </w:rPr>
            </w:pPr>
            <w:r w:rsidRPr="00D12863">
              <w:rPr>
                <w:szCs w:val="20"/>
              </w:rPr>
              <w:t xml:space="preserve">NA </w:t>
            </w:r>
          </w:p>
        </w:tc>
        <w:tc>
          <w:tcPr>
            <w:tcW w:w="1546" w:type="dxa"/>
            <w:tcBorders>
              <w:top w:val="single" w:sz="2" w:space="0" w:color="000000"/>
              <w:left w:val="single" w:sz="2" w:space="0" w:color="000000"/>
              <w:bottom w:val="single" w:sz="2" w:space="0" w:color="000000"/>
              <w:right w:val="single" w:sz="2" w:space="0" w:color="000000"/>
            </w:tcBorders>
            <w:vAlign w:val="center"/>
          </w:tcPr>
          <w:p w14:paraId="1E1807F8" w14:textId="77777777" w:rsidR="00D12863" w:rsidRPr="00D12863" w:rsidRDefault="00D12863" w:rsidP="00D12863">
            <w:pPr>
              <w:spacing w:after="0" w:line="240" w:lineRule="auto"/>
              <w:ind w:left="0" w:right="38" w:firstLine="0"/>
              <w:jc w:val="center"/>
              <w:rPr>
                <w:szCs w:val="20"/>
              </w:rPr>
            </w:pPr>
            <w:r w:rsidRPr="00D12863">
              <w:rPr>
                <w:szCs w:val="20"/>
              </w:rPr>
              <w:t xml:space="preserve">~70% / 52% </w:t>
            </w:r>
          </w:p>
        </w:tc>
        <w:tc>
          <w:tcPr>
            <w:tcW w:w="1962" w:type="dxa"/>
            <w:tcBorders>
              <w:top w:val="single" w:sz="2" w:space="0" w:color="000000"/>
              <w:left w:val="single" w:sz="2" w:space="0" w:color="000000"/>
              <w:bottom w:val="single" w:sz="2" w:space="0" w:color="000000"/>
              <w:right w:val="single" w:sz="2" w:space="0" w:color="000000"/>
            </w:tcBorders>
          </w:tcPr>
          <w:p w14:paraId="1AF666B3" w14:textId="77777777" w:rsidR="00D12863" w:rsidRPr="00D12863" w:rsidRDefault="00D12863" w:rsidP="00D12863">
            <w:pPr>
              <w:spacing w:after="0" w:line="240" w:lineRule="auto"/>
              <w:ind w:left="0" w:right="200" w:hanging="5"/>
              <w:jc w:val="center"/>
              <w:rPr>
                <w:szCs w:val="20"/>
              </w:rPr>
            </w:pPr>
            <w:r w:rsidRPr="00D12863">
              <w:rPr>
                <w:szCs w:val="20"/>
              </w:rPr>
              <w:t xml:space="preserve">Subcutaneous infection; incisional pain; epidural hematoma </w:t>
            </w:r>
          </w:p>
        </w:tc>
      </w:tr>
      <w:tr w:rsidR="00D12863" w:rsidRPr="00D12863" w14:paraId="13D51C3C" w14:textId="77777777" w:rsidTr="000D28EF">
        <w:trPr>
          <w:trHeight w:val="533"/>
        </w:trPr>
        <w:tc>
          <w:tcPr>
            <w:tcW w:w="438" w:type="dxa"/>
            <w:tcBorders>
              <w:top w:val="single" w:sz="2" w:space="0" w:color="000000"/>
              <w:left w:val="single" w:sz="2" w:space="0" w:color="000000"/>
              <w:bottom w:val="single" w:sz="2" w:space="0" w:color="000000"/>
              <w:right w:val="single" w:sz="2" w:space="0" w:color="000000"/>
            </w:tcBorders>
            <w:vAlign w:val="center"/>
          </w:tcPr>
          <w:p w14:paraId="068E1A3E" w14:textId="77777777" w:rsidR="00D12863" w:rsidRPr="00D12863" w:rsidRDefault="00D12863" w:rsidP="00D12863">
            <w:pPr>
              <w:spacing w:after="0" w:line="240" w:lineRule="auto"/>
              <w:ind w:left="0" w:right="39" w:firstLine="0"/>
              <w:jc w:val="center"/>
              <w:rPr>
                <w:szCs w:val="20"/>
              </w:rPr>
            </w:pPr>
            <w:r w:rsidRPr="00D12863">
              <w:rPr>
                <w:szCs w:val="20"/>
              </w:rPr>
              <w:t xml:space="preserve">5 </w:t>
            </w:r>
          </w:p>
        </w:tc>
        <w:tc>
          <w:tcPr>
            <w:tcW w:w="1864" w:type="dxa"/>
            <w:tcBorders>
              <w:top w:val="single" w:sz="2" w:space="0" w:color="000000"/>
              <w:left w:val="single" w:sz="2" w:space="0" w:color="000000"/>
              <w:bottom w:val="single" w:sz="2" w:space="0" w:color="000000"/>
              <w:right w:val="single" w:sz="2" w:space="0" w:color="000000"/>
            </w:tcBorders>
            <w:vAlign w:val="center"/>
          </w:tcPr>
          <w:p w14:paraId="14918163" w14:textId="77777777" w:rsidR="00D12863" w:rsidRPr="00D12863" w:rsidRDefault="00D12863" w:rsidP="00D12863">
            <w:pPr>
              <w:spacing w:after="0" w:line="240" w:lineRule="auto"/>
              <w:ind w:left="0" w:right="38" w:firstLine="0"/>
              <w:jc w:val="center"/>
              <w:rPr>
                <w:szCs w:val="20"/>
              </w:rPr>
            </w:pPr>
            <w:r w:rsidRPr="00D12863">
              <w:rPr>
                <w:szCs w:val="20"/>
              </w:rPr>
              <w:t xml:space="preserve">Carroll D et al., 2000 </w:t>
            </w:r>
            <w:r w:rsidRPr="00D12863">
              <w:rPr>
                <w:szCs w:val="20"/>
              </w:rPr>
              <w:fldChar w:fldCharType="begin" w:fldLock="1"/>
            </w:r>
            <w:r w:rsidRPr="00D12863">
              <w:rPr>
                <w:szCs w:val="20"/>
              </w:rPr>
              <w:instrText>ADDIN CSL_CITATION {"citationItems":[{"id":"ITEM-1","itemData":{"DOI":"10.1016/S0304-3959(99)00245-6","ISSN":"03043959","abstract":"There is growing evidence to support the use of motor cortex stimulation (MCS) in the management of patients with chronic neuropathic pain. A prospective audit of ten patients using a modified staged technique for motor cortex implantation provides further evidence for the analgesic effectiveness of this technique. Ten patients suffering from phantom limb pain (n=3), post stroke pain (n=5), post traumatic neuralgia secondary to gunshot injury to the brain stem (n=1) and brachyalgia secondary to neuro-fibromatosis (n=1) were treated between November 1995 and February 1998. All ten patients had failed to respond to previous multiple pain therapies. Patients were evaluated pre and post-operatively by an independent pain specialist. The overall response rate was 50%, with 5/10 patients reporting short term relief (&gt;50% pain relief) and long-term benefit in 4/5 of patients who initially responded to intermittent cortical stimulation (longest follow up 31 months after implantation). Of those patients who benefited two had post stroke pain, two phantom limb pain and one post-traumatic neuralgia. We conclude that motor cortex stimulation is an effective analgesic intervention in some patients with chronic neuropathic pain, but it is difficult if not impossible to predict those patients who may respond to treatment prior to implantation. Randomised controlled trials are now urgently needed to test the effectiveness of motor cortex stimulation under double-blind conditions. Copyright (C) 2000 International Association for the Study of Pain. Published by Elsevier Science B.V.","author":[{"dropping-particle":"","family":"Carroll","given":"Dawn","non-dropping-particle":"","parse-names":false,"suffix":""},{"dropping-particle":"","family":"Joint","given":"Carole","non-dropping-particle":"","parse-names":false,"suffix":""},{"dropping-particle":"","family":"Maartens","given":"Nikki","non-dropping-particle":"","parse-names":false,"suffix":""},{"dropping-particle":"","family":"Shlugman","given":"David","non-dropping-particle":"","parse-names":false,"suffix":""},{"dropping-particle":"","family":"Stein","given":"John","non-dropping-particle":"","parse-names":false,"suffix":""},{"dropping-particle":"","family":"Aziz","given":"Tipu Z.","non-dropping-particle":"","parse-names":false,"suffix":""}],"container-title":"Pain","id":"ITEM-1","issue":"2-3","issued":{"date-parts":[["2000"]]},"page":"431-437","title":"Motor cortex stimulation for chronic neuropathic pain: A preliminary study of 10 cases","type":"article-journal","volume":"84"},"uris":["http://www.mendeley.com/documents/?uuid=1253c1bf-eb0b-4d9b-92c6-a3eee07ae07b"]}],"mendeley":{"formattedCitation":"&lt;sup&gt;52&lt;/sup&gt;","plainTextFormattedCitation":"52","previouslyFormattedCitation":"(42)"},"properties":{"noteIndex":0},"schema":"https://github.com/citation-style-language/schema/raw/master/csl-citation.json"}</w:instrText>
            </w:r>
            <w:r w:rsidRPr="00D12863">
              <w:rPr>
                <w:szCs w:val="20"/>
              </w:rPr>
              <w:fldChar w:fldCharType="separate"/>
            </w:r>
            <w:r w:rsidRPr="00D12863">
              <w:rPr>
                <w:noProof/>
                <w:szCs w:val="20"/>
                <w:vertAlign w:val="superscript"/>
              </w:rPr>
              <w:t>52</w:t>
            </w:r>
            <w:r w:rsidRPr="00D12863">
              <w:rPr>
                <w:szCs w:val="20"/>
              </w:rPr>
              <w:fldChar w:fldCharType="end"/>
            </w:r>
            <w:r w:rsidRPr="00D12863">
              <w:rPr>
                <w:szCs w:val="20"/>
              </w:rPr>
              <w:t xml:space="preserve"> </w:t>
            </w:r>
          </w:p>
        </w:tc>
        <w:tc>
          <w:tcPr>
            <w:tcW w:w="934" w:type="dxa"/>
            <w:tcBorders>
              <w:top w:val="single" w:sz="2" w:space="0" w:color="000000"/>
              <w:left w:val="single" w:sz="2" w:space="0" w:color="000000"/>
              <w:bottom w:val="single" w:sz="2" w:space="0" w:color="000000"/>
              <w:right w:val="single" w:sz="2" w:space="0" w:color="000000"/>
            </w:tcBorders>
            <w:vAlign w:val="center"/>
          </w:tcPr>
          <w:p w14:paraId="2D1D63AB" w14:textId="77777777" w:rsidR="00D12863" w:rsidRPr="00D12863" w:rsidRDefault="00D12863" w:rsidP="00D12863">
            <w:pPr>
              <w:spacing w:after="0" w:line="240" w:lineRule="auto"/>
              <w:ind w:left="0" w:right="39" w:firstLine="0"/>
              <w:jc w:val="center"/>
              <w:rPr>
                <w:szCs w:val="20"/>
              </w:rPr>
            </w:pPr>
            <w:r w:rsidRPr="00D12863">
              <w:rPr>
                <w:szCs w:val="20"/>
              </w:rPr>
              <w:t xml:space="preserve">10 </w:t>
            </w:r>
          </w:p>
        </w:tc>
        <w:tc>
          <w:tcPr>
            <w:tcW w:w="1643" w:type="dxa"/>
            <w:tcBorders>
              <w:top w:val="single" w:sz="2" w:space="0" w:color="000000"/>
              <w:left w:val="single" w:sz="2" w:space="0" w:color="000000"/>
              <w:bottom w:val="single" w:sz="2" w:space="0" w:color="000000"/>
              <w:right w:val="single" w:sz="2" w:space="0" w:color="000000"/>
            </w:tcBorders>
            <w:vAlign w:val="center"/>
          </w:tcPr>
          <w:p w14:paraId="5B857382" w14:textId="77777777" w:rsidR="00D12863" w:rsidRPr="00D12863" w:rsidRDefault="00D12863" w:rsidP="00D12863">
            <w:pPr>
              <w:spacing w:after="0" w:line="240" w:lineRule="auto"/>
              <w:ind w:left="0" w:right="44" w:firstLine="0"/>
              <w:jc w:val="center"/>
              <w:rPr>
                <w:szCs w:val="20"/>
              </w:rPr>
            </w:pPr>
            <w:r w:rsidRPr="00D12863">
              <w:rPr>
                <w:szCs w:val="20"/>
              </w:rPr>
              <w:t xml:space="preserve">TN; BPI; PPTN; </w:t>
            </w:r>
          </w:p>
        </w:tc>
        <w:tc>
          <w:tcPr>
            <w:tcW w:w="975" w:type="dxa"/>
            <w:tcBorders>
              <w:top w:val="single" w:sz="2" w:space="0" w:color="000000"/>
              <w:left w:val="single" w:sz="2" w:space="0" w:color="000000"/>
              <w:bottom w:val="single" w:sz="2" w:space="0" w:color="000000"/>
              <w:right w:val="single" w:sz="2" w:space="0" w:color="000000"/>
            </w:tcBorders>
            <w:vAlign w:val="center"/>
          </w:tcPr>
          <w:p w14:paraId="29AD1AA5" w14:textId="77777777" w:rsidR="00D12863" w:rsidRPr="00D12863" w:rsidRDefault="00D12863" w:rsidP="00D12863">
            <w:pPr>
              <w:spacing w:after="0" w:line="240" w:lineRule="auto"/>
              <w:ind w:left="0" w:right="38" w:firstLine="0"/>
              <w:jc w:val="center"/>
              <w:rPr>
                <w:szCs w:val="20"/>
              </w:rPr>
            </w:pPr>
            <w:r w:rsidRPr="00D12863">
              <w:rPr>
                <w:szCs w:val="20"/>
              </w:rPr>
              <w:t xml:space="preserve">50% </w:t>
            </w:r>
          </w:p>
        </w:tc>
        <w:tc>
          <w:tcPr>
            <w:tcW w:w="1546" w:type="dxa"/>
            <w:tcBorders>
              <w:top w:val="single" w:sz="2" w:space="0" w:color="000000"/>
              <w:left w:val="single" w:sz="2" w:space="0" w:color="000000"/>
              <w:bottom w:val="single" w:sz="2" w:space="0" w:color="000000"/>
              <w:right w:val="single" w:sz="2" w:space="0" w:color="000000"/>
            </w:tcBorders>
            <w:vAlign w:val="center"/>
          </w:tcPr>
          <w:p w14:paraId="70E3EC4D" w14:textId="0F7E330B" w:rsidR="00D12863" w:rsidRPr="00D12863" w:rsidRDefault="00D12863" w:rsidP="00D12863">
            <w:pPr>
              <w:spacing w:after="0" w:line="240" w:lineRule="auto"/>
              <w:ind w:left="0" w:right="41" w:firstLine="0"/>
              <w:jc w:val="center"/>
              <w:rPr>
                <w:szCs w:val="20"/>
              </w:rPr>
            </w:pPr>
            <w:r w:rsidRPr="00D12863">
              <w:rPr>
                <w:szCs w:val="20"/>
              </w:rPr>
              <w:t>40% /</w:t>
            </w:r>
            <w:r w:rsidR="00BF1C4D">
              <w:rPr>
                <w:szCs w:val="20"/>
              </w:rPr>
              <w:t xml:space="preserve"> </w:t>
            </w:r>
            <w:r w:rsidRPr="00D12863">
              <w:rPr>
                <w:szCs w:val="20"/>
              </w:rPr>
              <w:t xml:space="preserve">&gt; 50% </w:t>
            </w:r>
          </w:p>
        </w:tc>
        <w:tc>
          <w:tcPr>
            <w:tcW w:w="1962" w:type="dxa"/>
            <w:tcBorders>
              <w:top w:val="single" w:sz="2" w:space="0" w:color="000000"/>
              <w:left w:val="single" w:sz="2" w:space="0" w:color="000000"/>
              <w:bottom w:val="single" w:sz="2" w:space="0" w:color="000000"/>
              <w:right w:val="single" w:sz="2" w:space="0" w:color="000000"/>
            </w:tcBorders>
          </w:tcPr>
          <w:p w14:paraId="72ED474C" w14:textId="77777777" w:rsidR="00D12863" w:rsidRPr="00D12863" w:rsidRDefault="00D12863" w:rsidP="00D12863">
            <w:pPr>
              <w:spacing w:after="0" w:line="240" w:lineRule="auto"/>
              <w:ind w:left="0" w:firstLine="0"/>
              <w:jc w:val="center"/>
              <w:rPr>
                <w:szCs w:val="20"/>
              </w:rPr>
            </w:pPr>
            <w:r w:rsidRPr="00D12863">
              <w:rPr>
                <w:szCs w:val="20"/>
              </w:rPr>
              <w:t xml:space="preserve">Local tenderness over the electrode site </w:t>
            </w:r>
          </w:p>
        </w:tc>
      </w:tr>
      <w:tr w:rsidR="00D12863" w:rsidRPr="00D12863" w14:paraId="61F7F543" w14:textId="77777777" w:rsidTr="000D28EF">
        <w:trPr>
          <w:trHeight w:val="533"/>
        </w:trPr>
        <w:tc>
          <w:tcPr>
            <w:tcW w:w="438" w:type="dxa"/>
            <w:tcBorders>
              <w:top w:val="single" w:sz="2" w:space="0" w:color="000000"/>
              <w:left w:val="single" w:sz="2" w:space="0" w:color="000000"/>
              <w:bottom w:val="single" w:sz="2" w:space="0" w:color="000000"/>
              <w:right w:val="single" w:sz="2" w:space="0" w:color="000000"/>
            </w:tcBorders>
            <w:vAlign w:val="center"/>
          </w:tcPr>
          <w:p w14:paraId="71A8D361" w14:textId="77777777" w:rsidR="00D12863" w:rsidRPr="00D12863" w:rsidRDefault="00D12863" w:rsidP="00D12863">
            <w:pPr>
              <w:spacing w:after="0" w:line="240" w:lineRule="auto"/>
              <w:ind w:left="0" w:right="39" w:firstLine="0"/>
              <w:jc w:val="center"/>
              <w:rPr>
                <w:szCs w:val="20"/>
              </w:rPr>
            </w:pPr>
            <w:r w:rsidRPr="00D12863">
              <w:rPr>
                <w:szCs w:val="20"/>
              </w:rPr>
              <w:t xml:space="preserve">6 </w:t>
            </w:r>
          </w:p>
        </w:tc>
        <w:tc>
          <w:tcPr>
            <w:tcW w:w="1864" w:type="dxa"/>
            <w:tcBorders>
              <w:top w:val="single" w:sz="2" w:space="0" w:color="000000"/>
              <w:left w:val="single" w:sz="2" w:space="0" w:color="000000"/>
              <w:bottom w:val="single" w:sz="2" w:space="0" w:color="000000"/>
              <w:right w:val="single" w:sz="2" w:space="0" w:color="000000"/>
            </w:tcBorders>
            <w:vAlign w:val="center"/>
          </w:tcPr>
          <w:p w14:paraId="74C2292B" w14:textId="77777777" w:rsidR="00D12863" w:rsidRPr="00D12863" w:rsidRDefault="00D12863" w:rsidP="00D12863">
            <w:pPr>
              <w:spacing w:after="0" w:line="240" w:lineRule="auto"/>
              <w:ind w:left="0" w:right="36" w:firstLine="0"/>
              <w:jc w:val="center"/>
              <w:rPr>
                <w:szCs w:val="20"/>
              </w:rPr>
            </w:pPr>
            <w:r w:rsidRPr="00D12863">
              <w:rPr>
                <w:szCs w:val="20"/>
              </w:rPr>
              <w:t xml:space="preserve">Roux FE et al., 2001 </w:t>
            </w:r>
            <w:r w:rsidRPr="00D12863">
              <w:rPr>
                <w:szCs w:val="20"/>
              </w:rPr>
              <w:fldChar w:fldCharType="begin" w:fldLock="1"/>
            </w:r>
            <w:r w:rsidRPr="00D12863">
              <w:rPr>
                <w:szCs w:val="20"/>
              </w:rPr>
              <w:instrText>ADDIN CSL_CITATION {"citationItems":[{"id":"ITEM-1","itemData":{"DOI":"10.1097/00006123-200103000-00050","ISSN":"0148396X","PMID":"11270562","abstract":"OBJECTIVE AND IMPORTANCE: Chronic motor cortex stimulation has provided satisfactory control of pain in patients with central or neuropathic trigeminal pain. We used this technique in a patient who experienced phantom limb pain. Functional magnetic resonance imaging (fMRI) was used to guide electrode placement and to assist in understanding the control mechanisms involved in phantom limb pain. CLINICAL PRESENTATION: A 45-year-old man whose right arm had been amputated 2 years previously experienced phantom limb pain and phantom limb phenomena, described as the apparent possibility of moving the amputated hand voluntarily. He was treated with chronic motor cortex stimulation. INTERVENTION: Data from fMRI were used pre- and postoperatively to detect shoulder and stump cortical activated areas and the \"virtual\" amputated hand cortical area. These sites of preoperative fMRI activation were integrated in an infrared-based frameless stereotactic device for surgical planning. Phantom limb virtual finger movement caused contralateral primary motor cortex activation. Satisfactory pain control was obtained; a 70% reduction in the phantom limb pain was achieved on a visual analog scale. Postoperatively and under chronic stimulation, inhibiting effects on the primary sensorimotor cortex as well as on the contralateral primary motor and sensitive cortices were detected by fMRI studies. CONCLUSION: Chronic motor cortex stimulation can be used to relieve phantom limb pain and phantom limb phenomena. Integrated by an infrared-based frameless stereotactic device, fMRI data are useful in assisting the neurosurgeon in electrode placement for this indication. Pain control mechanisms and cortical reorganization phenomena can be studied by the use of fMRI.","author":[{"dropping-particle":"","family":"Roux","given":"Franck Emmanuel","non-dropping-particle":"","parse-names":false,"suffix":""},{"dropping-particle":"","family":"Ibarrola","given":"Danielle","non-dropping-particle":"","parse-names":false,"suffix":""},{"dropping-particle":"","family":"Lazorthes","given":"Yves","non-dropping-particle":"","parse-names":false,"suffix":""},{"dropping-particle":"","family":"Berry","given":"Isabelle","non-dropping-particle":"","parse-names":false,"suffix":""}],"container-title":"Neurosurgery","id":"ITEM-1","issue":"3","issued":{"date-parts":[["2001"]]},"page":"681-688","title":"Chronic motor cortex stimulation for phantom limb pain: A functional magnetic resonance imaging study: Technical case","type":"article-journal","volume":"48"},"uris":["http://www.mendeley.com/documents/?uuid=45863237-7807-4a94-8e14-aa19114ac7cc"]}],"mendeley":{"formattedCitation":"&lt;sup&gt;39&lt;/sup&gt;","plainTextFormattedCitation":"39","previouslyFormattedCitation":"(39)"},"properties":{"noteIndex":0},"schema":"https://github.com/citation-style-language/schema/raw/master/csl-citation.json"}</w:instrText>
            </w:r>
            <w:r w:rsidRPr="00D12863">
              <w:rPr>
                <w:szCs w:val="20"/>
              </w:rPr>
              <w:fldChar w:fldCharType="separate"/>
            </w:r>
            <w:r w:rsidRPr="00D12863">
              <w:rPr>
                <w:noProof/>
                <w:szCs w:val="20"/>
                <w:vertAlign w:val="superscript"/>
              </w:rPr>
              <w:t>39</w:t>
            </w:r>
            <w:r w:rsidRPr="00D12863">
              <w:rPr>
                <w:szCs w:val="20"/>
              </w:rPr>
              <w:fldChar w:fldCharType="end"/>
            </w:r>
            <w:r w:rsidRPr="00D12863">
              <w:rPr>
                <w:szCs w:val="20"/>
              </w:rPr>
              <w:t>.</w:t>
            </w:r>
          </w:p>
        </w:tc>
        <w:tc>
          <w:tcPr>
            <w:tcW w:w="934" w:type="dxa"/>
            <w:tcBorders>
              <w:top w:val="single" w:sz="2" w:space="0" w:color="000000"/>
              <w:left w:val="single" w:sz="2" w:space="0" w:color="000000"/>
              <w:bottom w:val="single" w:sz="2" w:space="0" w:color="000000"/>
              <w:right w:val="single" w:sz="2" w:space="0" w:color="000000"/>
            </w:tcBorders>
            <w:vAlign w:val="center"/>
          </w:tcPr>
          <w:p w14:paraId="57B25D6A" w14:textId="77777777" w:rsidR="00D12863" w:rsidRPr="00D12863" w:rsidRDefault="00D12863" w:rsidP="00D12863">
            <w:pPr>
              <w:spacing w:after="0" w:line="240" w:lineRule="auto"/>
              <w:ind w:left="0" w:right="39" w:firstLine="0"/>
              <w:jc w:val="center"/>
              <w:rPr>
                <w:szCs w:val="20"/>
              </w:rPr>
            </w:pPr>
            <w:r w:rsidRPr="00D12863">
              <w:rPr>
                <w:szCs w:val="20"/>
              </w:rPr>
              <w:t xml:space="preserve">1 </w:t>
            </w:r>
          </w:p>
        </w:tc>
        <w:tc>
          <w:tcPr>
            <w:tcW w:w="1643" w:type="dxa"/>
            <w:tcBorders>
              <w:top w:val="single" w:sz="2" w:space="0" w:color="000000"/>
              <w:left w:val="single" w:sz="2" w:space="0" w:color="000000"/>
              <w:bottom w:val="single" w:sz="2" w:space="0" w:color="000000"/>
              <w:right w:val="single" w:sz="2" w:space="0" w:color="000000"/>
            </w:tcBorders>
            <w:vAlign w:val="center"/>
          </w:tcPr>
          <w:p w14:paraId="70B6A304" w14:textId="77777777" w:rsidR="00D12863" w:rsidRPr="00D12863" w:rsidRDefault="00D12863" w:rsidP="00D12863">
            <w:pPr>
              <w:spacing w:after="0" w:line="240" w:lineRule="auto"/>
              <w:ind w:left="0" w:right="38" w:firstLine="0"/>
              <w:jc w:val="center"/>
              <w:rPr>
                <w:szCs w:val="20"/>
              </w:rPr>
            </w:pPr>
            <w:proofErr w:type="spellStart"/>
            <w:r w:rsidRPr="00D12863">
              <w:rPr>
                <w:szCs w:val="20"/>
              </w:rPr>
              <w:t>PhP</w:t>
            </w:r>
            <w:proofErr w:type="spellEnd"/>
            <w:r w:rsidRPr="00D12863">
              <w:rPr>
                <w:szCs w:val="20"/>
              </w:rPr>
              <w:t xml:space="preserve"> </w:t>
            </w:r>
          </w:p>
        </w:tc>
        <w:tc>
          <w:tcPr>
            <w:tcW w:w="975" w:type="dxa"/>
            <w:tcBorders>
              <w:top w:val="single" w:sz="2" w:space="0" w:color="000000"/>
              <w:left w:val="single" w:sz="2" w:space="0" w:color="000000"/>
              <w:bottom w:val="single" w:sz="2" w:space="0" w:color="000000"/>
              <w:right w:val="single" w:sz="2" w:space="0" w:color="000000"/>
            </w:tcBorders>
            <w:vAlign w:val="center"/>
          </w:tcPr>
          <w:p w14:paraId="2998C5CB" w14:textId="77777777" w:rsidR="00D12863" w:rsidRPr="00D12863" w:rsidRDefault="00D12863" w:rsidP="00D12863">
            <w:pPr>
              <w:spacing w:after="0" w:line="240" w:lineRule="auto"/>
              <w:ind w:left="0" w:right="39" w:firstLine="0"/>
              <w:jc w:val="center"/>
              <w:rPr>
                <w:szCs w:val="20"/>
              </w:rPr>
            </w:pPr>
            <w:r w:rsidRPr="00D12863">
              <w:rPr>
                <w:szCs w:val="20"/>
              </w:rPr>
              <w:t xml:space="preserve">NA </w:t>
            </w:r>
          </w:p>
        </w:tc>
        <w:tc>
          <w:tcPr>
            <w:tcW w:w="1546" w:type="dxa"/>
            <w:tcBorders>
              <w:top w:val="single" w:sz="2" w:space="0" w:color="000000"/>
              <w:left w:val="single" w:sz="2" w:space="0" w:color="000000"/>
              <w:bottom w:val="single" w:sz="2" w:space="0" w:color="000000"/>
              <w:right w:val="single" w:sz="2" w:space="0" w:color="000000"/>
            </w:tcBorders>
            <w:vAlign w:val="center"/>
          </w:tcPr>
          <w:p w14:paraId="64E8C19A" w14:textId="77777777" w:rsidR="00D12863" w:rsidRPr="00D12863" w:rsidRDefault="00D12863" w:rsidP="00D12863">
            <w:pPr>
              <w:spacing w:after="0" w:line="240" w:lineRule="auto"/>
              <w:ind w:left="0" w:firstLine="0"/>
              <w:jc w:val="left"/>
              <w:rPr>
                <w:szCs w:val="20"/>
              </w:rPr>
            </w:pPr>
            <w:r w:rsidRPr="00D12863">
              <w:rPr>
                <w:szCs w:val="20"/>
              </w:rPr>
              <w:t xml:space="preserve">Pain relief 70% </w:t>
            </w:r>
          </w:p>
        </w:tc>
        <w:tc>
          <w:tcPr>
            <w:tcW w:w="1962" w:type="dxa"/>
            <w:tcBorders>
              <w:top w:val="single" w:sz="2" w:space="0" w:color="000000"/>
              <w:left w:val="single" w:sz="2" w:space="0" w:color="000000"/>
              <w:bottom w:val="single" w:sz="2" w:space="0" w:color="000000"/>
              <w:right w:val="single" w:sz="2" w:space="0" w:color="000000"/>
            </w:tcBorders>
            <w:vAlign w:val="center"/>
          </w:tcPr>
          <w:p w14:paraId="50582E60" w14:textId="77777777" w:rsidR="00D12863" w:rsidRPr="00D12863" w:rsidRDefault="00D12863" w:rsidP="00D12863">
            <w:pPr>
              <w:spacing w:after="0" w:line="240" w:lineRule="auto"/>
              <w:ind w:left="0" w:right="36" w:firstLine="0"/>
              <w:jc w:val="center"/>
              <w:rPr>
                <w:szCs w:val="20"/>
              </w:rPr>
            </w:pPr>
            <w:r w:rsidRPr="00D12863">
              <w:rPr>
                <w:szCs w:val="20"/>
              </w:rPr>
              <w:t xml:space="preserve">·· </w:t>
            </w:r>
          </w:p>
        </w:tc>
      </w:tr>
      <w:tr w:rsidR="00D12863" w:rsidRPr="00D12863" w14:paraId="002B79C9" w14:textId="77777777" w:rsidTr="000D28EF">
        <w:trPr>
          <w:trHeight w:val="718"/>
        </w:trPr>
        <w:tc>
          <w:tcPr>
            <w:tcW w:w="438" w:type="dxa"/>
            <w:tcBorders>
              <w:top w:val="single" w:sz="2" w:space="0" w:color="000000"/>
              <w:left w:val="single" w:sz="2" w:space="0" w:color="000000"/>
              <w:bottom w:val="single" w:sz="2" w:space="0" w:color="000000"/>
              <w:right w:val="single" w:sz="2" w:space="0" w:color="000000"/>
            </w:tcBorders>
            <w:vAlign w:val="center"/>
          </w:tcPr>
          <w:p w14:paraId="0088E3C2" w14:textId="77777777" w:rsidR="00D12863" w:rsidRPr="00D12863" w:rsidRDefault="00D12863" w:rsidP="00D12863">
            <w:pPr>
              <w:spacing w:after="0" w:line="240" w:lineRule="auto"/>
              <w:ind w:left="0" w:right="39" w:firstLine="0"/>
              <w:jc w:val="center"/>
              <w:rPr>
                <w:szCs w:val="20"/>
              </w:rPr>
            </w:pPr>
            <w:r w:rsidRPr="00D12863">
              <w:rPr>
                <w:szCs w:val="20"/>
              </w:rPr>
              <w:t xml:space="preserve">7 </w:t>
            </w:r>
          </w:p>
        </w:tc>
        <w:tc>
          <w:tcPr>
            <w:tcW w:w="1864" w:type="dxa"/>
            <w:tcBorders>
              <w:top w:val="single" w:sz="2" w:space="0" w:color="000000"/>
              <w:left w:val="single" w:sz="2" w:space="0" w:color="000000"/>
              <w:bottom w:val="single" w:sz="2" w:space="0" w:color="000000"/>
              <w:right w:val="single" w:sz="2" w:space="0" w:color="000000"/>
            </w:tcBorders>
            <w:vAlign w:val="center"/>
          </w:tcPr>
          <w:p w14:paraId="1E9649D8" w14:textId="77777777" w:rsidR="00D12863" w:rsidRPr="00D12863" w:rsidRDefault="00D12863" w:rsidP="00D12863">
            <w:pPr>
              <w:spacing w:after="0" w:line="240" w:lineRule="auto"/>
              <w:ind w:left="0" w:right="38" w:firstLine="0"/>
              <w:jc w:val="center"/>
              <w:rPr>
                <w:szCs w:val="20"/>
              </w:rPr>
            </w:pPr>
            <w:proofErr w:type="spellStart"/>
            <w:r w:rsidRPr="00D12863">
              <w:rPr>
                <w:szCs w:val="20"/>
              </w:rPr>
              <w:t>Rasche</w:t>
            </w:r>
            <w:proofErr w:type="spellEnd"/>
            <w:r w:rsidRPr="00D12863">
              <w:rPr>
                <w:szCs w:val="20"/>
              </w:rPr>
              <w:t xml:space="preserve"> D et al., 2006 </w:t>
            </w:r>
            <w:r w:rsidRPr="00D12863">
              <w:rPr>
                <w:szCs w:val="20"/>
              </w:rPr>
              <w:fldChar w:fldCharType="begin" w:fldLock="1"/>
            </w:r>
            <w:r w:rsidRPr="00D12863">
              <w:rPr>
                <w:szCs w:val="20"/>
              </w:rPr>
              <w:instrText>ADDIN CSL_CITATION {"citationItems":[{"id":"ITEM-1","itemData":{"DOI":"10.1016/j.pain.2005.12.006","ISSN":"03043959","abstract":"Chronic subthreshold stimulation of the contralateral precentral gyrus is used in patients with intractable neuropathic pain for more than 15 years. The aim of this study was to analyse retrospectively our own patient group with long term follow-up of 10 years. Seventeen patients with chronic neuropathic pain were treated with contralateral epidural stimulation electrodes. In 10 cases, trigeminal neuropathic pain (TNP) and in seven cases post-stroke pain (PSP) were diagnosed. The placement of the electrodes was performed in local anaesthesia using neuronavigation and intraoperative neuromonitoring. A test trial of minimum one week including double-blind testing was conducted and pain intensity was measured using a visual analogue scale (VAS). Correct placement of the electrode was achieved in all patients using intraoperative neurophysiological monitoring. Double-blind testing was able to identify 6 (35%) non-responders. In 5 of 10 (50%) with TNP and 3 of 7 (43%) with PSP a positive effect with pain reduction ≥50% was observed. The mean follow-up period was 3.6 years (range 1-10 years) and includes a patient with 10 years of positive stimulation effect. Stimulation of the motor cortex is a treatment option for patients with chronic neuropathic pain localized in the face or upper extremity. Double-blind testing can identify non-responders. Patients with TNP profit more than patients with PSP. The positive effect can last for ten years in long-term follow-up. © 2005 International Association for the Study of Pain. Published by Elsevier B.V. All rights reserved.","author":[{"dropping-particle":"","family":"Rasche","given":"Dirk","non-dropping-particle":"","parse-names":false,"suffix":""},{"dropping-particle":"","family":"Ruppolt","given":"Marc","non-dropping-particle":"","parse-names":false,"suffix":""},{"dropping-particle":"","family":"Stippich","given":"Christoph","non-dropping-particle":"","parse-names":false,"suffix":""},{"dropping-particle":"","family":"Unterberg","given":"Andreas","non-dropping-particle":"","parse-names":false,"suffix":""},{"dropping-particle":"","family":"Tronnier","given":"Volker M.","non-dropping-particle":"","parse-names":false,"suffix":""}],"container-title":"Pain","id":"ITEM-1","issue":"1-2","issued":{"date-parts":[["2006"]]},"page":"43-52","title":"Motor cortex stimulation for long-term relief of chronic neuropathic pain: A 10 year experience","type":"article-journal","volume":"121"},"uris":["http://www.mendeley.com/documents/?uuid=6f818a66-5147-4ce4-90e2-ed61298de560"]}],"mendeley":{"formattedCitation":"&lt;sup&gt;53&lt;/sup&gt;","plainTextFormattedCitation":"53","previouslyFormattedCitation":"(43)"},"properties":{"noteIndex":0},"schema":"https://github.com/citation-style-language/schema/raw/master/csl-citation.json"}</w:instrText>
            </w:r>
            <w:r w:rsidRPr="00D12863">
              <w:rPr>
                <w:szCs w:val="20"/>
              </w:rPr>
              <w:fldChar w:fldCharType="separate"/>
            </w:r>
            <w:r w:rsidRPr="00D12863">
              <w:rPr>
                <w:noProof/>
                <w:szCs w:val="20"/>
                <w:vertAlign w:val="superscript"/>
              </w:rPr>
              <w:t>53</w:t>
            </w:r>
            <w:r w:rsidRPr="00D12863">
              <w:rPr>
                <w:szCs w:val="20"/>
              </w:rPr>
              <w:fldChar w:fldCharType="end"/>
            </w:r>
          </w:p>
        </w:tc>
        <w:tc>
          <w:tcPr>
            <w:tcW w:w="934" w:type="dxa"/>
            <w:tcBorders>
              <w:top w:val="single" w:sz="2" w:space="0" w:color="000000"/>
              <w:left w:val="single" w:sz="2" w:space="0" w:color="000000"/>
              <w:bottom w:val="single" w:sz="2" w:space="0" w:color="000000"/>
              <w:right w:val="single" w:sz="2" w:space="0" w:color="000000"/>
            </w:tcBorders>
            <w:vAlign w:val="center"/>
          </w:tcPr>
          <w:p w14:paraId="069B9813" w14:textId="77777777" w:rsidR="00D12863" w:rsidRPr="00D12863" w:rsidRDefault="00D12863" w:rsidP="00D12863">
            <w:pPr>
              <w:spacing w:after="0" w:line="240" w:lineRule="auto"/>
              <w:ind w:left="0" w:right="39" w:firstLine="0"/>
              <w:jc w:val="center"/>
              <w:rPr>
                <w:szCs w:val="20"/>
              </w:rPr>
            </w:pPr>
            <w:r w:rsidRPr="00D12863">
              <w:rPr>
                <w:szCs w:val="20"/>
              </w:rPr>
              <w:t xml:space="preserve">17 </w:t>
            </w:r>
          </w:p>
        </w:tc>
        <w:tc>
          <w:tcPr>
            <w:tcW w:w="1643" w:type="dxa"/>
            <w:tcBorders>
              <w:top w:val="single" w:sz="2" w:space="0" w:color="000000"/>
              <w:left w:val="single" w:sz="2" w:space="0" w:color="000000"/>
              <w:bottom w:val="single" w:sz="2" w:space="0" w:color="000000"/>
              <w:right w:val="single" w:sz="2" w:space="0" w:color="000000"/>
            </w:tcBorders>
            <w:vAlign w:val="center"/>
          </w:tcPr>
          <w:p w14:paraId="1A25BD26" w14:textId="77777777" w:rsidR="00D12863" w:rsidRPr="00D12863" w:rsidRDefault="00D12863" w:rsidP="00D12863">
            <w:pPr>
              <w:spacing w:after="0" w:line="240" w:lineRule="auto"/>
              <w:ind w:left="0" w:right="40" w:firstLine="0"/>
              <w:jc w:val="center"/>
              <w:rPr>
                <w:szCs w:val="20"/>
              </w:rPr>
            </w:pPr>
            <w:r w:rsidRPr="00D12863">
              <w:rPr>
                <w:szCs w:val="20"/>
              </w:rPr>
              <w:t xml:space="preserve">TN; CPS </w:t>
            </w:r>
          </w:p>
        </w:tc>
        <w:tc>
          <w:tcPr>
            <w:tcW w:w="975" w:type="dxa"/>
            <w:tcBorders>
              <w:top w:val="single" w:sz="2" w:space="0" w:color="000000"/>
              <w:left w:val="single" w:sz="2" w:space="0" w:color="000000"/>
              <w:bottom w:val="single" w:sz="2" w:space="0" w:color="000000"/>
              <w:right w:val="single" w:sz="2" w:space="0" w:color="000000"/>
            </w:tcBorders>
            <w:vAlign w:val="center"/>
          </w:tcPr>
          <w:p w14:paraId="34D62B64" w14:textId="77777777" w:rsidR="00D12863" w:rsidRPr="00D12863" w:rsidRDefault="00D12863" w:rsidP="00D12863">
            <w:pPr>
              <w:spacing w:after="0" w:line="240" w:lineRule="auto"/>
              <w:ind w:left="0" w:right="38" w:firstLine="0"/>
              <w:jc w:val="center"/>
              <w:rPr>
                <w:szCs w:val="20"/>
              </w:rPr>
            </w:pPr>
            <w:r w:rsidRPr="00D12863">
              <w:rPr>
                <w:szCs w:val="20"/>
              </w:rPr>
              <w:t xml:space="preserve">47% </w:t>
            </w:r>
          </w:p>
        </w:tc>
        <w:tc>
          <w:tcPr>
            <w:tcW w:w="1546" w:type="dxa"/>
            <w:tcBorders>
              <w:top w:val="single" w:sz="2" w:space="0" w:color="000000"/>
              <w:left w:val="single" w:sz="2" w:space="0" w:color="000000"/>
              <w:bottom w:val="single" w:sz="2" w:space="0" w:color="000000"/>
              <w:right w:val="single" w:sz="2" w:space="0" w:color="000000"/>
            </w:tcBorders>
            <w:vAlign w:val="center"/>
          </w:tcPr>
          <w:p w14:paraId="174B6F96" w14:textId="77777777" w:rsidR="00D12863" w:rsidRPr="00D12863" w:rsidRDefault="00D12863" w:rsidP="00D12863">
            <w:pPr>
              <w:spacing w:after="0" w:line="240" w:lineRule="auto"/>
              <w:ind w:left="0" w:right="38" w:firstLine="0"/>
              <w:jc w:val="center"/>
              <w:rPr>
                <w:szCs w:val="20"/>
              </w:rPr>
            </w:pPr>
            <w:r w:rsidRPr="00D12863">
              <w:rPr>
                <w:szCs w:val="20"/>
              </w:rPr>
              <w:t xml:space="preserve">47% / &gt;50% </w:t>
            </w:r>
          </w:p>
        </w:tc>
        <w:tc>
          <w:tcPr>
            <w:tcW w:w="1962" w:type="dxa"/>
            <w:tcBorders>
              <w:top w:val="single" w:sz="2" w:space="0" w:color="000000"/>
              <w:left w:val="single" w:sz="2" w:space="0" w:color="000000"/>
              <w:bottom w:val="single" w:sz="2" w:space="0" w:color="000000"/>
              <w:right w:val="single" w:sz="2" w:space="0" w:color="000000"/>
            </w:tcBorders>
          </w:tcPr>
          <w:p w14:paraId="44049DEE" w14:textId="77777777" w:rsidR="00D12863" w:rsidRPr="00D12863" w:rsidRDefault="00D12863" w:rsidP="00D12863">
            <w:pPr>
              <w:spacing w:after="97" w:line="240" w:lineRule="auto"/>
              <w:ind w:left="0" w:firstLine="0"/>
              <w:jc w:val="center"/>
              <w:rPr>
                <w:szCs w:val="20"/>
              </w:rPr>
            </w:pPr>
            <w:r w:rsidRPr="00D12863">
              <w:rPr>
                <w:szCs w:val="20"/>
              </w:rPr>
              <w:t xml:space="preserve">Intraoperative seizure, wound infection, speech arrest (3 months) </w:t>
            </w:r>
          </w:p>
        </w:tc>
      </w:tr>
      <w:tr w:rsidR="00D12863" w:rsidRPr="00D12863" w14:paraId="6EEC09FB" w14:textId="77777777" w:rsidTr="000D28EF">
        <w:trPr>
          <w:trHeight w:val="718"/>
        </w:trPr>
        <w:tc>
          <w:tcPr>
            <w:tcW w:w="438" w:type="dxa"/>
            <w:tcBorders>
              <w:top w:val="single" w:sz="2" w:space="0" w:color="000000"/>
              <w:left w:val="single" w:sz="2" w:space="0" w:color="000000"/>
              <w:bottom w:val="single" w:sz="2" w:space="0" w:color="000000"/>
              <w:right w:val="single" w:sz="2" w:space="0" w:color="000000"/>
            </w:tcBorders>
            <w:vAlign w:val="center"/>
          </w:tcPr>
          <w:p w14:paraId="1EEBC660" w14:textId="77777777" w:rsidR="00D12863" w:rsidRPr="00D12863" w:rsidRDefault="00D12863" w:rsidP="00D12863">
            <w:pPr>
              <w:spacing w:after="0" w:line="240" w:lineRule="auto"/>
              <w:ind w:left="0" w:right="39" w:firstLine="0"/>
              <w:jc w:val="center"/>
              <w:rPr>
                <w:szCs w:val="20"/>
              </w:rPr>
            </w:pPr>
            <w:r w:rsidRPr="00D12863">
              <w:rPr>
                <w:szCs w:val="20"/>
              </w:rPr>
              <w:t xml:space="preserve">8 </w:t>
            </w:r>
          </w:p>
        </w:tc>
        <w:tc>
          <w:tcPr>
            <w:tcW w:w="1864" w:type="dxa"/>
            <w:tcBorders>
              <w:top w:val="single" w:sz="2" w:space="0" w:color="000000"/>
              <w:left w:val="single" w:sz="2" w:space="0" w:color="000000"/>
              <w:bottom w:val="single" w:sz="2" w:space="0" w:color="000000"/>
              <w:right w:val="single" w:sz="2" w:space="0" w:color="000000"/>
            </w:tcBorders>
            <w:vAlign w:val="center"/>
          </w:tcPr>
          <w:p w14:paraId="562606C0" w14:textId="77777777" w:rsidR="00D12863" w:rsidRPr="00D12863" w:rsidRDefault="00D12863" w:rsidP="00D12863">
            <w:pPr>
              <w:spacing w:after="0" w:line="240" w:lineRule="auto"/>
              <w:ind w:left="0" w:right="38" w:firstLine="0"/>
              <w:jc w:val="center"/>
              <w:rPr>
                <w:szCs w:val="20"/>
              </w:rPr>
            </w:pPr>
            <w:proofErr w:type="spellStart"/>
            <w:r w:rsidRPr="00D12863">
              <w:rPr>
                <w:szCs w:val="20"/>
              </w:rPr>
              <w:t>Delavallee</w:t>
            </w:r>
            <w:proofErr w:type="spellEnd"/>
            <w:r w:rsidRPr="00D12863">
              <w:rPr>
                <w:szCs w:val="20"/>
              </w:rPr>
              <w:t xml:space="preserve"> M et al., 2008 </w:t>
            </w:r>
            <w:r w:rsidRPr="00D12863">
              <w:rPr>
                <w:szCs w:val="20"/>
              </w:rPr>
              <w:fldChar w:fldCharType="begin" w:fldLock="1"/>
            </w:r>
            <w:r w:rsidRPr="00D12863">
              <w:rPr>
                <w:szCs w:val="20"/>
              </w:rPr>
              <w:instrText>ADDIN CSL_CITATION {"citationItems":[{"id":"ITEM-1","itemData":{"DOI":"10.1227/01.NEU.0000335076.24481.B6","ISSN":"0148396X","abstract":"Objective: In certain chronic neuropathic pain (CNP) conditions, extradural electrode implantation is preferred to a subdural location for motor cortex stimulation (MCS) therapy, but the rationale for this preference remains debatable. We provide documented long-term results of subdural MCS in CNP. METHODS: Our eight consecutive patients (five men, three women; age range, 45-81 yr) had either central or peripheral CNP. We localized the central sulcus using anatomic landmarks and three-dimensional neuronavigation and by detecting the N20 wave inversion. We then created an elongated craniotomy (3 cm long × 1 cm wide), followed by a linear incision of the dura. An eight-polar plate electrode was slipped in subdurally. We used motor-evoked potentials to choose the optimal electrode position before fixing the electrode to the dura. RESULTS: Six patients had favorable outcomes, and two had poor outcomes at the time of the last assessment (mean, 54 mo; range, 19-69 mo). Three patients experienced five transient complications, each having an episode of partial motor seizure, one that evolved into a secondary generalized seizure. Seizures were related to an abrupt increase in stimulation intensity. Two of these three patients also had hardware infections that required system replacement, with the electrode implanted extradurally at the second implantation in one case because of severe arachnoiditis. This change necessitated a greater intensity and a longer duration of stimulation to deliver a therapeutic effect equivalent to that with subdural MCS. CONCLUSION: In this small series, subdural MCS seemed a tolerable approach in the long term for CNP patients. In addition, subdural MCS provided a therapeutic effect comparable to that obtained with extradural placement.","author":[{"dropping-particle":"","family":"Delavallée","given":"Maxime","non-dropping-particle":"","parse-names":false,"suffix":""},{"dropping-particle":"","family":"Abu-Serieh","given":"Basel","non-dropping-particle":"","parse-names":false,"suffix":""},{"dropping-particle":"","family":"Tourchaninoff","given":"Marianne","non-dropping-particle":"De","parse-names":false,"suffix":""},{"dropping-particle":"","family":"Raftopoulos","given":"Christian","non-dropping-particle":"","parse-names":false,"suffix":""}],"container-title":"Neurosurgery","id":"ITEM-1","issue":"1","issued":{"date-parts":[["2008","7"]]},"page":"101-105","title":"Subdural motor cortex stimulation for central and peripheral neuropathic pain: A long-term follow-up study in a series of eight patients","type":"article-journal","volume":"63"},"uris":["http://www.mendeley.com/documents/?uuid=fe86ab20-3870-3e04-9072-d74db3eb228b"]}],"mendeley":{"formattedCitation":"&lt;sup&gt;4&lt;/sup&gt;","plainTextFormattedCitation":"4","previouslyFormattedCitation":"(4)"},"properties":{"noteIndex":0},"schema":"https://github.com/citation-style-language/schema/raw/master/csl-citation.json"}</w:instrText>
            </w:r>
            <w:r w:rsidRPr="00D12863">
              <w:rPr>
                <w:szCs w:val="20"/>
              </w:rPr>
              <w:fldChar w:fldCharType="separate"/>
            </w:r>
            <w:r w:rsidRPr="00D12863">
              <w:rPr>
                <w:noProof/>
                <w:szCs w:val="20"/>
                <w:vertAlign w:val="superscript"/>
              </w:rPr>
              <w:t>4</w:t>
            </w:r>
            <w:r w:rsidRPr="00D12863">
              <w:rPr>
                <w:szCs w:val="20"/>
              </w:rPr>
              <w:fldChar w:fldCharType="end"/>
            </w:r>
            <w:r w:rsidRPr="00D12863">
              <w:rPr>
                <w:szCs w:val="20"/>
              </w:rPr>
              <w:t xml:space="preserve"> </w:t>
            </w:r>
          </w:p>
        </w:tc>
        <w:tc>
          <w:tcPr>
            <w:tcW w:w="934" w:type="dxa"/>
            <w:tcBorders>
              <w:top w:val="single" w:sz="2" w:space="0" w:color="000000"/>
              <w:left w:val="single" w:sz="2" w:space="0" w:color="000000"/>
              <w:bottom w:val="single" w:sz="2" w:space="0" w:color="000000"/>
              <w:right w:val="single" w:sz="2" w:space="0" w:color="000000"/>
            </w:tcBorders>
            <w:vAlign w:val="center"/>
          </w:tcPr>
          <w:p w14:paraId="0BDDCC9E" w14:textId="77777777" w:rsidR="00D12863" w:rsidRPr="00D12863" w:rsidRDefault="00D12863" w:rsidP="00D12863">
            <w:pPr>
              <w:spacing w:after="0" w:line="240" w:lineRule="auto"/>
              <w:ind w:left="0" w:right="39" w:firstLine="0"/>
              <w:jc w:val="center"/>
              <w:rPr>
                <w:szCs w:val="20"/>
              </w:rPr>
            </w:pPr>
            <w:r w:rsidRPr="00D12863">
              <w:rPr>
                <w:szCs w:val="20"/>
              </w:rPr>
              <w:t xml:space="preserve">8 </w:t>
            </w:r>
          </w:p>
        </w:tc>
        <w:tc>
          <w:tcPr>
            <w:tcW w:w="1643" w:type="dxa"/>
            <w:tcBorders>
              <w:top w:val="single" w:sz="2" w:space="0" w:color="000000"/>
              <w:left w:val="single" w:sz="2" w:space="0" w:color="000000"/>
              <w:bottom w:val="single" w:sz="2" w:space="0" w:color="000000"/>
              <w:right w:val="single" w:sz="2" w:space="0" w:color="000000"/>
            </w:tcBorders>
            <w:vAlign w:val="center"/>
          </w:tcPr>
          <w:p w14:paraId="56FF8D35" w14:textId="625C9E4C" w:rsidR="00D12863" w:rsidRPr="00D12863" w:rsidRDefault="00D12863" w:rsidP="00D12863">
            <w:pPr>
              <w:spacing w:after="0" w:line="240" w:lineRule="auto"/>
              <w:ind w:left="0" w:right="38" w:firstLine="0"/>
              <w:jc w:val="center"/>
              <w:rPr>
                <w:szCs w:val="20"/>
              </w:rPr>
            </w:pPr>
            <w:r w:rsidRPr="00D12863">
              <w:rPr>
                <w:szCs w:val="20"/>
              </w:rPr>
              <w:t>TN; CPS; PPTN;</w:t>
            </w:r>
            <w:r w:rsidR="00BF1C4D">
              <w:rPr>
                <w:szCs w:val="20"/>
              </w:rPr>
              <w:t xml:space="preserve"> </w:t>
            </w:r>
            <w:r w:rsidRPr="00D12863">
              <w:rPr>
                <w:szCs w:val="20"/>
              </w:rPr>
              <w:t xml:space="preserve">BPI </w:t>
            </w:r>
          </w:p>
        </w:tc>
        <w:tc>
          <w:tcPr>
            <w:tcW w:w="975" w:type="dxa"/>
            <w:tcBorders>
              <w:top w:val="single" w:sz="2" w:space="0" w:color="000000"/>
              <w:left w:val="single" w:sz="2" w:space="0" w:color="000000"/>
              <w:bottom w:val="single" w:sz="2" w:space="0" w:color="000000"/>
              <w:right w:val="single" w:sz="2" w:space="0" w:color="000000"/>
            </w:tcBorders>
            <w:vAlign w:val="center"/>
          </w:tcPr>
          <w:p w14:paraId="24D912DB" w14:textId="77777777" w:rsidR="00D12863" w:rsidRPr="00D12863" w:rsidRDefault="00D12863" w:rsidP="00D12863">
            <w:pPr>
              <w:spacing w:after="0" w:line="240" w:lineRule="auto"/>
              <w:ind w:left="0" w:right="39" w:firstLine="0"/>
              <w:jc w:val="center"/>
              <w:rPr>
                <w:szCs w:val="20"/>
              </w:rPr>
            </w:pPr>
            <w:r w:rsidRPr="00D12863">
              <w:rPr>
                <w:szCs w:val="20"/>
              </w:rPr>
              <w:t xml:space="preserve">NA </w:t>
            </w:r>
          </w:p>
        </w:tc>
        <w:tc>
          <w:tcPr>
            <w:tcW w:w="1546" w:type="dxa"/>
            <w:tcBorders>
              <w:top w:val="single" w:sz="2" w:space="0" w:color="000000"/>
              <w:left w:val="single" w:sz="2" w:space="0" w:color="000000"/>
              <w:bottom w:val="single" w:sz="2" w:space="0" w:color="000000"/>
              <w:right w:val="single" w:sz="2" w:space="0" w:color="000000"/>
            </w:tcBorders>
          </w:tcPr>
          <w:p w14:paraId="36B524EA" w14:textId="747905EB" w:rsidR="00D12863" w:rsidRPr="00D12863" w:rsidRDefault="00D12863" w:rsidP="00D12863">
            <w:pPr>
              <w:spacing w:after="30" w:line="240" w:lineRule="auto"/>
              <w:ind w:left="0" w:firstLine="0"/>
              <w:jc w:val="center"/>
              <w:rPr>
                <w:szCs w:val="20"/>
              </w:rPr>
            </w:pPr>
            <w:r w:rsidRPr="00D12863">
              <w:rPr>
                <w:szCs w:val="20"/>
              </w:rPr>
              <w:t xml:space="preserve">50%/&gt;80%, mean pain relief </w:t>
            </w:r>
          </w:p>
          <w:p w14:paraId="5E55F82D" w14:textId="77777777" w:rsidR="00D12863" w:rsidRPr="00D12863" w:rsidRDefault="00D12863" w:rsidP="00D12863">
            <w:pPr>
              <w:spacing w:after="0" w:line="240" w:lineRule="auto"/>
              <w:ind w:left="0" w:right="38" w:firstLine="0"/>
              <w:jc w:val="center"/>
              <w:rPr>
                <w:szCs w:val="20"/>
              </w:rPr>
            </w:pPr>
            <w:r w:rsidRPr="00D12863">
              <w:rPr>
                <w:szCs w:val="20"/>
              </w:rPr>
              <w:t xml:space="preserve">~66% </w:t>
            </w:r>
          </w:p>
        </w:tc>
        <w:tc>
          <w:tcPr>
            <w:tcW w:w="1962" w:type="dxa"/>
            <w:tcBorders>
              <w:top w:val="single" w:sz="2" w:space="0" w:color="000000"/>
              <w:left w:val="single" w:sz="2" w:space="0" w:color="000000"/>
              <w:bottom w:val="single" w:sz="2" w:space="0" w:color="000000"/>
              <w:right w:val="single" w:sz="2" w:space="0" w:color="000000"/>
            </w:tcBorders>
          </w:tcPr>
          <w:p w14:paraId="231EC804" w14:textId="7778E869" w:rsidR="00D12863" w:rsidRPr="00D12863" w:rsidRDefault="00D12863" w:rsidP="00D12863">
            <w:pPr>
              <w:spacing w:after="0" w:line="240" w:lineRule="auto"/>
              <w:ind w:left="0" w:firstLine="0"/>
              <w:jc w:val="center"/>
              <w:rPr>
                <w:szCs w:val="20"/>
              </w:rPr>
            </w:pPr>
            <w:r w:rsidRPr="00D12863">
              <w:rPr>
                <w:szCs w:val="20"/>
              </w:rPr>
              <w:t xml:space="preserve">Partial motor and generalized seizures, </w:t>
            </w:r>
            <w:proofErr w:type="spellStart"/>
            <w:r w:rsidRPr="00D12863">
              <w:rPr>
                <w:szCs w:val="20"/>
              </w:rPr>
              <w:t>arachnoiditis</w:t>
            </w:r>
            <w:proofErr w:type="spellEnd"/>
            <w:r w:rsidRPr="00D12863">
              <w:rPr>
                <w:szCs w:val="20"/>
              </w:rPr>
              <w:t xml:space="preserve"> </w:t>
            </w:r>
          </w:p>
        </w:tc>
      </w:tr>
      <w:tr w:rsidR="00D12863" w:rsidRPr="00D12863" w14:paraId="47E27EC3" w14:textId="77777777" w:rsidTr="000D28EF">
        <w:trPr>
          <w:trHeight w:val="533"/>
        </w:trPr>
        <w:tc>
          <w:tcPr>
            <w:tcW w:w="438" w:type="dxa"/>
            <w:tcBorders>
              <w:top w:val="single" w:sz="2" w:space="0" w:color="000000"/>
              <w:left w:val="single" w:sz="2" w:space="0" w:color="000000"/>
              <w:bottom w:val="single" w:sz="2" w:space="0" w:color="000000"/>
              <w:right w:val="single" w:sz="2" w:space="0" w:color="000000"/>
            </w:tcBorders>
            <w:vAlign w:val="center"/>
          </w:tcPr>
          <w:p w14:paraId="7047DBCA" w14:textId="77777777" w:rsidR="00D12863" w:rsidRPr="00D12863" w:rsidRDefault="00D12863" w:rsidP="00D12863">
            <w:pPr>
              <w:spacing w:after="0" w:line="240" w:lineRule="auto"/>
              <w:ind w:left="0" w:right="39" w:firstLine="0"/>
              <w:jc w:val="center"/>
              <w:rPr>
                <w:szCs w:val="20"/>
              </w:rPr>
            </w:pPr>
            <w:r w:rsidRPr="00D12863">
              <w:rPr>
                <w:szCs w:val="20"/>
              </w:rPr>
              <w:lastRenderedPageBreak/>
              <w:t xml:space="preserve">9 </w:t>
            </w:r>
          </w:p>
        </w:tc>
        <w:tc>
          <w:tcPr>
            <w:tcW w:w="1864" w:type="dxa"/>
            <w:tcBorders>
              <w:top w:val="single" w:sz="2" w:space="0" w:color="000000"/>
              <w:left w:val="single" w:sz="2" w:space="0" w:color="000000"/>
              <w:bottom w:val="single" w:sz="2" w:space="0" w:color="000000"/>
              <w:right w:val="single" w:sz="2" w:space="0" w:color="000000"/>
            </w:tcBorders>
            <w:vAlign w:val="center"/>
          </w:tcPr>
          <w:p w14:paraId="0FC7CD18" w14:textId="77777777" w:rsidR="00D12863" w:rsidRPr="00D12863" w:rsidRDefault="00D12863" w:rsidP="00D12863">
            <w:pPr>
              <w:spacing w:after="0" w:line="240" w:lineRule="auto"/>
              <w:ind w:left="0" w:right="40" w:firstLine="0"/>
              <w:jc w:val="center"/>
              <w:rPr>
                <w:szCs w:val="20"/>
              </w:rPr>
            </w:pPr>
            <w:r w:rsidRPr="00D12863">
              <w:rPr>
                <w:szCs w:val="20"/>
              </w:rPr>
              <w:t xml:space="preserve">Velasco F et al., 2008 </w:t>
            </w:r>
            <w:r w:rsidRPr="00D12863">
              <w:rPr>
                <w:szCs w:val="20"/>
              </w:rPr>
              <w:fldChar w:fldCharType="begin" w:fldLock="1"/>
            </w:r>
            <w:r w:rsidRPr="00D12863">
              <w:rPr>
                <w:szCs w:val="20"/>
              </w:rPr>
              <w:instrText>ADDIN CSL_CITATION {"citationItems":[{"id":"ITEM-1","itemData":{"DOI":"10.3171/JNS/2008/108/4/0698","ISSN":"00223085","abstract":"Object. In this study the authors used a double-blind protocol to assess the efficacy of motor cortex stimulation (MCS) for treating neuropathic pain. Methods. Eleven patients with unilateral neuropathic pain (visual analog scale [VAS] score 8-10) of different origins and topography were selected for MCS. A 20-contact grid was implanted through a craniotomy centered over the motor cortex contralateral to the painful area. The motor cortex strip was identified using neuroimages, somatosensory evoked potentials, acute electrical stimulation, and corticocortical evoked potentials. Subacute therapeutic stimulation trials allowed the authors to determine the most efficient pair of contacts to use for long-term MCS. The grid was replaced with a 4-contact electrode connected to an internalized stimulator. Bipolar stimulation at a 40-Hz frequency, 90-msec pulse width, amplitude 2-7 V, and 1 hour in \"ON\" and 4 hours in \"OFF\" mode was used. Pain was evaluated using the VAS, Bourhis, and McGill pain scales applied each month for 1 year. At Day 60 or 90, the stimulators were turned to OFF mode for 30 days in a randomized, double-blind fashion. The statistical tool used was the Wilcoxon test. Results. Three patients did not report improvement in the subacute trial and were excluded from long-term MCS; the remaining patients underwent long-term stimulation. Significant improvement of pain was induced by MCS (p &lt; 0.01); this persisted during the follow-up period. Turning stimulation to OFF mode increased pain significantly (p &lt; 0.05). Improvement at 1 year was ≥ 40% (40-86%) in all cases. Conclusions. Motor cortex stimulation is an efficient treatment for neuropathic pain, according to an evaluation facilitated by a double-blind maneuver. Subacute stimulation trials are recommended to determine the optimum motor cortex area to be stimulated and to identify nonresponders.","author":[{"dropping-particle":"","family":"Velasco","given":"Francisco","non-dropping-particle":"","parse-names":false,"suffix":""},{"dropping-particle":"","family":"Argüelles","given":"Carlos","non-dropping-particle":"","parse-names":false,"suffix":""},{"dropping-particle":"","family":"Carrillo-Ruiz","given":"José D.","non-dropping-particle":"","parse-names":false,"suffix":""},{"dropping-particle":"","family":"Castro","given":"Guillermo","non-dropping-particle":"","parse-names":false,"suffix":""},{"dropping-particle":"","family":"Velasco","given":"Ana Luisa","non-dropping-particle":"","parse-names":false,"suffix":""},{"dropping-particle":"","family":"Jiménez","given":"Fiacro","non-dropping-particle":"","parse-names":false,"suffix":""},{"dropping-particle":"","family":"Velasco","given":"Marcos","non-dropping-particle":"","parse-names":false,"suffix":""}],"container-title":"Journal of Neurosurgery","id":"ITEM-1","issue":"4","issued":{"date-parts":[["2008"]]},"page":"698-706","title":"Efficacy of motor cortex stimulation in the treatment of neuropathic pain: A randomized double-blind trial","type":"article-journal","volume":"108"},"uris":["http://www.mendeley.com/documents/?uuid=eefae1dc-e73c-4e54-b030-d0dc543eac02"]}],"mendeley":{"formattedCitation":"&lt;sup&gt;54&lt;/sup&gt;","plainTextFormattedCitation":"54","previouslyFormattedCitation":"(44)"},"properties":{"noteIndex":0},"schema":"https://github.com/citation-style-language/schema/raw/master/csl-citation.json"}</w:instrText>
            </w:r>
            <w:r w:rsidRPr="00D12863">
              <w:rPr>
                <w:szCs w:val="20"/>
              </w:rPr>
              <w:fldChar w:fldCharType="separate"/>
            </w:r>
            <w:r w:rsidRPr="00D12863">
              <w:rPr>
                <w:noProof/>
                <w:szCs w:val="20"/>
                <w:vertAlign w:val="superscript"/>
              </w:rPr>
              <w:t>54</w:t>
            </w:r>
            <w:r w:rsidRPr="00D12863">
              <w:rPr>
                <w:szCs w:val="20"/>
              </w:rPr>
              <w:fldChar w:fldCharType="end"/>
            </w:r>
            <w:r w:rsidRPr="00D12863">
              <w:rPr>
                <w:szCs w:val="20"/>
              </w:rPr>
              <w:t>.</w:t>
            </w:r>
          </w:p>
        </w:tc>
        <w:tc>
          <w:tcPr>
            <w:tcW w:w="934" w:type="dxa"/>
            <w:tcBorders>
              <w:top w:val="single" w:sz="2" w:space="0" w:color="000000"/>
              <w:left w:val="single" w:sz="2" w:space="0" w:color="000000"/>
              <w:bottom w:val="single" w:sz="2" w:space="0" w:color="000000"/>
              <w:right w:val="single" w:sz="2" w:space="0" w:color="000000"/>
            </w:tcBorders>
            <w:vAlign w:val="center"/>
          </w:tcPr>
          <w:p w14:paraId="7F13DD2B" w14:textId="77777777" w:rsidR="00D12863" w:rsidRPr="00D12863" w:rsidRDefault="00D12863" w:rsidP="00D12863">
            <w:pPr>
              <w:spacing w:after="0" w:line="240" w:lineRule="auto"/>
              <w:ind w:left="0" w:right="39" w:firstLine="0"/>
              <w:jc w:val="center"/>
              <w:rPr>
                <w:szCs w:val="20"/>
              </w:rPr>
            </w:pPr>
            <w:r w:rsidRPr="00D12863">
              <w:rPr>
                <w:szCs w:val="20"/>
              </w:rPr>
              <w:t xml:space="preserve">11 </w:t>
            </w:r>
          </w:p>
        </w:tc>
        <w:tc>
          <w:tcPr>
            <w:tcW w:w="1643" w:type="dxa"/>
            <w:tcBorders>
              <w:top w:val="single" w:sz="2" w:space="0" w:color="000000"/>
              <w:left w:val="single" w:sz="2" w:space="0" w:color="000000"/>
              <w:bottom w:val="single" w:sz="2" w:space="0" w:color="000000"/>
              <w:right w:val="single" w:sz="2" w:space="0" w:color="000000"/>
            </w:tcBorders>
            <w:vAlign w:val="center"/>
          </w:tcPr>
          <w:p w14:paraId="3818B774" w14:textId="1631A8B2" w:rsidR="00D12863" w:rsidRPr="00D12863" w:rsidRDefault="00D12863" w:rsidP="00D12863">
            <w:pPr>
              <w:spacing w:after="0" w:line="240" w:lineRule="auto"/>
              <w:ind w:left="0" w:right="38" w:firstLine="0"/>
              <w:jc w:val="center"/>
              <w:rPr>
                <w:szCs w:val="20"/>
              </w:rPr>
            </w:pPr>
            <w:r w:rsidRPr="00D12863">
              <w:rPr>
                <w:szCs w:val="20"/>
              </w:rPr>
              <w:t>CPS;</w:t>
            </w:r>
            <w:r w:rsidR="00BF1C4D">
              <w:rPr>
                <w:szCs w:val="20"/>
              </w:rPr>
              <w:t xml:space="preserve"> </w:t>
            </w:r>
            <w:r w:rsidRPr="00D12863">
              <w:rPr>
                <w:szCs w:val="20"/>
              </w:rPr>
              <w:t xml:space="preserve">BPI </w:t>
            </w:r>
          </w:p>
        </w:tc>
        <w:tc>
          <w:tcPr>
            <w:tcW w:w="975" w:type="dxa"/>
            <w:tcBorders>
              <w:top w:val="single" w:sz="2" w:space="0" w:color="000000"/>
              <w:left w:val="single" w:sz="2" w:space="0" w:color="000000"/>
              <w:bottom w:val="single" w:sz="2" w:space="0" w:color="000000"/>
              <w:right w:val="single" w:sz="2" w:space="0" w:color="000000"/>
            </w:tcBorders>
            <w:vAlign w:val="center"/>
          </w:tcPr>
          <w:p w14:paraId="2742A84C" w14:textId="77777777" w:rsidR="00D12863" w:rsidRPr="00D12863" w:rsidRDefault="00D12863" w:rsidP="00D12863">
            <w:pPr>
              <w:spacing w:after="0" w:line="240" w:lineRule="auto"/>
              <w:ind w:left="0" w:right="38" w:firstLine="0"/>
              <w:jc w:val="center"/>
              <w:rPr>
                <w:szCs w:val="20"/>
              </w:rPr>
            </w:pPr>
            <w:r w:rsidRPr="00D12863">
              <w:rPr>
                <w:szCs w:val="20"/>
              </w:rPr>
              <w:t xml:space="preserve">73% </w:t>
            </w:r>
          </w:p>
        </w:tc>
        <w:tc>
          <w:tcPr>
            <w:tcW w:w="1546" w:type="dxa"/>
            <w:tcBorders>
              <w:top w:val="single" w:sz="2" w:space="0" w:color="000000"/>
              <w:left w:val="single" w:sz="2" w:space="0" w:color="000000"/>
              <w:bottom w:val="single" w:sz="2" w:space="0" w:color="000000"/>
              <w:right w:val="single" w:sz="2" w:space="0" w:color="000000"/>
            </w:tcBorders>
          </w:tcPr>
          <w:p w14:paraId="433F2634" w14:textId="77777777" w:rsidR="00D12863" w:rsidRPr="00D12863" w:rsidRDefault="00D12863" w:rsidP="00D12863">
            <w:pPr>
              <w:spacing w:after="0" w:line="240" w:lineRule="auto"/>
              <w:ind w:left="0" w:firstLine="0"/>
              <w:jc w:val="center"/>
              <w:rPr>
                <w:szCs w:val="20"/>
              </w:rPr>
            </w:pPr>
            <w:r w:rsidRPr="00D12863">
              <w:rPr>
                <w:szCs w:val="20"/>
              </w:rPr>
              <w:t xml:space="preserve">Mean pain relief ~63% * </w:t>
            </w:r>
          </w:p>
        </w:tc>
        <w:tc>
          <w:tcPr>
            <w:tcW w:w="1962" w:type="dxa"/>
            <w:tcBorders>
              <w:top w:val="single" w:sz="2" w:space="0" w:color="000000"/>
              <w:left w:val="single" w:sz="2" w:space="0" w:color="000000"/>
              <w:bottom w:val="single" w:sz="2" w:space="0" w:color="000000"/>
              <w:right w:val="single" w:sz="2" w:space="0" w:color="000000"/>
            </w:tcBorders>
            <w:vAlign w:val="center"/>
          </w:tcPr>
          <w:p w14:paraId="68A97460" w14:textId="77777777" w:rsidR="00D12863" w:rsidRPr="00D12863" w:rsidRDefault="00D12863" w:rsidP="00D12863">
            <w:pPr>
              <w:spacing w:after="0" w:line="240" w:lineRule="auto"/>
              <w:ind w:left="0" w:right="36" w:firstLine="0"/>
              <w:jc w:val="center"/>
              <w:rPr>
                <w:szCs w:val="20"/>
              </w:rPr>
            </w:pPr>
            <w:r w:rsidRPr="00D12863">
              <w:rPr>
                <w:szCs w:val="20"/>
              </w:rPr>
              <w:t xml:space="preserve">·· </w:t>
            </w:r>
          </w:p>
        </w:tc>
      </w:tr>
      <w:tr w:rsidR="00D12863" w:rsidRPr="00D12863" w14:paraId="1726F485" w14:textId="77777777" w:rsidTr="000D28EF">
        <w:trPr>
          <w:trHeight w:val="715"/>
        </w:trPr>
        <w:tc>
          <w:tcPr>
            <w:tcW w:w="438" w:type="dxa"/>
            <w:tcBorders>
              <w:top w:val="single" w:sz="2" w:space="0" w:color="000000"/>
              <w:left w:val="single" w:sz="2" w:space="0" w:color="000000"/>
              <w:bottom w:val="single" w:sz="2" w:space="0" w:color="000000"/>
              <w:right w:val="single" w:sz="2" w:space="0" w:color="000000"/>
            </w:tcBorders>
            <w:vAlign w:val="center"/>
          </w:tcPr>
          <w:p w14:paraId="5725CA4B" w14:textId="77777777" w:rsidR="00D12863" w:rsidRPr="00D12863" w:rsidRDefault="00D12863" w:rsidP="00D12863">
            <w:pPr>
              <w:spacing w:after="0" w:line="240" w:lineRule="auto"/>
              <w:ind w:left="0" w:right="39" w:firstLine="0"/>
              <w:jc w:val="center"/>
              <w:rPr>
                <w:szCs w:val="20"/>
              </w:rPr>
            </w:pPr>
            <w:r w:rsidRPr="00D12863">
              <w:rPr>
                <w:szCs w:val="20"/>
              </w:rPr>
              <w:t xml:space="preserve">10 </w:t>
            </w:r>
          </w:p>
        </w:tc>
        <w:tc>
          <w:tcPr>
            <w:tcW w:w="1864" w:type="dxa"/>
            <w:tcBorders>
              <w:top w:val="single" w:sz="2" w:space="0" w:color="000000"/>
              <w:left w:val="single" w:sz="2" w:space="0" w:color="000000"/>
              <w:bottom w:val="single" w:sz="2" w:space="0" w:color="000000"/>
              <w:right w:val="single" w:sz="2" w:space="0" w:color="000000"/>
            </w:tcBorders>
            <w:vAlign w:val="center"/>
          </w:tcPr>
          <w:p w14:paraId="5FCE75B6" w14:textId="77777777" w:rsidR="00D12863" w:rsidRPr="00D12863" w:rsidRDefault="00D12863" w:rsidP="00D12863">
            <w:pPr>
              <w:spacing w:after="0" w:line="240" w:lineRule="auto"/>
              <w:ind w:left="0" w:right="36" w:firstLine="0"/>
              <w:jc w:val="center"/>
              <w:rPr>
                <w:szCs w:val="20"/>
              </w:rPr>
            </w:pPr>
            <w:proofErr w:type="spellStart"/>
            <w:r w:rsidRPr="00D12863">
              <w:rPr>
                <w:szCs w:val="20"/>
              </w:rPr>
              <w:t>Lefaucheur</w:t>
            </w:r>
            <w:proofErr w:type="spellEnd"/>
            <w:r w:rsidRPr="00D12863">
              <w:rPr>
                <w:szCs w:val="20"/>
              </w:rPr>
              <w:t xml:space="preserve"> JP et al., 2009 </w:t>
            </w:r>
            <w:r w:rsidRPr="00D12863">
              <w:rPr>
                <w:szCs w:val="20"/>
              </w:rPr>
              <w:fldChar w:fldCharType="begin" w:fldLock="1"/>
            </w:r>
            <w:r w:rsidRPr="00D12863">
              <w:rPr>
                <w:szCs w:val="20"/>
              </w:rPr>
              <w:instrText>ADDIN CSL_CITATION {"citationItems":[{"id":"ITEM-1","itemData":{"DOI":"10.1093/brain/awp035","ISSN":"00068950","abstract":"Epidural motor cortex stimulation (MCS) has been proposed as a treatment for chronic, drug-resistant neuropathic pain of various origins. Regarding pain syndromes due to peripheral nerve lesion, only case series have previously been reported. We present the results of the first randomized controlled trial using chronic MCS in this indication. Sixteen patients were included with pain origin as follows: trigeminal neuralgia (n 4), brachial plexus lesion (n 4), neurofibromatosis type-1 (n 3), upper limb amputation (n 2), herpes zoster ophthalmicus (n 1), atypical orofacial pain secondary to dental extraction (n 1) and traumatic nerve trunk transection in a lower limb (n 1). A quadripolar lead was implanted, under radiological and electrophysiological guidance, for epidural cortical stimulation. A randomized crossover trial was performed between 1 and 3 months postoperative, during which the stimulator was alternatively switched 'on' and 'off' for 1 month, followed by an open phase during which the stimulator was switched 'on' in all patients. Clinical assessment was performed up to 1 year after implantation and was based on the following evaluations: visual analogue scale (VAS), brief pain inventory, McGill Pain questionnaire, sickness impact profile and medication quantification scale. The crossover trial included 13 patients and showed a reduction of the McGill Pain questionnaire-pain rating index (P 0.0166, Wilcoxon test) and McGill Pain questionnaire sensory subscore (P 0.01) when the stimulator was switched 'on' compared to the 'off-stimulation' condition. However, these differences did not persist after adjustment for multiple comparisons. In the 12 patients who completed the open study, the VAS and sickness impact profile scores varied significantly in the follow-up and were reduced at 912 months postoperative, compared to the preoperative baseline. At final examination, the mean rate of pain relief on VAS scores was 48 (individual results ranging from 0 to 95) and MCS efficacy was considered as good or satisfactory in 60 of the patients. Pain relief after 1 year tended to correlate with pain scores at 1 month postoperative, but not with age, pain duration or location, preoperative pain scores or sensory-motor status. Although the results of the crossover trial were slightly negative, which may have been due to carry-over effects from the operative and immediate postoperative phases, observations made during the open trial were in favour of a real e…","author":[{"dropping-particle":"","family":"Lefaucheur","given":"Jean Pascal","non-dropping-particle":"","parse-names":false,"suffix":""},{"dropping-particle":"","family":"Drouot","given":"Xavier","non-dropping-particle":"","parse-names":false,"suffix":""},{"dropping-particle":"","family":"Cunin","given":"Patrick","non-dropping-particle":"","parse-names":false,"suffix":""},{"dropping-particle":"","family":"Bruckert","given":"Rmy","non-dropping-particle":"","parse-names":false,"suffix":""},{"dropping-particle":"","family":"Lepetit","given":"Hlne","non-dropping-particle":"","parse-names":false,"suffix":""},{"dropping-particle":"","family":"Crange","given":"Alain","non-dropping-particle":"","parse-names":false,"suffix":""},{"dropping-particle":"","family":"Wolkenstein","given":"Pierre","non-dropping-particle":"","parse-names":false,"suffix":""},{"dropping-particle":"","family":"Maison","given":"Patrick","non-dropping-particle":"","parse-names":false,"suffix":""},{"dropping-particle":"","family":"Keravel","given":"Yves","non-dropping-particle":"","parse-names":false,"suffix":""},{"dropping-particle":"","family":"Nguyen","given":"Jean Paul","non-dropping-particle":"","parse-names":false,"suffix":""}],"container-title":"Brain","id":"ITEM-1","issue":"6","issued":{"date-parts":[["2009"]]},"page":"1463-1471","title":"Motor cortex stimulation for the treatment of refractory peripheral neuropathic pain","type":"article-journal","volume":"132"},"uris":["http://www.mendeley.com/documents/?uuid=b3b49780-8200-464d-9457-7912ea97bfa7"]}],"mendeley":{"formattedCitation":"&lt;sup&gt;33&lt;/sup&gt;","plainTextFormattedCitation":"33","previouslyFormattedCitation":"(33)"},"properties":{"noteIndex":0},"schema":"https://github.com/citation-style-language/schema/raw/master/csl-citation.json"}</w:instrText>
            </w:r>
            <w:r w:rsidRPr="00D12863">
              <w:rPr>
                <w:szCs w:val="20"/>
              </w:rPr>
              <w:fldChar w:fldCharType="separate"/>
            </w:r>
            <w:r w:rsidRPr="00D12863">
              <w:rPr>
                <w:noProof/>
                <w:szCs w:val="20"/>
                <w:vertAlign w:val="superscript"/>
              </w:rPr>
              <w:t>33</w:t>
            </w:r>
            <w:r w:rsidRPr="00D12863">
              <w:rPr>
                <w:szCs w:val="20"/>
              </w:rPr>
              <w:fldChar w:fldCharType="end"/>
            </w:r>
            <w:r w:rsidRPr="00D12863">
              <w:rPr>
                <w:szCs w:val="20"/>
              </w:rPr>
              <w:t>.</w:t>
            </w:r>
          </w:p>
        </w:tc>
        <w:tc>
          <w:tcPr>
            <w:tcW w:w="934" w:type="dxa"/>
            <w:tcBorders>
              <w:top w:val="single" w:sz="2" w:space="0" w:color="000000"/>
              <w:left w:val="single" w:sz="2" w:space="0" w:color="000000"/>
              <w:bottom w:val="single" w:sz="2" w:space="0" w:color="000000"/>
              <w:right w:val="single" w:sz="2" w:space="0" w:color="000000"/>
            </w:tcBorders>
            <w:vAlign w:val="center"/>
          </w:tcPr>
          <w:p w14:paraId="0E86B87D" w14:textId="77777777" w:rsidR="00D12863" w:rsidRPr="00D12863" w:rsidRDefault="00D12863" w:rsidP="00D12863">
            <w:pPr>
              <w:spacing w:after="0" w:line="240" w:lineRule="auto"/>
              <w:ind w:left="0" w:right="39" w:firstLine="0"/>
              <w:jc w:val="center"/>
              <w:rPr>
                <w:szCs w:val="20"/>
              </w:rPr>
            </w:pPr>
            <w:r w:rsidRPr="00D12863">
              <w:rPr>
                <w:szCs w:val="20"/>
              </w:rPr>
              <w:t xml:space="preserve">16 </w:t>
            </w:r>
          </w:p>
        </w:tc>
        <w:tc>
          <w:tcPr>
            <w:tcW w:w="1643" w:type="dxa"/>
            <w:tcBorders>
              <w:top w:val="single" w:sz="2" w:space="0" w:color="000000"/>
              <w:left w:val="single" w:sz="2" w:space="0" w:color="000000"/>
              <w:bottom w:val="single" w:sz="2" w:space="0" w:color="000000"/>
              <w:right w:val="single" w:sz="2" w:space="0" w:color="000000"/>
            </w:tcBorders>
            <w:vAlign w:val="center"/>
          </w:tcPr>
          <w:p w14:paraId="61604011" w14:textId="2E904D78" w:rsidR="00D12863" w:rsidRPr="00D12863" w:rsidRDefault="00D12863" w:rsidP="00D12863">
            <w:pPr>
              <w:spacing w:after="0" w:line="240" w:lineRule="auto"/>
              <w:ind w:left="0" w:right="40" w:firstLine="0"/>
              <w:jc w:val="center"/>
              <w:rPr>
                <w:szCs w:val="20"/>
              </w:rPr>
            </w:pPr>
            <w:r w:rsidRPr="00D12863">
              <w:rPr>
                <w:szCs w:val="20"/>
              </w:rPr>
              <w:t xml:space="preserve">TN; </w:t>
            </w:r>
            <w:proofErr w:type="spellStart"/>
            <w:r w:rsidRPr="00D12863">
              <w:rPr>
                <w:szCs w:val="20"/>
              </w:rPr>
              <w:t>PhP</w:t>
            </w:r>
            <w:proofErr w:type="spellEnd"/>
            <w:r w:rsidRPr="00D12863">
              <w:rPr>
                <w:szCs w:val="20"/>
              </w:rPr>
              <w:t>; PPTN;</w:t>
            </w:r>
            <w:r w:rsidR="00BF1C4D">
              <w:rPr>
                <w:szCs w:val="20"/>
              </w:rPr>
              <w:t xml:space="preserve"> </w:t>
            </w:r>
            <w:r w:rsidRPr="00D12863">
              <w:rPr>
                <w:szCs w:val="20"/>
              </w:rPr>
              <w:t xml:space="preserve">BPI </w:t>
            </w:r>
          </w:p>
        </w:tc>
        <w:tc>
          <w:tcPr>
            <w:tcW w:w="975" w:type="dxa"/>
            <w:tcBorders>
              <w:top w:val="single" w:sz="2" w:space="0" w:color="000000"/>
              <w:left w:val="single" w:sz="2" w:space="0" w:color="000000"/>
              <w:bottom w:val="single" w:sz="2" w:space="0" w:color="000000"/>
              <w:right w:val="single" w:sz="2" w:space="0" w:color="000000"/>
            </w:tcBorders>
            <w:vAlign w:val="center"/>
          </w:tcPr>
          <w:p w14:paraId="4486AFE8" w14:textId="77777777" w:rsidR="00D12863" w:rsidRPr="00D12863" w:rsidRDefault="00D12863" w:rsidP="00D12863">
            <w:pPr>
              <w:spacing w:after="0" w:line="240" w:lineRule="auto"/>
              <w:ind w:left="0" w:right="38" w:firstLine="0"/>
              <w:jc w:val="center"/>
              <w:rPr>
                <w:szCs w:val="20"/>
              </w:rPr>
            </w:pPr>
            <w:r w:rsidRPr="00D12863">
              <w:rPr>
                <w:szCs w:val="20"/>
              </w:rPr>
              <w:t xml:space="preserve">~60% </w:t>
            </w:r>
          </w:p>
        </w:tc>
        <w:tc>
          <w:tcPr>
            <w:tcW w:w="1546" w:type="dxa"/>
            <w:tcBorders>
              <w:top w:val="single" w:sz="2" w:space="0" w:color="000000"/>
              <w:left w:val="single" w:sz="2" w:space="0" w:color="000000"/>
              <w:bottom w:val="single" w:sz="2" w:space="0" w:color="000000"/>
              <w:right w:val="single" w:sz="2" w:space="0" w:color="000000"/>
            </w:tcBorders>
          </w:tcPr>
          <w:p w14:paraId="7E17280D" w14:textId="61E4F949" w:rsidR="00D12863" w:rsidRPr="00D12863" w:rsidRDefault="00D12863" w:rsidP="00D12863">
            <w:pPr>
              <w:spacing w:after="0" w:line="240" w:lineRule="auto"/>
              <w:ind w:left="0" w:right="4" w:firstLine="0"/>
              <w:jc w:val="center"/>
              <w:rPr>
                <w:szCs w:val="20"/>
              </w:rPr>
            </w:pPr>
            <w:r w:rsidRPr="00D12863">
              <w:rPr>
                <w:szCs w:val="20"/>
              </w:rPr>
              <w:t xml:space="preserve">60% / &gt;50%, mean pain relief - 48% </w:t>
            </w:r>
          </w:p>
        </w:tc>
        <w:tc>
          <w:tcPr>
            <w:tcW w:w="1962" w:type="dxa"/>
            <w:tcBorders>
              <w:top w:val="single" w:sz="2" w:space="0" w:color="000000"/>
              <w:left w:val="single" w:sz="2" w:space="0" w:color="000000"/>
              <w:bottom w:val="single" w:sz="2" w:space="0" w:color="000000"/>
              <w:right w:val="single" w:sz="2" w:space="0" w:color="000000"/>
            </w:tcBorders>
            <w:vAlign w:val="center"/>
          </w:tcPr>
          <w:p w14:paraId="59687395" w14:textId="77777777" w:rsidR="00D12863" w:rsidRPr="00D12863" w:rsidRDefault="00D12863" w:rsidP="00D12863">
            <w:pPr>
              <w:spacing w:after="0" w:line="240" w:lineRule="auto"/>
              <w:ind w:left="0" w:right="36" w:firstLine="0"/>
              <w:jc w:val="center"/>
              <w:rPr>
                <w:szCs w:val="20"/>
              </w:rPr>
            </w:pPr>
            <w:r w:rsidRPr="00D12863">
              <w:rPr>
                <w:szCs w:val="20"/>
              </w:rPr>
              <w:t xml:space="preserve">·· </w:t>
            </w:r>
          </w:p>
        </w:tc>
      </w:tr>
      <w:tr w:rsidR="00D12863" w:rsidRPr="00D12863" w14:paraId="7C46B19A" w14:textId="77777777" w:rsidTr="000D28EF">
        <w:trPr>
          <w:trHeight w:val="533"/>
        </w:trPr>
        <w:tc>
          <w:tcPr>
            <w:tcW w:w="438" w:type="dxa"/>
            <w:tcBorders>
              <w:top w:val="single" w:sz="2" w:space="0" w:color="000000"/>
              <w:left w:val="single" w:sz="2" w:space="0" w:color="000000"/>
              <w:bottom w:val="single" w:sz="2" w:space="0" w:color="000000"/>
              <w:right w:val="single" w:sz="2" w:space="0" w:color="000000"/>
            </w:tcBorders>
            <w:vAlign w:val="center"/>
          </w:tcPr>
          <w:p w14:paraId="4C7F608B" w14:textId="77777777" w:rsidR="00D12863" w:rsidRPr="00D12863" w:rsidRDefault="00D12863" w:rsidP="00D12863">
            <w:pPr>
              <w:spacing w:after="0" w:line="240" w:lineRule="auto"/>
              <w:ind w:left="0" w:right="39" w:firstLine="0"/>
              <w:jc w:val="center"/>
              <w:rPr>
                <w:szCs w:val="20"/>
              </w:rPr>
            </w:pPr>
            <w:r w:rsidRPr="00D12863">
              <w:rPr>
                <w:szCs w:val="20"/>
              </w:rPr>
              <w:t xml:space="preserve">11 </w:t>
            </w:r>
          </w:p>
        </w:tc>
        <w:tc>
          <w:tcPr>
            <w:tcW w:w="1864" w:type="dxa"/>
            <w:tcBorders>
              <w:top w:val="single" w:sz="2" w:space="0" w:color="000000"/>
              <w:left w:val="single" w:sz="2" w:space="0" w:color="000000"/>
              <w:bottom w:val="single" w:sz="2" w:space="0" w:color="000000"/>
              <w:right w:val="single" w:sz="2" w:space="0" w:color="000000"/>
            </w:tcBorders>
            <w:vAlign w:val="center"/>
          </w:tcPr>
          <w:p w14:paraId="4DA78040" w14:textId="77777777" w:rsidR="00D12863" w:rsidRPr="00D12863" w:rsidRDefault="00D12863" w:rsidP="00D12863">
            <w:pPr>
              <w:spacing w:after="0" w:line="240" w:lineRule="auto"/>
              <w:ind w:left="0" w:right="38" w:firstLine="0"/>
              <w:jc w:val="center"/>
              <w:rPr>
                <w:szCs w:val="20"/>
              </w:rPr>
            </w:pPr>
            <w:proofErr w:type="spellStart"/>
            <w:r w:rsidRPr="00D12863">
              <w:rPr>
                <w:szCs w:val="20"/>
              </w:rPr>
              <w:t>Raslan</w:t>
            </w:r>
            <w:proofErr w:type="spellEnd"/>
            <w:r w:rsidRPr="00D12863">
              <w:rPr>
                <w:szCs w:val="20"/>
              </w:rPr>
              <w:t xml:space="preserve"> AM et al., 2011 </w:t>
            </w:r>
            <w:r w:rsidRPr="00D12863">
              <w:rPr>
                <w:szCs w:val="20"/>
              </w:rPr>
              <w:fldChar w:fldCharType="begin" w:fldLock="1"/>
            </w:r>
            <w:r w:rsidRPr="00D12863">
              <w:rPr>
                <w:szCs w:val="20"/>
              </w:rPr>
              <w:instrText>ADDIN CSL_CITATION {"citationItems":[{"id":"ITEM-1","itemData":{"DOI":"10.1159/000323338","ISSN":"10116125","abstract":"Background: Trigeminal neuropathy is a rare, devastating condition that can be intractable and resistant to treatment. When medical treatment fails, invasive options are limited. Motor cortex stimulation (MCS) is a relatively recent technique introduced to treat central neuropathic pain. The use of MCS to treat trigeminal neuropathic or deafferentation pain is not widespread and clinical data in the medical literature that demonstrate efficacy are limited. Method: We retrospectively reviewed patients with trigeminal neuropathic or trigeminal deafferentation pain who were treated at the Oregon Health &amp; Science University between 2001 and 2008 by 1 neurosurgeon using MCS. Results: Eight of 11 patients (3 male, 8 female) underwent successful permanent implantation of an MCS system. All 8 patients reported initial satisfactory pain control. Three failed to experience continued pain control (6 months of follow-up). Five continued to experience long-term pain control (mean follow-up, 33 months). Average programming sessions were 2.2/year (all 8 patients) and 1.55/year (5 patients who sustained long-term pain control). Patients with anesthesia dolorosa or trigeminal deafferentation pain who had previously undergone ablative trigeminal procedures responded poorly to MCS. We encountered no perioperative complications. Conclusion: MCS is a safe and potentially effective therapy in certain patients with trigeminal neuropathy. Copyright © 2011 S. Karger AG, Basel.","author":[{"dropping-particle":"","family":"Raslan","given":"Ahmed M.","non-dropping-particle":"","parse-names":false,"suffix":""},{"dropping-particle":"","family":"Nasseri","given":"Morad","non-dropping-particle":"","parse-names":false,"suffix":""},{"dropping-particle":"","family":"Bahgat","given":"Diaa","non-dropping-particle":"","parse-names":false,"suffix":""},{"dropping-particle":"","family":"Abdu","given":"Emun","non-dropping-particle":"","parse-names":false,"suffix":""},{"dropping-particle":"","family":"Burchiel","given":"Kim J.","non-dropping-particle":"","parse-names":false,"suffix":""}],"container-title":"Stereotactic and Functional Neurosurgery","id":"ITEM-1","issue":"2","issued":{"date-parts":[["2011"]]},"page":"83-88","title":"Motor cortex stimulation for trigeminal neuropathic or deafferentation pain: An institutional case series experience","type":"article-journal","volume":"89"},"uris":["http://www.mendeley.com/documents/?uuid=1ab3c1a4-dd8c-4bb4-a16f-2e345a58fae8"]}],"mendeley":{"formattedCitation":"&lt;sup&gt;41&lt;/sup&gt;","plainTextFormattedCitation":"41","previouslyFormattedCitation":"(45)"},"properties":{"noteIndex":0},"schema":"https://github.com/citation-style-language/schema/raw/master/csl-citation.json"}</w:instrText>
            </w:r>
            <w:r w:rsidRPr="00D12863">
              <w:rPr>
                <w:szCs w:val="20"/>
              </w:rPr>
              <w:fldChar w:fldCharType="separate"/>
            </w:r>
            <w:r w:rsidRPr="00D12863">
              <w:rPr>
                <w:noProof/>
                <w:szCs w:val="20"/>
                <w:vertAlign w:val="superscript"/>
              </w:rPr>
              <w:t>41</w:t>
            </w:r>
            <w:r w:rsidRPr="00D12863">
              <w:rPr>
                <w:szCs w:val="20"/>
              </w:rPr>
              <w:fldChar w:fldCharType="end"/>
            </w:r>
          </w:p>
        </w:tc>
        <w:tc>
          <w:tcPr>
            <w:tcW w:w="934" w:type="dxa"/>
            <w:tcBorders>
              <w:top w:val="single" w:sz="2" w:space="0" w:color="000000"/>
              <w:left w:val="single" w:sz="2" w:space="0" w:color="000000"/>
              <w:bottom w:val="single" w:sz="2" w:space="0" w:color="000000"/>
              <w:right w:val="single" w:sz="2" w:space="0" w:color="000000"/>
            </w:tcBorders>
            <w:vAlign w:val="center"/>
          </w:tcPr>
          <w:p w14:paraId="2DEFE33B" w14:textId="77777777" w:rsidR="00D12863" w:rsidRPr="00D12863" w:rsidRDefault="00D12863" w:rsidP="00D12863">
            <w:pPr>
              <w:spacing w:after="0" w:line="240" w:lineRule="auto"/>
              <w:ind w:left="0" w:right="39" w:firstLine="0"/>
              <w:jc w:val="center"/>
              <w:rPr>
                <w:szCs w:val="20"/>
              </w:rPr>
            </w:pPr>
            <w:r w:rsidRPr="00D12863">
              <w:rPr>
                <w:szCs w:val="20"/>
              </w:rPr>
              <w:t xml:space="preserve">11 </w:t>
            </w:r>
          </w:p>
        </w:tc>
        <w:tc>
          <w:tcPr>
            <w:tcW w:w="1643" w:type="dxa"/>
            <w:tcBorders>
              <w:top w:val="single" w:sz="2" w:space="0" w:color="000000"/>
              <w:left w:val="single" w:sz="2" w:space="0" w:color="000000"/>
              <w:bottom w:val="single" w:sz="2" w:space="0" w:color="000000"/>
              <w:right w:val="single" w:sz="2" w:space="0" w:color="000000"/>
            </w:tcBorders>
            <w:vAlign w:val="center"/>
          </w:tcPr>
          <w:p w14:paraId="66ED08F3" w14:textId="77777777" w:rsidR="00D12863" w:rsidRPr="00D12863" w:rsidRDefault="00D12863" w:rsidP="00D12863">
            <w:pPr>
              <w:spacing w:after="0" w:line="240" w:lineRule="auto"/>
              <w:ind w:left="0" w:right="42" w:firstLine="0"/>
              <w:jc w:val="center"/>
              <w:rPr>
                <w:szCs w:val="20"/>
              </w:rPr>
            </w:pPr>
            <w:r w:rsidRPr="00D12863">
              <w:rPr>
                <w:szCs w:val="20"/>
              </w:rPr>
              <w:t xml:space="preserve">TN </w:t>
            </w:r>
          </w:p>
        </w:tc>
        <w:tc>
          <w:tcPr>
            <w:tcW w:w="975" w:type="dxa"/>
            <w:tcBorders>
              <w:top w:val="single" w:sz="2" w:space="0" w:color="000000"/>
              <w:left w:val="single" w:sz="2" w:space="0" w:color="000000"/>
              <w:bottom w:val="single" w:sz="2" w:space="0" w:color="000000"/>
              <w:right w:val="single" w:sz="2" w:space="0" w:color="000000"/>
            </w:tcBorders>
            <w:vAlign w:val="center"/>
          </w:tcPr>
          <w:p w14:paraId="2E7D4D29" w14:textId="77777777" w:rsidR="00D12863" w:rsidRPr="00D12863" w:rsidRDefault="00D12863" w:rsidP="00D12863">
            <w:pPr>
              <w:spacing w:after="0" w:line="240" w:lineRule="auto"/>
              <w:ind w:left="0" w:right="38" w:firstLine="0"/>
              <w:jc w:val="center"/>
              <w:rPr>
                <w:szCs w:val="20"/>
              </w:rPr>
            </w:pPr>
            <w:r w:rsidRPr="00D12863">
              <w:rPr>
                <w:szCs w:val="20"/>
              </w:rPr>
              <w:t xml:space="preserve">73% </w:t>
            </w:r>
          </w:p>
        </w:tc>
        <w:tc>
          <w:tcPr>
            <w:tcW w:w="1546" w:type="dxa"/>
            <w:tcBorders>
              <w:top w:val="single" w:sz="2" w:space="0" w:color="000000"/>
              <w:left w:val="single" w:sz="2" w:space="0" w:color="000000"/>
              <w:bottom w:val="single" w:sz="2" w:space="0" w:color="000000"/>
              <w:right w:val="single" w:sz="2" w:space="0" w:color="000000"/>
            </w:tcBorders>
            <w:vAlign w:val="center"/>
          </w:tcPr>
          <w:p w14:paraId="1805F38A" w14:textId="77777777" w:rsidR="00D12863" w:rsidRPr="00D12863" w:rsidRDefault="00D12863" w:rsidP="00D12863">
            <w:pPr>
              <w:spacing w:after="0" w:line="240" w:lineRule="auto"/>
              <w:ind w:left="0" w:right="38" w:firstLine="0"/>
              <w:jc w:val="center"/>
              <w:rPr>
                <w:szCs w:val="20"/>
              </w:rPr>
            </w:pPr>
            <w:r w:rsidRPr="00D12863">
              <w:rPr>
                <w:szCs w:val="20"/>
              </w:rPr>
              <w:t xml:space="preserve">~45% /&gt; 50% </w:t>
            </w:r>
          </w:p>
        </w:tc>
        <w:tc>
          <w:tcPr>
            <w:tcW w:w="1962" w:type="dxa"/>
            <w:tcBorders>
              <w:top w:val="single" w:sz="2" w:space="0" w:color="000000"/>
              <w:left w:val="single" w:sz="2" w:space="0" w:color="000000"/>
              <w:bottom w:val="single" w:sz="2" w:space="0" w:color="000000"/>
              <w:right w:val="single" w:sz="2" w:space="0" w:color="000000"/>
            </w:tcBorders>
            <w:vAlign w:val="center"/>
          </w:tcPr>
          <w:p w14:paraId="375CC036" w14:textId="77777777" w:rsidR="00D12863" w:rsidRPr="00D12863" w:rsidRDefault="00D12863" w:rsidP="00D12863">
            <w:pPr>
              <w:spacing w:after="0" w:line="240" w:lineRule="auto"/>
              <w:ind w:left="0" w:right="36" w:firstLine="0"/>
              <w:jc w:val="center"/>
              <w:rPr>
                <w:szCs w:val="20"/>
              </w:rPr>
            </w:pPr>
            <w:r w:rsidRPr="00D12863">
              <w:rPr>
                <w:szCs w:val="20"/>
              </w:rPr>
              <w:t xml:space="preserve">·· </w:t>
            </w:r>
          </w:p>
        </w:tc>
      </w:tr>
      <w:tr w:rsidR="00D12863" w:rsidRPr="00D12863" w14:paraId="49A1E29A" w14:textId="77777777" w:rsidTr="000D28EF">
        <w:trPr>
          <w:trHeight w:val="535"/>
        </w:trPr>
        <w:tc>
          <w:tcPr>
            <w:tcW w:w="438" w:type="dxa"/>
            <w:tcBorders>
              <w:top w:val="single" w:sz="2" w:space="0" w:color="000000"/>
              <w:left w:val="single" w:sz="2" w:space="0" w:color="000000"/>
              <w:bottom w:val="single" w:sz="2" w:space="0" w:color="000000"/>
              <w:right w:val="single" w:sz="2" w:space="0" w:color="000000"/>
            </w:tcBorders>
            <w:vAlign w:val="center"/>
          </w:tcPr>
          <w:p w14:paraId="3F1866EB" w14:textId="77777777" w:rsidR="00D12863" w:rsidRPr="00D12863" w:rsidRDefault="00D12863" w:rsidP="00D12863">
            <w:pPr>
              <w:spacing w:after="0" w:line="240" w:lineRule="auto"/>
              <w:ind w:left="0" w:right="39" w:firstLine="0"/>
              <w:jc w:val="center"/>
              <w:rPr>
                <w:szCs w:val="20"/>
              </w:rPr>
            </w:pPr>
            <w:r w:rsidRPr="00D12863">
              <w:rPr>
                <w:szCs w:val="20"/>
              </w:rPr>
              <w:t xml:space="preserve">12 </w:t>
            </w:r>
          </w:p>
        </w:tc>
        <w:tc>
          <w:tcPr>
            <w:tcW w:w="1864" w:type="dxa"/>
            <w:tcBorders>
              <w:top w:val="single" w:sz="2" w:space="0" w:color="000000"/>
              <w:left w:val="single" w:sz="2" w:space="0" w:color="000000"/>
              <w:bottom w:val="single" w:sz="2" w:space="0" w:color="000000"/>
              <w:right w:val="single" w:sz="2" w:space="0" w:color="000000"/>
            </w:tcBorders>
            <w:vAlign w:val="center"/>
          </w:tcPr>
          <w:p w14:paraId="26311685" w14:textId="77777777" w:rsidR="00D12863" w:rsidRPr="00D12863" w:rsidRDefault="00D12863" w:rsidP="00D12863">
            <w:pPr>
              <w:spacing w:after="0" w:line="240" w:lineRule="auto"/>
              <w:ind w:left="0" w:right="36" w:firstLine="0"/>
              <w:jc w:val="center"/>
              <w:rPr>
                <w:szCs w:val="20"/>
              </w:rPr>
            </w:pPr>
            <w:r w:rsidRPr="00D12863">
              <w:rPr>
                <w:szCs w:val="20"/>
              </w:rPr>
              <w:t xml:space="preserve">Pereira EAC et al., 2015 </w:t>
            </w:r>
            <w:r w:rsidRPr="00D12863">
              <w:rPr>
                <w:szCs w:val="20"/>
              </w:rPr>
              <w:fldChar w:fldCharType="begin" w:fldLock="1"/>
            </w:r>
            <w:r w:rsidRPr="00D12863">
              <w:rPr>
                <w:szCs w:val="20"/>
              </w:rPr>
              <w:instrText>ADDIN CSL_CITATION {"citationItems":[{"id":"ITEM-1","itemData":{"DOI":"10.3109/02688697.2014.971708","ISSN":"1360046X","abstract":"We present the long-term course of motor cortex stimulation to relieve a case of severe burning phantom arm pain after brachial plexus injury and amputation. During 16-year follow-up the device continued to provide efficacious analgesia. However, several adjustments of stimulation parameters were required, as were multiple pulse generator changes, antibiotics for infection and one electrode revision due to lead migration. Steady increases in stimulation parameters over time were required. One of the longest follow-ups of motor cortex stimulation is described; the case illustrates challenges and pitfalls in neuromodulation for chronic pain, demonstrating strategies for maintaining analgesia and overcoming tolerance.","author":[{"dropping-particle":"","family":"Pereira","given":"Erlick A.C.","non-dropping-particle":"","parse-names":false,"suffix":""},{"dropping-particle":"","family":"Moore","given":"Tom","non-dropping-particle":"","parse-names":false,"suffix":""},{"dropping-particle":"","family":"Moir","given":"Liz","non-dropping-particle":"","parse-names":false,"suffix":""},{"dropping-particle":"","family":"Aziz","given":"Tipu Z.","non-dropping-particle":"","parse-names":false,"suffix":""}],"container-title":"British Journal of Neurosurgery","id":"ITEM-1","issue":"2","issued":{"date-parts":[["2015"]]},"page":"272-274","title":"Long-term motor cortex stimulation for phantom limb pain","type":"article-journal","volume":"29"},"uris":["http://www.mendeley.com/documents/?uuid=cdded146-0f7c-45ef-b8cc-d7d02171f2a9"]}],"mendeley":{"formattedCitation":"&lt;sup&gt;40&lt;/sup&gt;","plainTextFormattedCitation":"40","previouslyFormattedCitation":"(40)"},"properties":{"noteIndex":0},"schema":"https://github.com/citation-style-language/schema/raw/master/csl-citation.json"}</w:instrText>
            </w:r>
            <w:r w:rsidRPr="00D12863">
              <w:rPr>
                <w:szCs w:val="20"/>
              </w:rPr>
              <w:fldChar w:fldCharType="separate"/>
            </w:r>
            <w:r w:rsidRPr="00D12863">
              <w:rPr>
                <w:noProof/>
                <w:szCs w:val="20"/>
                <w:vertAlign w:val="superscript"/>
              </w:rPr>
              <w:t>40</w:t>
            </w:r>
            <w:r w:rsidRPr="00D12863">
              <w:rPr>
                <w:szCs w:val="20"/>
              </w:rPr>
              <w:fldChar w:fldCharType="end"/>
            </w:r>
            <w:r w:rsidRPr="00D12863">
              <w:rPr>
                <w:szCs w:val="20"/>
              </w:rPr>
              <w:t>.</w:t>
            </w:r>
          </w:p>
        </w:tc>
        <w:tc>
          <w:tcPr>
            <w:tcW w:w="934" w:type="dxa"/>
            <w:tcBorders>
              <w:top w:val="single" w:sz="2" w:space="0" w:color="000000"/>
              <w:left w:val="single" w:sz="2" w:space="0" w:color="000000"/>
              <w:bottom w:val="single" w:sz="2" w:space="0" w:color="000000"/>
              <w:right w:val="single" w:sz="2" w:space="0" w:color="000000"/>
            </w:tcBorders>
            <w:vAlign w:val="center"/>
          </w:tcPr>
          <w:p w14:paraId="4439BB4A" w14:textId="77777777" w:rsidR="00D12863" w:rsidRPr="00D12863" w:rsidRDefault="00D12863" w:rsidP="00D12863">
            <w:pPr>
              <w:spacing w:after="0" w:line="240" w:lineRule="auto"/>
              <w:ind w:left="0" w:right="39" w:firstLine="0"/>
              <w:jc w:val="center"/>
              <w:rPr>
                <w:szCs w:val="20"/>
              </w:rPr>
            </w:pPr>
            <w:r w:rsidRPr="00D12863">
              <w:rPr>
                <w:szCs w:val="20"/>
              </w:rPr>
              <w:t xml:space="preserve">1 </w:t>
            </w:r>
          </w:p>
        </w:tc>
        <w:tc>
          <w:tcPr>
            <w:tcW w:w="1643" w:type="dxa"/>
            <w:tcBorders>
              <w:top w:val="single" w:sz="2" w:space="0" w:color="000000"/>
              <w:left w:val="single" w:sz="2" w:space="0" w:color="000000"/>
              <w:bottom w:val="single" w:sz="2" w:space="0" w:color="000000"/>
              <w:right w:val="single" w:sz="2" w:space="0" w:color="000000"/>
            </w:tcBorders>
            <w:vAlign w:val="center"/>
          </w:tcPr>
          <w:p w14:paraId="75D2F0F4" w14:textId="77777777" w:rsidR="00D12863" w:rsidRPr="00D12863" w:rsidRDefault="00D12863" w:rsidP="00D12863">
            <w:pPr>
              <w:spacing w:after="0" w:line="240" w:lineRule="auto"/>
              <w:ind w:left="0" w:right="38" w:firstLine="0"/>
              <w:jc w:val="center"/>
              <w:rPr>
                <w:szCs w:val="20"/>
              </w:rPr>
            </w:pPr>
            <w:proofErr w:type="spellStart"/>
            <w:r w:rsidRPr="00D12863">
              <w:rPr>
                <w:szCs w:val="20"/>
              </w:rPr>
              <w:t>PhP</w:t>
            </w:r>
            <w:proofErr w:type="spellEnd"/>
            <w:r w:rsidRPr="00D12863">
              <w:rPr>
                <w:szCs w:val="20"/>
              </w:rPr>
              <w:t xml:space="preserve"> </w:t>
            </w:r>
          </w:p>
        </w:tc>
        <w:tc>
          <w:tcPr>
            <w:tcW w:w="975" w:type="dxa"/>
            <w:tcBorders>
              <w:top w:val="single" w:sz="2" w:space="0" w:color="000000"/>
              <w:left w:val="single" w:sz="2" w:space="0" w:color="000000"/>
              <w:bottom w:val="single" w:sz="2" w:space="0" w:color="000000"/>
              <w:right w:val="single" w:sz="2" w:space="0" w:color="000000"/>
            </w:tcBorders>
            <w:vAlign w:val="center"/>
          </w:tcPr>
          <w:p w14:paraId="3872B022" w14:textId="77777777" w:rsidR="00D12863" w:rsidRPr="00D12863" w:rsidRDefault="00D12863" w:rsidP="00D12863">
            <w:pPr>
              <w:spacing w:after="0" w:line="240" w:lineRule="auto"/>
              <w:ind w:left="0" w:right="39" w:firstLine="0"/>
              <w:jc w:val="center"/>
              <w:rPr>
                <w:szCs w:val="20"/>
              </w:rPr>
            </w:pPr>
            <w:r w:rsidRPr="00D12863">
              <w:rPr>
                <w:szCs w:val="20"/>
              </w:rPr>
              <w:t xml:space="preserve">NA </w:t>
            </w:r>
          </w:p>
        </w:tc>
        <w:tc>
          <w:tcPr>
            <w:tcW w:w="1546" w:type="dxa"/>
            <w:tcBorders>
              <w:top w:val="single" w:sz="2" w:space="0" w:color="000000"/>
              <w:left w:val="single" w:sz="2" w:space="0" w:color="000000"/>
              <w:bottom w:val="single" w:sz="2" w:space="0" w:color="000000"/>
              <w:right w:val="single" w:sz="2" w:space="0" w:color="000000"/>
            </w:tcBorders>
            <w:vAlign w:val="center"/>
          </w:tcPr>
          <w:p w14:paraId="22DBECFB" w14:textId="77777777" w:rsidR="00D12863" w:rsidRPr="00D12863" w:rsidRDefault="00D12863" w:rsidP="00D12863">
            <w:pPr>
              <w:spacing w:after="0" w:line="240" w:lineRule="auto"/>
              <w:ind w:left="0" w:firstLine="0"/>
              <w:jc w:val="left"/>
              <w:rPr>
                <w:szCs w:val="20"/>
              </w:rPr>
            </w:pPr>
            <w:r w:rsidRPr="00D12863">
              <w:rPr>
                <w:szCs w:val="20"/>
              </w:rPr>
              <w:t xml:space="preserve">Pain relief 78% </w:t>
            </w:r>
          </w:p>
        </w:tc>
        <w:tc>
          <w:tcPr>
            <w:tcW w:w="1962" w:type="dxa"/>
            <w:tcBorders>
              <w:top w:val="single" w:sz="2" w:space="0" w:color="000000"/>
              <w:left w:val="single" w:sz="2" w:space="0" w:color="000000"/>
              <w:bottom w:val="single" w:sz="2" w:space="0" w:color="000000"/>
              <w:right w:val="single" w:sz="2" w:space="0" w:color="000000"/>
            </w:tcBorders>
            <w:vAlign w:val="center"/>
          </w:tcPr>
          <w:p w14:paraId="6A1F30D9" w14:textId="77777777" w:rsidR="00D12863" w:rsidRPr="00D12863" w:rsidRDefault="00D12863" w:rsidP="00D12863">
            <w:pPr>
              <w:spacing w:after="0" w:line="240" w:lineRule="auto"/>
              <w:ind w:left="0" w:right="36" w:firstLine="0"/>
              <w:jc w:val="center"/>
              <w:rPr>
                <w:szCs w:val="20"/>
              </w:rPr>
            </w:pPr>
            <w:r w:rsidRPr="00D12863">
              <w:rPr>
                <w:szCs w:val="20"/>
              </w:rPr>
              <w:t xml:space="preserve">Wound infection </w:t>
            </w:r>
          </w:p>
        </w:tc>
      </w:tr>
    </w:tbl>
    <w:p w14:paraId="35BDA8D1" w14:textId="77777777" w:rsidR="00D12863" w:rsidRPr="00D12863" w:rsidRDefault="00D12863" w:rsidP="00D12863">
      <w:pPr>
        <w:spacing w:after="104" w:line="240" w:lineRule="auto"/>
        <w:ind w:left="0" w:firstLine="0"/>
        <w:jc w:val="left"/>
        <w:rPr>
          <w:b/>
          <w:szCs w:val="20"/>
        </w:rPr>
      </w:pPr>
    </w:p>
    <w:p w14:paraId="3F01BAC4" w14:textId="52B99CB5" w:rsidR="00EE5056" w:rsidRPr="00D12863" w:rsidRDefault="00EE5056" w:rsidP="00BF1C4D">
      <w:pPr>
        <w:spacing w:after="104" w:line="240" w:lineRule="auto"/>
        <w:ind w:left="0" w:firstLine="0"/>
        <w:rPr>
          <w:szCs w:val="20"/>
        </w:rPr>
      </w:pPr>
      <w:r w:rsidRPr="00D12863">
        <w:rPr>
          <w:b/>
          <w:szCs w:val="20"/>
        </w:rPr>
        <w:t>Supplementary table 1</w:t>
      </w:r>
      <w:r w:rsidRPr="00D12863">
        <w:rPr>
          <w:bCs/>
          <w:szCs w:val="20"/>
        </w:rPr>
        <w:t xml:space="preserve">. Description of the series of cases focused in motor cortex stimulation.  </w:t>
      </w:r>
      <w:r w:rsidR="00C42332" w:rsidRPr="00D12863">
        <w:rPr>
          <w:szCs w:val="20"/>
        </w:rPr>
        <w:t xml:space="preserve"> </w:t>
      </w:r>
    </w:p>
    <w:p w14:paraId="5AE09B1A" w14:textId="25BF8298" w:rsidR="00D62EE5" w:rsidRPr="00D12863" w:rsidRDefault="00C42332" w:rsidP="00BF1C4D">
      <w:pPr>
        <w:spacing w:after="104" w:line="240" w:lineRule="auto"/>
        <w:ind w:left="0" w:firstLine="0"/>
        <w:rPr>
          <w:szCs w:val="20"/>
        </w:rPr>
      </w:pPr>
      <w:r w:rsidRPr="00D12863">
        <w:rPr>
          <w:szCs w:val="20"/>
        </w:rPr>
        <w:t xml:space="preserve">CPS - central post-stroke pain syndrome; TN - trigeminal neuralgia; PPTN - peripheral posttraumatic neuropathy; SCI - spinal cord injury, BPI - brachial plexus injury; </w:t>
      </w:r>
      <w:proofErr w:type="spellStart"/>
      <w:r w:rsidRPr="00D12863">
        <w:rPr>
          <w:szCs w:val="20"/>
        </w:rPr>
        <w:t>PhP</w:t>
      </w:r>
      <w:proofErr w:type="spellEnd"/>
      <w:r w:rsidRPr="00D12863">
        <w:rPr>
          <w:szCs w:val="20"/>
        </w:rPr>
        <w:t xml:space="preserve"> -phantom pain; TS -trial stimulation; # -more than 50% pain relief; NA - not applicable (trial stimulation was not performed); * – patients without improvements in trial were excluded. </w:t>
      </w:r>
    </w:p>
    <w:sectPr w:rsidR="00D62EE5" w:rsidRPr="00D12863" w:rsidSect="00C42332">
      <w:pgSz w:w="11906" w:h="16838"/>
      <w:pgMar w:top="1146" w:right="1440" w:bottom="905"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imbusSanL">
    <w:altName w:val="Cambria"/>
    <w:charset w:val="00"/>
    <w:family w:val="roman"/>
    <w:pitch w:val="default"/>
  </w:font>
  <w:font w:name="NimbusRomNo9L">
    <w:altName w:val="Cambria"/>
    <w:charset w:val="00"/>
    <w:family w:val="roman"/>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2332"/>
    <w:rsid w:val="00521A05"/>
    <w:rsid w:val="00997756"/>
    <w:rsid w:val="00BF1C4D"/>
    <w:rsid w:val="00C42332"/>
    <w:rsid w:val="00D12863"/>
    <w:rsid w:val="00D62EE5"/>
    <w:rsid w:val="00EE50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442D33"/>
  <w15:chartTrackingRefBased/>
  <w15:docId w15:val="{DA2BC5F0-B983-464C-A13A-4A346FF00B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42332"/>
    <w:pPr>
      <w:spacing w:after="186" w:line="249" w:lineRule="auto"/>
      <w:ind w:left="2070" w:hanging="730"/>
      <w:jc w:val="both"/>
    </w:pPr>
    <w:rPr>
      <w:rFonts w:ascii="Times New Roman" w:eastAsia="Times New Roman" w:hAnsi="Times New Roman" w:cs="Times New Roman"/>
      <w:color w:val="000000"/>
      <w:sz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1">
    <w:name w:val="Сетка таблицы1"/>
    <w:rsid w:val="00C42332"/>
    <w:rPr>
      <w:rFonts w:eastAsiaTheme="minorEastAsia"/>
      <w:lang w:val="en-CA"/>
    </w:rPr>
    <w:tblPr>
      <w:tblCellMar>
        <w:top w:w="0" w:type="dxa"/>
        <w:left w:w="0" w:type="dxa"/>
        <w:bottom w:w="0" w:type="dxa"/>
        <w:right w:w="0" w:type="dxa"/>
      </w:tblCellMar>
    </w:tblPr>
  </w:style>
  <w:style w:type="paragraph" w:styleId="NormalWeb">
    <w:name w:val="Normal (Web)"/>
    <w:basedOn w:val="Normal"/>
    <w:uiPriority w:val="99"/>
    <w:unhideWhenUsed/>
    <w:rsid w:val="00997756"/>
    <w:pPr>
      <w:spacing w:before="100" w:beforeAutospacing="1" w:after="100" w:afterAutospacing="1" w:line="240" w:lineRule="auto"/>
      <w:ind w:left="0" w:firstLine="0"/>
      <w:jc w:val="left"/>
    </w:pPr>
    <w:rPr>
      <w:color w:val="auto"/>
      <w:sz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3CF13F-FE26-42FF-869F-18ADC9ACEA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5658</Words>
  <Characters>32257</Characters>
  <Application>Microsoft Office Word</Application>
  <DocSecurity>0</DocSecurity>
  <Lines>268</Lines>
  <Paragraphs>75</Paragraphs>
  <ScaleCrop>false</ScaleCrop>
  <Company/>
  <LinksUpToDate>false</LinksUpToDate>
  <CharactersWithSpaces>37840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Timur Latypov</dc:creator>
  <cp:keywords/>
  <dc:description/>
  <cp:lastModifiedBy>Rishikesh Khilari</cp:lastModifiedBy>
  <cp:revision>6</cp:revision>
  <dcterms:created xsi:type="dcterms:W3CDTF">2021-02-01T16:45:00Z</dcterms:created>
  <dcterms:modified xsi:type="dcterms:W3CDTF">2021-02-11T10:52:00Z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Citation Style_1">
    <vt:lpwstr>http://www.zotero.org/styles/nature</vt:lpwstr>
  </property>
  <property fmtid="{D5CDD505-2E9C-101B-9397-08002B2CF9AE}" pid="4" name="Mendeley Unique User Id_1">
    <vt:lpwstr>c48b0d92-dbd0-3534-8886-783cc3bd6adc</vt:lpwstr>
  </property>
</Properties>
</file>