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96E8C2" w14:textId="77777777" w:rsidR="00CB0B27" w:rsidRDefault="00CB0B27" w:rsidP="00CB0B27">
      <w:pPr>
        <w:pStyle w:val="Heading1"/>
        <w:spacing w:after="120"/>
      </w:pPr>
      <w:r w:rsidRPr="004750B8">
        <w:t xml:space="preserve">The tragedy of the cows: exploring the </w:t>
      </w:r>
      <w:r>
        <w:t>short and long-term warming effect of</w:t>
      </w:r>
      <w:r w:rsidRPr="004750B8">
        <w:t xml:space="preserve"> methane emissions </w:t>
      </w:r>
      <w:r>
        <w:t>in</w:t>
      </w:r>
      <w:r w:rsidRPr="004750B8">
        <w:t xml:space="preserve"> </w:t>
      </w:r>
      <w:r>
        <w:t>agricultural mitigation</w:t>
      </w:r>
    </w:p>
    <w:p w14:paraId="4575FEF6" w14:textId="66AB0010" w:rsidR="006D4F0B" w:rsidRDefault="00493F5E">
      <w:pPr>
        <w:pStyle w:val="Heading1"/>
      </w:pPr>
      <w:r>
        <w:t>Supplementary Information</w:t>
      </w:r>
    </w:p>
    <w:p w14:paraId="5AC30E37" w14:textId="77777777" w:rsidR="006D4F0B" w:rsidRDefault="00493F5E">
      <w:pPr>
        <w:pStyle w:val="Heading1"/>
        <w:numPr>
          <w:ilvl w:val="0"/>
          <w:numId w:val="1"/>
        </w:numPr>
      </w:pPr>
      <w:r>
        <w:t xml:space="preserve">Scenario description </w:t>
      </w:r>
    </w:p>
    <w:p w14:paraId="08052E93" w14:textId="77777777" w:rsidR="006D4F0B" w:rsidRDefault="00493F5E">
      <w:pPr>
        <w:jc w:val="both"/>
      </w:pPr>
      <w:r>
        <w:rPr>
          <w:color w:val="222222"/>
          <w:highlight w:val="white"/>
        </w:rPr>
        <w:t xml:space="preserve">For practical reasons and transparency, a </w:t>
      </w:r>
      <w:r>
        <w:t xml:space="preserve">similar set of scenarios as in Frank et al. 2019 </w:t>
      </w:r>
      <w:proofErr w:type="gramStart"/>
      <w:r>
        <w:t>is used and extended with new scenarios</w:t>
      </w:r>
      <w:proofErr w:type="gramEnd"/>
      <w:r>
        <w:t>. The scenarios are counterfactual to a long-term ‘business as usual’ projection of agricultural commodity markets and are presented to provide a more comprehensive perspective of how global mitigation policies and dietary policies could contribute to the temperature target set by the Paris Agreement under GWP</w:t>
      </w:r>
      <w:r w:rsidRPr="00D2063E">
        <w:rPr>
          <w:vertAlign w:val="subscript"/>
        </w:rPr>
        <w:t>100</w:t>
      </w:r>
      <w:r>
        <w:t xml:space="preserve"> and GWP* metrics. Focus is on the reduction of agricultural methane emissions over time and their effective contribution to climate change, differentiating between sources (e.g. ruminant, dairy and rice production) and world producing regions. </w:t>
      </w:r>
    </w:p>
    <w:p w14:paraId="49D861AB" w14:textId="3F66FE3B" w:rsidR="006D4F0B" w:rsidRDefault="00493F5E">
      <w:pPr>
        <w:jc w:val="both"/>
      </w:pPr>
      <w:r>
        <w:t>In order to analyse the economic impact of global climate mitigation policies we use on the supply side a global carbon price path as a proxy for a global mitigation effort (see Frank et al. 2019). The impacts of this global carbon price on methane emissions depends on the emission metric applied, and will differ from the standard GWP</w:t>
      </w:r>
      <w:r w:rsidRPr="00D2063E">
        <w:rPr>
          <w:vertAlign w:val="subscript"/>
        </w:rPr>
        <w:t>100</w:t>
      </w:r>
      <w:r>
        <w:t xml:space="preserve">, if GWP* metric is applied due to the introduction of time dynamics in its calculation. This </w:t>
      </w:r>
      <w:proofErr w:type="gramStart"/>
      <w:r>
        <w:t>is achieved</w:t>
      </w:r>
      <w:proofErr w:type="gramEnd"/>
      <w:r>
        <w:t xml:space="preserve"> through the following equation, presented as in the simplified rearrangement from Lynch et al (2020):</w:t>
      </w:r>
    </w:p>
    <w:p w14:paraId="0D27B3AB" w14:textId="77777777" w:rsidR="006D4F0B" w:rsidRDefault="00006241">
      <w:pPr>
        <w:jc w:val="cente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eastAsia="Cambria Math" w:hAnsi="Cambria Math" w:cs="Cambria Math"/>
                </w:rPr>
                <m:t>E</m:t>
              </m:r>
            </m:e>
            <m:sub>
              <m:sSub>
                <m:sSubPr>
                  <m:ctrlPr>
                    <w:rPr>
                      <w:rFonts w:ascii="Cambria Math" w:eastAsia="Cambria Math" w:hAnsi="Cambria Math" w:cs="Cambria Math"/>
                    </w:rPr>
                  </m:ctrlPr>
                </m:sSubPr>
                <m:e>
                  <m:r>
                    <w:rPr>
                      <w:rFonts w:ascii="Cambria Math" w:eastAsia="Cambria Math" w:hAnsi="Cambria Math" w:cs="Cambria Math"/>
                    </w:rPr>
                    <m:t>CO</m:t>
                  </m:r>
                </m:e>
                <m:sub>
                  <m:r>
                    <w:rPr>
                      <w:rFonts w:ascii="Cambria Math" w:eastAsia="Cambria Math" w:hAnsi="Cambria Math" w:cs="Cambria Math"/>
                    </w:rPr>
                    <m:t>2</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w.e.</m:t>
                  </m:r>
                </m:e>
                <m: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CH</m:t>
                      </m:r>
                    </m:e>
                    <m:sub>
                      <m:r>
                        <w:rPr>
                          <w:rFonts w:ascii="Cambria Math" w:eastAsia="Cambria Math" w:hAnsi="Cambria Math" w:cs="Cambria Math"/>
                        </w:rPr>
                        <m:t>4</m:t>
                      </m:r>
                    </m:sub>
                  </m:sSub>
                  <m:r>
                    <w:rPr>
                      <w:rFonts w:ascii="Cambria Math" w:eastAsia="Cambria Math" w:hAnsi="Cambria Math" w:cs="Cambria Math"/>
                    </w:rPr>
                    <m:t>)</m:t>
                  </m:r>
                </m:sub>
              </m:sSub>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GWP</m:t>
              </m:r>
            </m:e>
            <m:sub>
              <m:r>
                <w:rPr>
                  <w:rFonts w:ascii="Cambria Math" w:eastAsia="Cambria Math" w:hAnsi="Cambria Math" w:cs="Cambria Math"/>
                </w:rPr>
                <m:t>100</m:t>
              </m:r>
            </m:sub>
          </m:sSub>
          <m:r>
            <w:rPr>
              <w:rFonts w:ascii="Cambria Math" w:eastAsia="Cambria Math" w:hAnsi="Cambria Math" w:cs="Cambria Math"/>
            </w:rPr>
            <m:t>×(4×</m:t>
          </m:r>
          <m:sSub>
            <m:sSubPr>
              <m:ctrlPr>
                <w:rPr>
                  <w:rFonts w:ascii="Cambria Math" w:eastAsia="Cambria Math" w:hAnsi="Cambria Math" w:cs="Cambria Math"/>
                </w:rPr>
              </m:ctrlPr>
            </m:sSubPr>
            <m:e>
              <m:r>
                <w:rPr>
                  <w:rFonts w:ascii="Cambria Math" w:eastAsia="Cambria Math" w:hAnsi="Cambria Math" w:cs="Cambria Math"/>
                </w:rPr>
                <m:t>E</m:t>
              </m:r>
            </m:e>
            <m:sub>
              <m:sSub>
                <m:sSubPr>
                  <m:ctrlPr>
                    <w:rPr>
                      <w:rFonts w:ascii="Cambria Math" w:eastAsia="Cambria Math" w:hAnsi="Cambria Math" w:cs="Cambria Math"/>
                    </w:rPr>
                  </m:ctrlPr>
                </m:sSubPr>
                <m:e>
                  <m:r>
                    <w:rPr>
                      <w:rFonts w:ascii="Cambria Math" w:eastAsia="Cambria Math" w:hAnsi="Cambria Math" w:cs="Cambria Math"/>
                    </w:rPr>
                    <m:t>CH</m:t>
                  </m:r>
                </m:e>
                <m:sub>
                  <m:r>
                    <w:rPr>
                      <w:rFonts w:ascii="Cambria Math" w:eastAsia="Cambria Math" w:hAnsi="Cambria Math" w:cs="Cambria Math"/>
                    </w:rPr>
                    <m:t>4</m:t>
                  </m:r>
                </m:sub>
              </m:sSub>
              <m:d>
                <m:dPr>
                  <m:ctrlPr>
                    <w:rPr>
                      <w:rFonts w:ascii="Cambria Math" w:eastAsia="Cambria Math" w:hAnsi="Cambria Math" w:cs="Cambria Math"/>
                    </w:rPr>
                  </m:ctrlPr>
                </m:dPr>
                <m:e>
                  <m:r>
                    <w:rPr>
                      <w:rFonts w:ascii="Cambria Math" w:eastAsia="Cambria Math" w:hAnsi="Cambria Math" w:cs="Cambria Math"/>
                    </w:rPr>
                    <m:t>t</m:t>
                  </m:r>
                </m:e>
              </m:d>
            </m:sub>
          </m:sSub>
          <m:r>
            <w:rPr>
              <w:rFonts w:ascii="Cambria Math" w:eastAsia="Cambria Math" w:hAnsi="Cambria Math" w:cs="Cambria Math"/>
            </w:rPr>
            <m:t>-3.75×</m:t>
          </m:r>
          <m:sSub>
            <m:sSubPr>
              <m:ctrlPr>
                <w:rPr>
                  <w:rFonts w:ascii="Cambria Math" w:eastAsia="Cambria Math" w:hAnsi="Cambria Math" w:cs="Cambria Math"/>
                </w:rPr>
              </m:ctrlPr>
            </m:sSubPr>
            <m:e>
              <m:r>
                <w:rPr>
                  <w:rFonts w:ascii="Cambria Math" w:eastAsia="Cambria Math" w:hAnsi="Cambria Math" w:cs="Cambria Math"/>
                </w:rPr>
                <m:t>E</m:t>
              </m:r>
            </m:e>
            <m:sub>
              <m:sSub>
                <m:sSubPr>
                  <m:ctrlPr>
                    <w:rPr>
                      <w:rFonts w:ascii="Cambria Math" w:eastAsia="Cambria Math" w:hAnsi="Cambria Math" w:cs="Cambria Math"/>
                    </w:rPr>
                  </m:ctrlPr>
                </m:sSubPr>
                <m:e>
                  <m:r>
                    <w:rPr>
                      <w:rFonts w:ascii="Cambria Math" w:eastAsia="Cambria Math" w:hAnsi="Cambria Math" w:cs="Cambria Math"/>
                    </w:rPr>
                    <m:t>CH</m:t>
                  </m:r>
                </m:e>
                <m:sub>
                  <m:r>
                    <w:rPr>
                      <w:rFonts w:ascii="Cambria Math" w:eastAsia="Cambria Math" w:hAnsi="Cambria Math" w:cs="Cambria Math"/>
                    </w:rPr>
                    <m:t>4</m:t>
                  </m:r>
                </m:sub>
              </m:sSub>
              <m:d>
                <m:dPr>
                  <m:ctrlPr>
                    <w:rPr>
                      <w:rFonts w:ascii="Cambria Math" w:eastAsia="Cambria Math" w:hAnsi="Cambria Math" w:cs="Cambria Math"/>
                    </w:rPr>
                  </m:ctrlPr>
                </m:dPr>
                <m:e>
                  <m:r>
                    <w:rPr>
                      <w:rFonts w:ascii="Cambria Math" w:eastAsia="Cambria Math" w:hAnsi="Cambria Math" w:cs="Cambria Math"/>
                    </w:rPr>
                    <m:t>t-20</m:t>
                  </m:r>
                </m:e>
              </m:d>
            </m:sub>
          </m:sSub>
          <m:r>
            <w:rPr>
              <w:rFonts w:ascii="Cambria Math" w:eastAsia="Cambria Math" w:hAnsi="Cambria Math" w:cs="Cambria Math"/>
            </w:rPr>
            <m:t>)</m:t>
          </m:r>
        </m:oMath>
      </m:oMathPara>
    </w:p>
    <w:p w14:paraId="472452BB" w14:textId="77777777" w:rsidR="006D4F0B" w:rsidRDefault="00493F5E">
      <w:pPr>
        <w:jc w:val="both"/>
      </w:pPr>
      <w:r>
        <w:t>Where ‘CO</w:t>
      </w:r>
      <w:r>
        <w:rPr>
          <w:vertAlign w:val="subscript"/>
        </w:rPr>
        <w:t>2</w:t>
      </w:r>
      <w:r>
        <w:t>-warming-equivalent’ (CO</w:t>
      </w:r>
      <w:r w:rsidR="00D2063E" w:rsidRPr="00D2063E">
        <w:rPr>
          <w:vertAlign w:val="subscript"/>
        </w:rPr>
        <w:t>2</w:t>
      </w:r>
      <w:r w:rsidRPr="00D2063E">
        <w:rPr>
          <w:vertAlign w:val="superscript"/>
        </w:rPr>
        <w:t>we</w:t>
      </w:r>
      <w:r>
        <w:t xml:space="preserve">) emissions have a large initial effect at the time of release </w:t>
      </w:r>
      <m:oMath>
        <m:r>
          <w:rPr>
            <w:rFonts w:ascii="Cambria Math" w:hAnsi="Cambria Math"/>
          </w:rPr>
          <m:t>(</m:t>
        </m:r>
        <m:r>
          <w:rPr>
            <w:rFonts w:ascii="Cambria Math" w:eastAsia="Cambria Math" w:hAnsi="Cambria Math" w:cs="Cambria Math"/>
          </w:rPr>
          <m:t>4 ×</m:t>
        </m:r>
      </m:oMath>
      <w:r>
        <w:t xml:space="preserve"> the conventional GWP</w:t>
      </w:r>
      <w:r w:rsidRPr="00D2063E">
        <w:rPr>
          <w:vertAlign w:val="subscript"/>
        </w:rPr>
        <w:t>100</w:t>
      </w:r>
      <w:r>
        <w:t xml:space="preserve"> valuation), but much of this (3.75 </w:t>
      </w:r>
      <m:oMath>
        <m:r>
          <w:rPr>
            <w:rFonts w:ascii="Cambria Math" w:hAnsi="Cambria Math"/>
          </w:rPr>
          <m:t xml:space="preserve">× </m:t>
        </m:r>
      </m:oMath>
      <w:r>
        <w:t>the conventional GWP</w:t>
      </w:r>
      <w:r w:rsidRPr="00D2063E">
        <w:rPr>
          <w:vertAlign w:val="subscript"/>
        </w:rPr>
        <w:t>100</w:t>
      </w:r>
      <w:r>
        <w:t xml:space="preserve"> valuation) is considered reversed 20 years later. Consequently, the reported CO</w:t>
      </w:r>
      <w:r w:rsidRPr="000C22B2">
        <w:rPr>
          <w:vertAlign w:val="subscript"/>
        </w:rPr>
        <w:t>2</w:t>
      </w:r>
      <w:r>
        <w:t xml:space="preserve">-equivalence valuation of methane emissions can be higher for those sources where emissions have increased over time and can be negative for those cases where emissions have decreased. </w:t>
      </w:r>
    </w:p>
    <w:p w14:paraId="57869ED5" w14:textId="37EF3EDC" w:rsidR="006D4F0B" w:rsidRDefault="00493F5E">
      <w:pPr>
        <w:jc w:val="both"/>
      </w:pPr>
      <w:r>
        <w:t xml:space="preserve">‘Carbon pricing’ is widely acknowledged as an efficient means to achieve the ambitions set out in the Paris-agreement (Bowen 2011, </w:t>
      </w:r>
      <w:proofErr w:type="spellStart"/>
      <w:r>
        <w:t>Baranzini</w:t>
      </w:r>
      <w:proofErr w:type="spellEnd"/>
      <w:r>
        <w:t xml:space="preserve"> et al. 2017, </w:t>
      </w:r>
      <w:proofErr w:type="spellStart"/>
      <w:r>
        <w:t>Stiglitz</w:t>
      </w:r>
      <w:proofErr w:type="spellEnd"/>
      <w:r>
        <w:t xml:space="preserve"> et al. 2017, </w:t>
      </w:r>
      <w:proofErr w:type="spellStart"/>
      <w:r>
        <w:t>Akerlof</w:t>
      </w:r>
      <w:proofErr w:type="spellEnd"/>
      <w:r>
        <w:t xml:space="preserve"> et al. 2019), however it requires a transparent, predictable, and practicable monitoring system that reports emissions at their source. Emissions from agriculture differ from emissions from standardized industrial processes due to their biological nature, diverse land-use techniques and different farm management practices leading to large variations in emission intensities for identical products (</w:t>
      </w:r>
      <w:proofErr w:type="spellStart"/>
      <w:r>
        <w:t>Bonesmo</w:t>
      </w:r>
      <w:proofErr w:type="spellEnd"/>
      <w:r>
        <w:t xml:space="preserve"> et al. 2013, </w:t>
      </w:r>
      <w:proofErr w:type="spellStart"/>
      <w:r>
        <w:t>Alemu</w:t>
      </w:r>
      <w:proofErr w:type="spellEnd"/>
      <w:r>
        <w:t xml:space="preserve"> et al. 2017, </w:t>
      </w:r>
      <w:proofErr w:type="spellStart"/>
      <w:proofErr w:type="gramStart"/>
      <w:r>
        <w:t>Samsonstuen</w:t>
      </w:r>
      <w:proofErr w:type="spellEnd"/>
      <w:proofErr w:type="gramEnd"/>
      <w:r>
        <w:t xml:space="preserve"> et al. 2020). In addition, the spatial dispersion of farming renders the accurate monitoring of agricultural emissions at their source almost impossible. Carbon prices have therefore been applied in agricultural economic models as an approximation of other policies that incentivize farmers to implement mitigation options (or penalizes them for not adopting them), while the transaction costs caused by those policies have been neglected (Ripple et al. 2014, Frank et al. 2019). </w:t>
      </w:r>
    </w:p>
    <w:p w14:paraId="6288357B" w14:textId="1B2B84EF" w:rsidR="006D4F0B" w:rsidRDefault="00493F5E">
      <w:pPr>
        <w:jc w:val="both"/>
      </w:pPr>
      <w:r>
        <w:t xml:space="preserve">Notwithstanding the fact that monitoring emissions in agriculture involves high transaction costs, the change in the GHG accounting metric to GWP* makes the implementation of a carbon </w:t>
      </w:r>
      <w:r w:rsidR="00DA6EA7">
        <w:t>price</w:t>
      </w:r>
      <w:r>
        <w:t xml:space="preserve"> in </w:t>
      </w:r>
      <w:r>
        <w:lastRenderedPageBreak/>
        <w:t xml:space="preserve">agriculture more complicated as the </w:t>
      </w:r>
      <w:r w:rsidR="005D6CC8">
        <w:t>warming impact of methane emissions</w:t>
      </w:r>
      <w:r>
        <w:t xml:space="preserve"> needs to be based on two points in time and differ with a time span of 20 years. In effect, the </w:t>
      </w:r>
      <w:r w:rsidR="005D6CC8">
        <w:t>full impact</w:t>
      </w:r>
      <w:r>
        <w:t xml:space="preserve"> of emissions </w:t>
      </w:r>
      <w:proofErr w:type="gramStart"/>
      <w:r>
        <w:t>is delayed</w:t>
      </w:r>
      <w:proofErr w:type="gramEnd"/>
      <w:r>
        <w:t xml:space="preserve"> by 20 years raising concerns about who can be made responsible to paying the </w:t>
      </w:r>
      <w:r w:rsidR="00DA6EA7">
        <w:t>carbon price</w:t>
      </w:r>
      <w:r>
        <w:t>. GWP</w:t>
      </w:r>
      <w:r w:rsidRPr="00D2063E">
        <w:rPr>
          <w:vertAlign w:val="subscript"/>
        </w:rPr>
        <w:t>100</w:t>
      </w:r>
      <w:r>
        <w:t xml:space="preserve"> accounts emissions only in the year they originate. On the contrary, GWP* accounting requires the year emissions occur, and 20 years before, to reflect that short-lived methane is rapidly destroyed in the atmosphere via natural processes. A </w:t>
      </w:r>
      <w:r w:rsidR="00DA6EA7">
        <w:t>carbon price</w:t>
      </w:r>
      <w:r>
        <w:t xml:space="preserve"> that requires a time span of 20 years to be </w:t>
      </w:r>
      <w:proofErr w:type="gramStart"/>
      <w:r>
        <w:t>calculated,</w:t>
      </w:r>
      <w:proofErr w:type="gramEnd"/>
      <w:r>
        <w:t xml:space="preserve"> is difficult to administer. Neither the farmer nor the firm responsible for the emissions will necessarily be the same after 20 years</w:t>
      </w:r>
      <w:r w:rsidR="00E04D30">
        <w:rPr>
          <w:rStyle w:val="FootnoteReference"/>
        </w:rPr>
        <w:footnoteReference w:id="1"/>
      </w:r>
      <w:r>
        <w:t xml:space="preserve">. </w:t>
      </w:r>
    </w:p>
    <w:p w14:paraId="1E78A34D" w14:textId="5126E18A" w:rsidR="006D4F0B" w:rsidRDefault="00493F5E">
      <w:pPr>
        <w:jc w:val="both"/>
      </w:pPr>
      <w:r>
        <w:t xml:space="preserve">For this exploratory study, we consider two options for the computation of the carbon </w:t>
      </w:r>
      <w:r w:rsidR="00DA6EA7">
        <w:t>price</w:t>
      </w:r>
      <w:r>
        <w:t>: a “</w:t>
      </w:r>
      <w:r w:rsidR="00E04D30">
        <w:t>short term</w:t>
      </w:r>
      <w:r>
        <w:t xml:space="preserve">” </w:t>
      </w:r>
      <w:r w:rsidR="008900E0">
        <w:t>(</w:t>
      </w:r>
      <w:r w:rsidR="00E04D30">
        <w:t>MEF-ST</w:t>
      </w:r>
      <w:r w:rsidR="008900E0">
        <w:t xml:space="preserve">) </w:t>
      </w:r>
      <w:r>
        <w:t xml:space="preserve">and </w:t>
      </w:r>
      <w:r w:rsidR="008900E0">
        <w:t xml:space="preserve">a </w:t>
      </w:r>
      <w:r>
        <w:t>“</w:t>
      </w:r>
      <w:r w:rsidR="00E04D30">
        <w:t>long term</w:t>
      </w:r>
      <w:r>
        <w:t xml:space="preserve">” </w:t>
      </w:r>
      <w:r w:rsidR="008900E0">
        <w:t>(</w:t>
      </w:r>
      <w:r w:rsidR="00E04D30">
        <w:t>MEF-LT</w:t>
      </w:r>
      <w:r w:rsidR="008900E0">
        <w:t xml:space="preserve">) </w:t>
      </w:r>
      <w:r>
        <w:t xml:space="preserve">one, separating out the two components of the GWP* equation. </w:t>
      </w:r>
    </w:p>
    <w:p w14:paraId="151D7EDE" w14:textId="13DBA634" w:rsidR="006D4F0B" w:rsidRDefault="00493F5E">
      <w:pPr>
        <w:jc w:val="both"/>
      </w:pPr>
      <w:r>
        <w:t xml:space="preserve">The </w:t>
      </w:r>
      <w:r w:rsidR="00E04D30">
        <w:t>MEF-ST</w:t>
      </w:r>
      <w:r>
        <w:t xml:space="preserve"> option focuses on the strong impact of changing methane emission rates, computing the carbon </w:t>
      </w:r>
      <w:r w:rsidR="00DA6EA7">
        <w:t>price</w:t>
      </w:r>
      <w:r>
        <w:t xml:space="preserve"> based on the initial valuation at the point an emissions occurs, and neglecting the subsequent reversal of most of the emission’s impact in the years ahead. Consequently, the resulting carbon </w:t>
      </w:r>
      <w:r w:rsidR="004039DA">
        <w:t>price</w:t>
      </w:r>
      <w:r>
        <w:t xml:space="preserve"> </w:t>
      </w:r>
      <w:proofErr w:type="gramStart"/>
      <w:r>
        <w:t>will be four times higher compared</w:t>
      </w:r>
      <w:proofErr w:type="gramEnd"/>
      <w:r>
        <w:t xml:space="preserve"> to a GWP</w:t>
      </w:r>
      <w:r w:rsidRPr="00D2063E">
        <w:rPr>
          <w:vertAlign w:val="subscript"/>
        </w:rPr>
        <w:t>100</w:t>
      </w:r>
      <w:r>
        <w:t xml:space="preserve">-based carbon </w:t>
      </w:r>
      <w:r w:rsidR="00DA6EA7">
        <w:t>price</w:t>
      </w:r>
      <w:r>
        <w:t xml:space="preserve">, leading to strong incentives to mitigate methane emissions. The </w:t>
      </w:r>
      <w:r w:rsidR="00E04D30">
        <w:t>MEF-ST</w:t>
      </w:r>
      <w:r>
        <w:t xml:space="preserve"> option could reflect motives of decision makers that prioritise reducing overall GHG emissions fast, i.e., almost independent from any metric.</w:t>
      </w:r>
    </w:p>
    <w:p w14:paraId="2798BF7A" w14:textId="5169AE87" w:rsidR="006D4F0B" w:rsidRDefault="00493F5E">
      <w:pPr>
        <w:jc w:val="both"/>
      </w:pPr>
      <w:r>
        <w:t xml:space="preserve">The </w:t>
      </w:r>
      <w:r w:rsidR="00E04D30">
        <w:t>MEF-LT</w:t>
      </w:r>
      <w:r>
        <w:t xml:space="preserve"> option aims at implementing a GWP*-based carbon </w:t>
      </w:r>
      <w:r w:rsidR="004039DA">
        <w:t>price</w:t>
      </w:r>
      <w:r>
        <w:t xml:space="preserve"> assuming that the methane dynamics are that is perfectly understood by economic actors and credibly enforced by regulators. Since we apply static models to a dynamic planning problem, we simplify the planning problem by assuming </w:t>
      </w:r>
      <w:proofErr w:type="spellStart"/>
      <w:r>
        <w:t>Hotelling’s</w:t>
      </w:r>
      <w:proofErr w:type="spellEnd"/>
      <w:r>
        <w:t xml:space="preserve"> rule (1931). This rule states that the optimal price path of a non-renewable, durable resource follows the discount rate. We assume that every CO</w:t>
      </w:r>
      <w:r w:rsidRPr="00D2063E">
        <w:rPr>
          <w:vertAlign w:val="subscript"/>
        </w:rPr>
        <w:t>2</w:t>
      </w:r>
      <w:r>
        <w:t xml:space="preserve"> emission causes the same damage, and, consequently, no tipping points are considered. In our case, that resource would be the CO</w:t>
      </w:r>
      <w:r w:rsidRPr="00D2063E">
        <w:rPr>
          <w:vertAlign w:val="subscript"/>
        </w:rPr>
        <w:t>2</w:t>
      </w:r>
      <w:r>
        <w:t xml:space="preserve">-absorbing capacity of the atmosphere. With constant </w:t>
      </w:r>
      <w:r w:rsidR="004039DA">
        <w:t>carbon prices</w:t>
      </w:r>
      <w:r>
        <w:t xml:space="preserve"> in real </w:t>
      </w:r>
      <w:r w:rsidR="004039DA">
        <w:t>terms</w:t>
      </w:r>
      <w:r>
        <w:t xml:space="preserve">, the </w:t>
      </w:r>
      <w:r w:rsidR="004039DA">
        <w:t>carbon price</w:t>
      </w:r>
      <w:r>
        <w:t xml:space="preserve"> </w:t>
      </w:r>
      <w:proofErr w:type="gramStart"/>
      <w:r>
        <w:t>will be understood</w:t>
      </w:r>
      <w:proofErr w:type="gramEnd"/>
      <w:r>
        <w:t xml:space="preserve"> as a regime that </w:t>
      </w:r>
      <w:r w:rsidR="004039DA">
        <w:t>charges</w:t>
      </w:r>
      <w:r>
        <w:t xml:space="preserve"> emissions four times the GWP</w:t>
      </w:r>
      <w:r w:rsidRPr="00D2063E">
        <w:rPr>
          <w:vertAlign w:val="subscript"/>
        </w:rPr>
        <w:t>100</w:t>
      </w:r>
      <w:r>
        <w:t xml:space="preserve">-based </w:t>
      </w:r>
      <w:r w:rsidR="004039DA">
        <w:t>carbon price</w:t>
      </w:r>
      <w:r>
        <w:t xml:space="preserve"> the year they accrue, but rewards a rebate of 3.75 times that </w:t>
      </w:r>
      <w:r w:rsidR="004039DA">
        <w:t>price</w:t>
      </w:r>
      <w:r>
        <w:t xml:space="preserve"> 20 years later. The net effect is a </w:t>
      </w:r>
      <w:r w:rsidR="004039DA">
        <w:t>price</w:t>
      </w:r>
      <w:r>
        <w:t xml:space="preserve"> of (</w:t>
      </w:r>
      <w:proofErr w:type="gramStart"/>
      <w:r>
        <w:t>4</w:t>
      </w:r>
      <w:proofErr w:type="gramEnd"/>
      <w:r>
        <w:t xml:space="preserve"> – 3.75 =) 25 percent of the GWP</w:t>
      </w:r>
      <w:r w:rsidRPr="00D2063E">
        <w:rPr>
          <w:vertAlign w:val="subscript"/>
        </w:rPr>
        <w:t>100</w:t>
      </w:r>
      <w:r>
        <w:t xml:space="preserve">-based carbon </w:t>
      </w:r>
      <w:r w:rsidR="004039DA">
        <w:t>price</w:t>
      </w:r>
      <w:r>
        <w:t xml:space="preserve">. The </w:t>
      </w:r>
      <w:r w:rsidR="00E04D30">
        <w:t>MEF-LT</w:t>
      </w:r>
      <w:r>
        <w:t xml:space="preserve"> option thus reflects the fact that “after 20 years much of the warming caused by an individual methane emitter is automatically reserved” (Lynch et al. 2020). In our models, the </w:t>
      </w:r>
      <w:r w:rsidR="00E04D30">
        <w:t>MEF-LT</w:t>
      </w:r>
      <w:r>
        <w:t xml:space="preserve"> carbon </w:t>
      </w:r>
      <w:r w:rsidR="004039DA">
        <w:t>price</w:t>
      </w:r>
      <w:r>
        <w:t xml:space="preserve"> </w:t>
      </w:r>
      <w:proofErr w:type="gramStart"/>
      <w:r>
        <w:t>is implemented</w:t>
      </w:r>
      <w:proofErr w:type="gramEnd"/>
      <w:r>
        <w:t xml:space="preserve"> with its net effect in the year emissions occur.</w:t>
      </w:r>
    </w:p>
    <w:p w14:paraId="29F660F8" w14:textId="3908C1E7" w:rsidR="006D4F0B" w:rsidRDefault="00493F5E">
      <w:pPr>
        <w:jc w:val="both"/>
      </w:pPr>
      <w:r>
        <w:t xml:space="preserve">The two options above only regard the </w:t>
      </w:r>
      <w:r w:rsidR="004039DA">
        <w:t>pricing</w:t>
      </w:r>
      <w:r>
        <w:t xml:space="preserve"> of methane. The computation of the carbon </w:t>
      </w:r>
      <w:r w:rsidR="004039DA">
        <w:t>price</w:t>
      </w:r>
      <w:r>
        <w:t xml:space="preserve"> for carbon dioxide and nitrous oxide is not affected by GWP* and follows GWP</w:t>
      </w:r>
      <w:r w:rsidRPr="00D2063E">
        <w:rPr>
          <w:vertAlign w:val="subscript"/>
        </w:rPr>
        <w:t>100</w:t>
      </w:r>
      <w:r>
        <w:t xml:space="preserve"> in both options. Although nitrous oxide is less durable than carbon dioxide, it </w:t>
      </w:r>
      <w:proofErr w:type="gramStart"/>
      <w:r>
        <w:t>is not considered</w:t>
      </w:r>
      <w:proofErr w:type="gramEnd"/>
      <w:r>
        <w:t xml:space="preserve"> a short-lived climate gas as methane. These globally uniform carbon prices (see Figure X) </w:t>
      </w:r>
      <w:proofErr w:type="gramStart"/>
      <w:r>
        <w:t>are used</w:t>
      </w:r>
      <w:proofErr w:type="gramEnd"/>
      <w:r>
        <w:t xml:space="preserve"> to estimate the cost-efficient mitigation potential and its distribution across sectors and regions rather than a real world policy</w:t>
      </w:r>
      <w:r w:rsidR="00C34C73">
        <w:t> </w:t>
      </w:r>
      <w:sdt>
        <w:sdtPr>
          <w:id w:val="1839663985"/>
          <w:citation/>
        </w:sdtPr>
        <w:sdtEndPr/>
        <w:sdtContent>
          <w:r w:rsidR="00C34C73">
            <w:fldChar w:fldCharType="begin"/>
          </w:r>
          <w:r w:rsidR="00C34C73">
            <w:instrText xml:space="preserve"> CITATION Frank2019 \l 2057 </w:instrText>
          </w:r>
          <w:r w:rsidR="00C34C73">
            <w:fldChar w:fldCharType="separate"/>
          </w:r>
          <w:r w:rsidR="00815229" w:rsidRPr="00815229">
            <w:rPr>
              <w:noProof/>
            </w:rPr>
            <w:t>[14]</w:t>
          </w:r>
          <w:r w:rsidR="00C34C73">
            <w:fldChar w:fldCharType="end"/>
          </w:r>
        </w:sdtContent>
      </w:sdt>
      <w:r>
        <w:t xml:space="preserve">. We apply </w:t>
      </w:r>
      <w:proofErr w:type="gramStart"/>
      <w:r>
        <w:t>two</w:t>
      </w:r>
      <w:proofErr w:type="gramEnd"/>
      <w:r>
        <w:t xml:space="preserve"> global carbon </w:t>
      </w:r>
      <w:r w:rsidR="004039DA">
        <w:t>price</w:t>
      </w:r>
      <w:r>
        <w:t xml:space="preserve"> trajectories, 100 and 500 $/t</w:t>
      </w:r>
      <w:r w:rsidR="000C22B2">
        <w:t> </w:t>
      </w:r>
      <w:r>
        <w:t>CO</w:t>
      </w:r>
      <w:r w:rsidRPr="000C22B2">
        <w:rPr>
          <w:vertAlign w:val="subscript"/>
        </w:rPr>
        <w:t>2</w:t>
      </w:r>
      <w:r w:rsidRPr="000C22B2">
        <w:rPr>
          <w:vertAlign w:val="superscript"/>
        </w:rPr>
        <w:t>e</w:t>
      </w:r>
      <w:r>
        <w:t xml:space="preserve">. </w:t>
      </w:r>
      <w:proofErr w:type="gramStart"/>
      <w:r>
        <w:t>at</w:t>
      </w:r>
      <w:proofErr w:type="gramEnd"/>
      <w:r>
        <w:t xml:space="preserve"> 2070, consistent with earlier publications, as higher carbon prices cannot stimulate more technical options, but decrease consumption</w:t>
      </w:r>
      <w:r w:rsidR="00C34C73" w:rsidRPr="00C34C73">
        <w:t xml:space="preserve"> </w:t>
      </w:r>
      <w:r w:rsidR="00C34C73">
        <w:t> </w:t>
      </w:r>
      <w:sdt>
        <w:sdtPr>
          <w:id w:val="-495643668"/>
          <w:citation/>
        </w:sdtPr>
        <w:sdtEndPr/>
        <w:sdtContent>
          <w:r w:rsidR="00C34C73">
            <w:fldChar w:fldCharType="begin"/>
          </w:r>
          <w:r w:rsidR="00C34C73">
            <w:instrText xml:space="preserve"> CITATION Frank2019 \l 2057 </w:instrText>
          </w:r>
          <w:r w:rsidR="00C34C73">
            <w:fldChar w:fldCharType="separate"/>
          </w:r>
          <w:r w:rsidR="00815229" w:rsidRPr="00815229">
            <w:rPr>
              <w:noProof/>
            </w:rPr>
            <w:t>[14]</w:t>
          </w:r>
          <w:r w:rsidR="00C34C73">
            <w:fldChar w:fldCharType="end"/>
          </w:r>
        </w:sdtContent>
      </w:sdt>
      <w:r>
        <w:t>. In addition to CH</w:t>
      </w:r>
      <w:r w:rsidRPr="00D2063E">
        <w:rPr>
          <w:vertAlign w:val="subscript"/>
        </w:rPr>
        <w:t>4</w:t>
      </w:r>
      <w:r>
        <w:t xml:space="preserve"> emissions, N</w:t>
      </w:r>
      <w:r w:rsidRPr="00D2063E">
        <w:rPr>
          <w:vertAlign w:val="subscript"/>
        </w:rPr>
        <w:t>2</w:t>
      </w:r>
      <w:r>
        <w:t xml:space="preserve">O emissions from agricultural production </w:t>
      </w:r>
      <w:proofErr w:type="gramStart"/>
      <w:r>
        <w:t>are priced</w:t>
      </w:r>
      <w:proofErr w:type="gramEnd"/>
      <w:r>
        <w:t xml:space="preserve"> according to the GWP</w:t>
      </w:r>
      <w:r w:rsidRPr="00D2063E">
        <w:rPr>
          <w:vertAlign w:val="subscript"/>
        </w:rPr>
        <w:t>100</w:t>
      </w:r>
      <w:r>
        <w:t xml:space="preserve"> N</w:t>
      </w:r>
      <w:r w:rsidRPr="00D2063E">
        <w:rPr>
          <w:vertAlign w:val="subscript"/>
        </w:rPr>
        <w:t>2</w:t>
      </w:r>
      <w:r>
        <w:t xml:space="preserve">O </w:t>
      </w:r>
      <w:r w:rsidR="004039DA">
        <w:t>price</w:t>
      </w:r>
      <w:r>
        <w:t xml:space="preserve">. In line with the focus of this study on </w:t>
      </w:r>
      <w:r>
        <w:lastRenderedPageBreak/>
        <w:t>non-CO</w:t>
      </w:r>
      <w:r w:rsidRPr="00D2063E">
        <w:rPr>
          <w:vertAlign w:val="subscript"/>
        </w:rPr>
        <w:t>2</w:t>
      </w:r>
      <w:r>
        <w:t xml:space="preserve"> emissions from agriculture, CO</w:t>
      </w:r>
      <w:r w:rsidRPr="00D2063E">
        <w:rPr>
          <w:vertAlign w:val="subscript"/>
        </w:rPr>
        <w:t>2</w:t>
      </w:r>
      <w:r>
        <w:t xml:space="preserve"> emissions from deforestation or other land-use change </w:t>
      </w:r>
      <w:proofErr w:type="gramStart"/>
      <w:r>
        <w:t xml:space="preserve">are not </w:t>
      </w:r>
      <w:r w:rsidR="004039DA">
        <w:t>priced</w:t>
      </w:r>
      <w:proofErr w:type="gramEnd"/>
      <w:r>
        <w:t xml:space="preserve">. </w:t>
      </w:r>
    </w:p>
    <w:p w14:paraId="6BF2E607" w14:textId="2B76B990" w:rsidR="006D4F0B" w:rsidRDefault="00AF4D8A" w:rsidP="00AF4D8A">
      <w:pPr>
        <w:jc w:val="center"/>
      </w:pPr>
      <w:r w:rsidRPr="00AF4D8A">
        <w:rPr>
          <w:noProof/>
        </w:rPr>
        <w:drawing>
          <wp:inline distT="0" distB="0" distL="0" distR="0" wp14:anchorId="0E51A68E" wp14:editId="7E2D0202">
            <wp:extent cx="2520000" cy="1512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0000" cy="1512000"/>
                    </a:xfrm>
                    <a:prstGeom prst="rect">
                      <a:avLst/>
                    </a:prstGeom>
                    <a:noFill/>
                    <a:ln>
                      <a:noFill/>
                    </a:ln>
                  </pic:spPr>
                </pic:pic>
              </a:graphicData>
            </a:graphic>
          </wp:inline>
        </w:drawing>
      </w:r>
      <w:r w:rsidRPr="00AF4D8A">
        <w:rPr>
          <w:noProof/>
        </w:rPr>
        <w:drawing>
          <wp:inline distT="0" distB="0" distL="0" distR="0" wp14:anchorId="3AFAC7DC" wp14:editId="41D20D1A">
            <wp:extent cx="2520000" cy="1512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20000" cy="1512000"/>
                    </a:xfrm>
                    <a:prstGeom prst="rect">
                      <a:avLst/>
                    </a:prstGeom>
                    <a:noFill/>
                    <a:ln>
                      <a:noFill/>
                    </a:ln>
                  </pic:spPr>
                </pic:pic>
              </a:graphicData>
            </a:graphic>
          </wp:inline>
        </w:drawing>
      </w:r>
    </w:p>
    <w:p w14:paraId="606F95E0" w14:textId="536441AC" w:rsidR="006D4F0B" w:rsidRDefault="00493F5E">
      <w:pPr>
        <w:jc w:val="both"/>
        <w:rPr>
          <w:i/>
          <w:sz w:val="18"/>
          <w:szCs w:val="18"/>
        </w:rPr>
      </w:pPr>
      <w:r>
        <w:rPr>
          <w:i/>
          <w:sz w:val="18"/>
          <w:szCs w:val="18"/>
        </w:rPr>
        <w:t xml:space="preserve">Figure </w:t>
      </w:r>
      <w:r w:rsidR="003766CC">
        <w:rPr>
          <w:i/>
          <w:sz w:val="18"/>
          <w:szCs w:val="18"/>
        </w:rPr>
        <w:t>S1</w:t>
      </w:r>
      <w:r>
        <w:rPr>
          <w:i/>
          <w:sz w:val="18"/>
          <w:szCs w:val="18"/>
        </w:rPr>
        <w:t>: carbon price trajectories for agricultural emissions from 2030 to 2070: 150$ (left) and 500$ (right)</w:t>
      </w:r>
    </w:p>
    <w:p w14:paraId="33D58B9E" w14:textId="7E7B446B" w:rsidR="006D4F0B" w:rsidRDefault="00AF4D8A">
      <w:pPr>
        <w:jc w:val="both"/>
        <w:rPr>
          <w:sz w:val="18"/>
          <w:szCs w:val="18"/>
        </w:rPr>
      </w:pPr>
      <w:r>
        <w:rPr>
          <w:i/>
          <w:sz w:val="18"/>
          <w:szCs w:val="18"/>
        </w:rPr>
        <w:t>Note: s</w:t>
      </w:r>
      <w:r w:rsidR="00493F5E">
        <w:rPr>
          <w:i/>
          <w:sz w:val="18"/>
          <w:szCs w:val="18"/>
        </w:rPr>
        <w:t xml:space="preserve">ee Table </w:t>
      </w:r>
      <w:r w:rsidR="004039DA">
        <w:rPr>
          <w:i/>
          <w:sz w:val="18"/>
          <w:szCs w:val="18"/>
        </w:rPr>
        <w:t>S</w:t>
      </w:r>
      <w:r w:rsidR="00493F5E">
        <w:rPr>
          <w:i/>
          <w:sz w:val="18"/>
          <w:szCs w:val="18"/>
        </w:rPr>
        <w:t>1 below for scenario acronyms.</w:t>
      </w:r>
    </w:p>
    <w:p w14:paraId="2259ECB0" w14:textId="35F585D4" w:rsidR="006D4F0B" w:rsidRDefault="00493F5E">
      <w:pPr>
        <w:jc w:val="both"/>
      </w:pPr>
      <w:r>
        <w:t xml:space="preserve">Our second mitigation option is a shift towards a less animal protein based diet. The adoption of such a diet </w:t>
      </w:r>
      <w:proofErr w:type="gramStart"/>
      <w:r>
        <w:t>has been identified</w:t>
      </w:r>
      <w:proofErr w:type="gramEnd"/>
      <w:r>
        <w:t xml:space="preserve"> in the literature as a promising strategy to curb greenhouse gas emissions from the agriculture and global food systems</w:t>
      </w:r>
      <w:r w:rsidR="00C34C73">
        <w:t> </w:t>
      </w:r>
      <w:sdt>
        <w:sdtPr>
          <w:id w:val="-2142647144"/>
          <w:citation/>
        </w:sdtPr>
        <w:sdtEndPr/>
        <w:sdtContent>
          <w:r w:rsidR="00C34C73">
            <w:fldChar w:fldCharType="begin"/>
          </w:r>
          <w:r w:rsidR="00C34C73">
            <w:instrText xml:space="preserve"> CITATION Tukker2011 \l 2057 </w:instrText>
          </w:r>
          <w:r w:rsidR="00C34C73">
            <w:fldChar w:fldCharType="separate"/>
          </w:r>
          <w:r w:rsidR="00815229" w:rsidRPr="00815229">
            <w:rPr>
              <w:noProof/>
            </w:rPr>
            <w:t>[24]</w:t>
          </w:r>
          <w:r w:rsidR="00C34C73">
            <w:fldChar w:fldCharType="end"/>
          </w:r>
        </w:sdtContent>
      </w:sdt>
      <w:sdt>
        <w:sdtPr>
          <w:id w:val="1078170403"/>
          <w:citation/>
        </w:sdtPr>
        <w:sdtEndPr/>
        <w:sdtContent>
          <w:r w:rsidR="00C34C73">
            <w:fldChar w:fldCharType="begin"/>
          </w:r>
          <w:r w:rsidR="00C34C73">
            <w:instrText xml:space="preserve"> CITATION Clark2020 \l 2057 </w:instrText>
          </w:r>
          <w:r w:rsidR="00C34C73">
            <w:fldChar w:fldCharType="separate"/>
          </w:r>
          <w:r w:rsidR="00815229">
            <w:rPr>
              <w:noProof/>
            </w:rPr>
            <w:t xml:space="preserve"> </w:t>
          </w:r>
          <w:r w:rsidR="00815229" w:rsidRPr="00815229">
            <w:rPr>
              <w:noProof/>
            </w:rPr>
            <w:t>[25]</w:t>
          </w:r>
          <w:r w:rsidR="00C34C73">
            <w:fldChar w:fldCharType="end"/>
          </w:r>
        </w:sdtContent>
      </w:sdt>
      <w:r>
        <w:t>. This is in line with recommendations by the EAT-Lancet Commission, which proposes a healthier diet where whole grains, fruits, vegetables, nuts and legumes comprise a greater proportion of foods consumed. This diet includes calorie intake targets by food group and a total calorie intake target of 2100 kcal</w:t>
      </w:r>
      <w:r w:rsidR="00C34C73">
        <w:t> </w:t>
      </w:r>
      <w:sdt>
        <w:sdtPr>
          <w:id w:val="1534537357"/>
          <w:citation/>
        </w:sdtPr>
        <w:sdtEndPr/>
        <w:sdtContent>
          <w:r w:rsidR="00C34C73">
            <w:fldChar w:fldCharType="begin"/>
          </w:r>
          <w:r w:rsidR="00C34C73">
            <w:instrText xml:space="preserve"> CITATION willett2019food \l 2057 </w:instrText>
          </w:r>
          <w:r w:rsidR="00C34C73">
            <w:fldChar w:fldCharType="separate"/>
          </w:r>
          <w:r w:rsidR="00815229" w:rsidRPr="00815229">
            <w:rPr>
              <w:noProof/>
            </w:rPr>
            <w:t>[26]</w:t>
          </w:r>
          <w:r w:rsidR="00C34C73">
            <w:fldChar w:fldCharType="end"/>
          </w:r>
        </w:sdtContent>
      </w:sdt>
      <w:sdt>
        <w:sdtPr>
          <w:id w:val="1176386259"/>
          <w:citation/>
        </w:sdtPr>
        <w:sdtEndPr/>
        <w:sdtContent>
          <w:r w:rsidR="00C34C73">
            <w:fldChar w:fldCharType="begin"/>
          </w:r>
          <w:r w:rsidR="00C34C73">
            <w:instrText xml:space="preserve"> CITATION springmann2016analysis \l 2057 </w:instrText>
          </w:r>
          <w:r w:rsidR="00C34C73">
            <w:fldChar w:fldCharType="separate"/>
          </w:r>
          <w:r w:rsidR="00815229">
            <w:rPr>
              <w:noProof/>
            </w:rPr>
            <w:t xml:space="preserve"> </w:t>
          </w:r>
          <w:r w:rsidR="00815229" w:rsidRPr="00815229">
            <w:rPr>
              <w:noProof/>
            </w:rPr>
            <w:t>[30]</w:t>
          </w:r>
          <w:r w:rsidR="00C34C73">
            <w:fldChar w:fldCharType="end"/>
          </w:r>
        </w:sdtContent>
      </w:sdt>
      <w:sdt>
        <w:sdtPr>
          <w:id w:val="1641457537"/>
          <w:citation/>
        </w:sdtPr>
        <w:sdtEndPr/>
        <w:sdtContent>
          <w:r w:rsidR="00C34C73">
            <w:fldChar w:fldCharType="begin"/>
          </w:r>
          <w:r w:rsidR="00C34C73">
            <w:instrText xml:space="preserve"> CITATION Springmann2018 \l 2057 </w:instrText>
          </w:r>
          <w:r w:rsidR="00C34C73">
            <w:fldChar w:fldCharType="separate"/>
          </w:r>
          <w:r w:rsidR="00815229">
            <w:rPr>
              <w:noProof/>
            </w:rPr>
            <w:t xml:space="preserve"> </w:t>
          </w:r>
          <w:r w:rsidR="00815229" w:rsidRPr="00815229">
            <w:rPr>
              <w:noProof/>
            </w:rPr>
            <w:t>[31]</w:t>
          </w:r>
          <w:r w:rsidR="00C34C73">
            <w:fldChar w:fldCharType="end"/>
          </w:r>
        </w:sdtContent>
      </w:sdt>
      <w:r>
        <w:t xml:space="preserve">. </w:t>
      </w:r>
    </w:p>
    <w:p w14:paraId="6ED9EFEE" w14:textId="77777777" w:rsidR="006D4F0B" w:rsidRDefault="00493F5E">
      <w:pPr>
        <w:jc w:val="both"/>
      </w:pPr>
      <w:r>
        <w:t xml:space="preserve">Frank et al., 2019 assess in their analysis the implications for GHG mitigation and food availability of a shift in preferences towards less animal product based diets in developed and emerging countries. To allow for comparison of methane emission reductions based on different GWP metrics, we follow the same simplified dietary assumptions and assume a threshold on animal product calories of 430 kcal per capita per day. This target excludes waste and </w:t>
      </w:r>
      <w:proofErr w:type="gramStart"/>
      <w:r>
        <w:t>is assumed to be achieved</w:t>
      </w:r>
      <w:proofErr w:type="gramEnd"/>
      <w:r>
        <w:t xml:space="preserve"> by 2070, such that calorie consumption decreases linearly from current levels. No increase in consumption of vegetable calories </w:t>
      </w:r>
      <w:proofErr w:type="gramStart"/>
      <w:r>
        <w:t>is assumed</w:t>
      </w:r>
      <w:proofErr w:type="gramEnd"/>
      <w:r>
        <w:t>, but might occur as a ‘rebound’ effect.</w:t>
      </w:r>
    </w:p>
    <w:p w14:paraId="39D66F0E" w14:textId="41F3AB10" w:rsidR="006D4F0B" w:rsidRDefault="00493F5E">
      <w:pPr>
        <w:spacing w:before="240" w:after="240"/>
        <w:jc w:val="both"/>
      </w:pPr>
      <w:r>
        <w:t xml:space="preserve">Preference shifts towards plant-based diets (i.e. lower consumption of livestock products) can have a positive impact on a smaller and less intensive livestock sector, with a reduction of methane emissions from enteric fermentation and manure management processes. In our analysis, we reduce the calorie consumption from ruminant meat, non-ruminant meat and dairy products by and non-ruminants in equal portions (see Figure </w:t>
      </w:r>
      <w:r w:rsidR="00006241">
        <w:t>S2</w:t>
      </w:r>
      <w:r>
        <w:t xml:space="preserve">). Under the BASE_D scenario, per capita calorie consumption </w:t>
      </w:r>
      <w:proofErr w:type="gramStart"/>
      <w:r>
        <w:t>is reduced</w:t>
      </w:r>
      <w:proofErr w:type="gramEnd"/>
      <w:r>
        <w:t xml:space="preserve"> by about 12 - 60% in 2030, 50 - 80% in 2050 and 70-120% in 2070, depending on the model. This calorie reduction takes place only in emerging economies (e.g. China, Former Soviet Union) and developed countries (European Union, US and Canada).</w:t>
      </w:r>
    </w:p>
    <w:p w14:paraId="726F2DA5" w14:textId="77777777" w:rsidR="006D4F0B" w:rsidRPr="008408C3" w:rsidRDefault="00493F5E">
      <w:r>
        <w:rPr>
          <w:noProof/>
          <w:color w:val="FF0000"/>
        </w:rPr>
        <w:lastRenderedPageBreak/>
        <w:drawing>
          <wp:inline distT="114300" distB="114300" distL="114300" distR="114300" wp14:anchorId="5EC54659" wp14:editId="5128BF83">
            <wp:extent cx="2614613" cy="1790004"/>
            <wp:effectExtent l="0" t="0" r="0" b="0"/>
            <wp:docPr id="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3"/>
                    <a:srcRect/>
                    <a:stretch>
                      <a:fillRect/>
                    </a:stretch>
                  </pic:blipFill>
                  <pic:spPr>
                    <a:xfrm>
                      <a:off x="0" y="0"/>
                      <a:ext cx="2614613" cy="1790004"/>
                    </a:xfrm>
                    <a:prstGeom prst="rect">
                      <a:avLst/>
                    </a:prstGeom>
                    <a:ln/>
                  </pic:spPr>
                </pic:pic>
              </a:graphicData>
            </a:graphic>
          </wp:inline>
        </w:drawing>
      </w:r>
      <w:r>
        <w:rPr>
          <w:noProof/>
          <w:color w:val="FF0000"/>
        </w:rPr>
        <w:drawing>
          <wp:inline distT="114300" distB="114300" distL="114300" distR="114300" wp14:anchorId="2347F61C" wp14:editId="1AB94AC5">
            <wp:extent cx="2890838" cy="1499285"/>
            <wp:effectExtent l="0" t="0" r="0" b="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2890838" cy="1499285"/>
                    </a:xfrm>
                    <a:prstGeom prst="rect">
                      <a:avLst/>
                    </a:prstGeom>
                    <a:ln/>
                  </pic:spPr>
                </pic:pic>
              </a:graphicData>
            </a:graphic>
          </wp:inline>
        </w:drawing>
      </w:r>
    </w:p>
    <w:p w14:paraId="2E3710AC" w14:textId="7AF6A9BE" w:rsidR="006D4F0B" w:rsidRDefault="00493F5E">
      <w:pPr>
        <w:spacing w:before="240" w:after="240"/>
        <w:jc w:val="both"/>
        <w:rPr>
          <w:i/>
          <w:sz w:val="18"/>
          <w:szCs w:val="18"/>
        </w:rPr>
      </w:pPr>
      <w:r>
        <w:rPr>
          <w:i/>
          <w:sz w:val="18"/>
          <w:szCs w:val="18"/>
        </w:rPr>
        <w:t xml:space="preserve">Figure </w:t>
      </w:r>
      <w:r w:rsidR="003766CC">
        <w:rPr>
          <w:i/>
          <w:sz w:val="18"/>
          <w:szCs w:val="18"/>
        </w:rPr>
        <w:t>S2</w:t>
      </w:r>
      <w:r>
        <w:rPr>
          <w:i/>
          <w:sz w:val="18"/>
          <w:szCs w:val="18"/>
        </w:rPr>
        <w:t>: change in calorie consumption, world totals for scenarios BASE and BASE_D by baseline year and agricultural commodity groups (a) and by region for year 2050 (b). DRY, milk; RUM, ruminant meats; NRM, non-ruminant meats; RIC, paddy rice; CER, cereals; OCR, other crops. ANZ, Australia and New Zealand; OAS, other Asia; SEA, Southeast Asia; IND, India; CHN, China; SSA, sub-Saharan Africa; MEN, Middle East, North Africa and Turkey; FSU, former Soviet Union; EUR, Europe; CAN, Canada; USA, United States of America; OSA, other South, Central America and Caribbean (including Mexico); BRA, Brazil.</w:t>
      </w:r>
    </w:p>
    <w:p w14:paraId="11876889" w14:textId="63DADA7A" w:rsidR="006D4F0B" w:rsidRDefault="00493F5E">
      <w:pPr>
        <w:jc w:val="both"/>
      </w:pPr>
      <w:r>
        <w:t xml:space="preserve">In Table </w:t>
      </w:r>
      <w:proofErr w:type="gramStart"/>
      <w:r w:rsidR="003766CC">
        <w:t>S</w:t>
      </w:r>
      <w:r>
        <w:t>1</w:t>
      </w:r>
      <w:proofErr w:type="gramEnd"/>
      <w:r>
        <w:t xml:space="preserve"> the mitigation and dietary shift scenarios analysed by the </w:t>
      </w:r>
      <w:r w:rsidR="00E04D30">
        <w:t>three</w:t>
      </w:r>
      <w:r>
        <w:t xml:space="preserve"> models are included. </w:t>
      </w:r>
    </w:p>
    <w:p w14:paraId="12C1FF47" w14:textId="5DFC6F48" w:rsidR="00E04D30" w:rsidRPr="001622F2" w:rsidRDefault="00E04D30" w:rsidP="00E04D30">
      <w:pPr>
        <w:spacing w:after="0" w:line="240" w:lineRule="auto"/>
        <w:jc w:val="both"/>
        <w:rPr>
          <w:i/>
          <w:iCs/>
        </w:rPr>
      </w:pPr>
      <w:r w:rsidRPr="001622F2">
        <w:rPr>
          <w:i/>
          <w:iCs/>
        </w:rPr>
        <w:t xml:space="preserve">Table </w:t>
      </w:r>
      <w:r w:rsidR="003766CC">
        <w:rPr>
          <w:i/>
          <w:iCs/>
        </w:rPr>
        <w:t>S</w:t>
      </w:r>
      <w:r w:rsidRPr="001622F2">
        <w:rPr>
          <w:i/>
          <w:iCs/>
        </w:rPr>
        <w:t>1: scenario matrix. M</w:t>
      </w:r>
      <w:r>
        <w:rPr>
          <w:i/>
          <w:iCs/>
        </w:rPr>
        <w:t>E</w:t>
      </w:r>
      <w:r w:rsidRPr="001622F2">
        <w:rPr>
          <w:i/>
          <w:iCs/>
        </w:rPr>
        <w:t>F-</w:t>
      </w:r>
      <w:r>
        <w:rPr>
          <w:i/>
          <w:iCs/>
        </w:rPr>
        <w:t>short term</w:t>
      </w:r>
      <w:r w:rsidRPr="001622F2">
        <w:rPr>
          <w:i/>
          <w:iCs/>
        </w:rPr>
        <w:t>: 4x25 = 100, M</w:t>
      </w:r>
      <w:r>
        <w:rPr>
          <w:i/>
          <w:iCs/>
        </w:rPr>
        <w:t>E</w:t>
      </w:r>
      <w:r w:rsidRPr="001622F2">
        <w:rPr>
          <w:i/>
          <w:iCs/>
        </w:rPr>
        <w:t>F-</w:t>
      </w:r>
      <w:r>
        <w:rPr>
          <w:i/>
          <w:iCs/>
        </w:rPr>
        <w:t>long term</w:t>
      </w:r>
      <w:r w:rsidRPr="001622F2">
        <w:rPr>
          <w:i/>
          <w:iCs/>
        </w:rPr>
        <w:t>: 0.25x25 = 6.25</w:t>
      </w:r>
    </w:p>
    <w:tbl>
      <w:tblPr>
        <w:tblStyle w:val="TableGrid"/>
        <w:tblW w:w="9058" w:type="dxa"/>
        <w:tblBorders>
          <w:left w:val="none" w:sz="0" w:space="0" w:color="auto"/>
          <w:right w:val="none" w:sz="0" w:space="0" w:color="auto"/>
          <w:insideV w:val="none" w:sz="0" w:space="0" w:color="auto"/>
        </w:tblBorders>
        <w:tblLook w:val="04A0" w:firstRow="1" w:lastRow="0" w:firstColumn="1" w:lastColumn="0" w:noHBand="0" w:noVBand="1"/>
      </w:tblPr>
      <w:tblGrid>
        <w:gridCol w:w="1985"/>
        <w:gridCol w:w="1178"/>
        <w:gridCol w:w="1179"/>
        <w:gridCol w:w="1179"/>
        <w:gridCol w:w="1179"/>
        <w:gridCol w:w="1179"/>
        <w:gridCol w:w="1179"/>
      </w:tblGrid>
      <w:tr w:rsidR="00E04D30" w:rsidRPr="00173066" w14:paraId="6C016049" w14:textId="77777777" w:rsidTr="00786EF2">
        <w:trPr>
          <w:trHeight w:val="227"/>
        </w:trPr>
        <w:tc>
          <w:tcPr>
            <w:tcW w:w="1985" w:type="dxa"/>
            <w:vMerge w:val="restart"/>
          </w:tcPr>
          <w:p w14:paraId="376B006A" w14:textId="5C9FA2F7" w:rsidR="00E04D30" w:rsidRPr="00FE6175" w:rsidRDefault="00E04D30" w:rsidP="004039DA">
            <w:pPr>
              <w:pStyle w:val="Heading1"/>
              <w:spacing w:before="0"/>
              <w:outlineLvl w:val="0"/>
              <w:rPr>
                <w:rFonts w:asciiTheme="majorHAnsi" w:hAnsiTheme="majorHAnsi" w:cstheme="majorHAnsi"/>
                <w:b/>
                <w:bCs/>
                <w:i/>
                <w:iCs/>
                <w:color w:val="000000" w:themeColor="text1"/>
                <w:sz w:val="18"/>
                <w:szCs w:val="18"/>
              </w:rPr>
            </w:pPr>
            <w:r w:rsidRPr="00FE6175">
              <w:rPr>
                <w:rFonts w:asciiTheme="majorHAnsi" w:hAnsiTheme="majorHAnsi" w:cstheme="majorHAnsi"/>
                <w:b/>
                <w:bCs/>
                <w:i/>
                <w:iCs/>
                <w:color w:val="000000" w:themeColor="text1"/>
                <w:sz w:val="18"/>
                <w:szCs w:val="18"/>
              </w:rPr>
              <w:t xml:space="preserve">Carbon </w:t>
            </w:r>
            <w:r w:rsidR="004039DA">
              <w:rPr>
                <w:rFonts w:asciiTheme="majorHAnsi" w:hAnsiTheme="majorHAnsi" w:cstheme="majorHAnsi"/>
                <w:b/>
                <w:bCs/>
                <w:i/>
                <w:iCs/>
                <w:color w:val="000000" w:themeColor="text1"/>
                <w:sz w:val="18"/>
                <w:szCs w:val="18"/>
              </w:rPr>
              <w:t>price</w:t>
            </w:r>
            <w:r w:rsidRPr="00FE6175">
              <w:rPr>
                <w:rFonts w:asciiTheme="majorHAnsi" w:hAnsiTheme="majorHAnsi" w:cstheme="majorHAnsi"/>
                <w:b/>
                <w:bCs/>
                <w:i/>
                <w:iCs/>
                <w:color w:val="000000" w:themeColor="text1"/>
                <w:sz w:val="18"/>
                <w:szCs w:val="18"/>
              </w:rPr>
              <w:t xml:space="preserve"> regime for methane</w:t>
            </w:r>
          </w:p>
        </w:tc>
        <w:tc>
          <w:tcPr>
            <w:tcW w:w="2357" w:type="dxa"/>
            <w:gridSpan w:val="2"/>
            <w:vAlign w:val="center"/>
          </w:tcPr>
          <w:p w14:paraId="1EFBB023" w14:textId="7BC0DA53" w:rsidR="00E04D30" w:rsidRPr="00FE6175" w:rsidRDefault="00E04D30" w:rsidP="004039DA">
            <w:pPr>
              <w:pStyle w:val="Heading1"/>
              <w:spacing w:before="0"/>
              <w:jc w:val="center"/>
              <w:outlineLvl w:val="0"/>
              <w:rPr>
                <w:rFonts w:asciiTheme="majorHAnsi" w:hAnsiTheme="majorHAnsi" w:cstheme="majorHAnsi"/>
                <w:b/>
                <w:bCs/>
                <w:i/>
                <w:iCs/>
                <w:color w:val="000000" w:themeColor="text1"/>
                <w:sz w:val="18"/>
                <w:szCs w:val="18"/>
              </w:rPr>
            </w:pPr>
            <w:r w:rsidRPr="00FE6175">
              <w:rPr>
                <w:rFonts w:asciiTheme="majorHAnsi" w:hAnsiTheme="majorHAnsi" w:cstheme="majorHAnsi"/>
                <w:b/>
                <w:bCs/>
                <w:i/>
                <w:iCs/>
                <w:color w:val="000000" w:themeColor="text1"/>
                <w:sz w:val="18"/>
                <w:szCs w:val="18"/>
              </w:rPr>
              <w:t xml:space="preserve">No carbon </w:t>
            </w:r>
            <w:r w:rsidR="004039DA">
              <w:rPr>
                <w:rFonts w:asciiTheme="majorHAnsi" w:hAnsiTheme="majorHAnsi" w:cstheme="majorHAnsi"/>
                <w:b/>
                <w:bCs/>
                <w:i/>
                <w:iCs/>
                <w:color w:val="000000" w:themeColor="text1"/>
                <w:sz w:val="18"/>
                <w:szCs w:val="18"/>
              </w:rPr>
              <w:t>price</w:t>
            </w:r>
          </w:p>
        </w:tc>
        <w:tc>
          <w:tcPr>
            <w:tcW w:w="2358" w:type="dxa"/>
            <w:gridSpan w:val="2"/>
            <w:vAlign w:val="center"/>
          </w:tcPr>
          <w:p w14:paraId="38A0E916" w14:textId="6A198038" w:rsidR="00E04D30" w:rsidRPr="00FE6175" w:rsidRDefault="00E04D30" w:rsidP="004039DA">
            <w:pPr>
              <w:pStyle w:val="Heading1"/>
              <w:spacing w:before="0"/>
              <w:jc w:val="center"/>
              <w:outlineLvl w:val="0"/>
              <w:rPr>
                <w:rFonts w:asciiTheme="majorHAnsi" w:hAnsiTheme="majorHAnsi" w:cstheme="majorHAnsi"/>
                <w:b/>
                <w:bCs/>
                <w:i/>
                <w:iCs/>
                <w:color w:val="000000" w:themeColor="text1"/>
                <w:sz w:val="18"/>
                <w:szCs w:val="18"/>
              </w:rPr>
            </w:pPr>
            <w:r>
              <w:rPr>
                <w:rFonts w:asciiTheme="majorHAnsi" w:hAnsiTheme="majorHAnsi" w:cstheme="majorHAnsi"/>
                <w:b/>
                <w:bCs/>
                <w:i/>
                <w:iCs/>
                <w:color w:val="000000" w:themeColor="text1"/>
                <w:sz w:val="18"/>
                <w:szCs w:val="18"/>
              </w:rPr>
              <w:t xml:space="preserve">Carbon </w:t>
            </w:r>
            <w:r w:rsidR="004039DA">
              <w:rPr>
                <w:rFonts w:asciiTheme="majorHAnsi" w:hAnsiTheme="majorHAnsi" w:cstheme="majorHAnsi"/>
                <w:b/>
                <w:bCs/>
                <w:i/>
                <w:iCs/>
                <w:color w:val="000000" w:themeColor="text1"/>
                <w:sz w:val="18"/>
                <w:szCs w:val="18"/>
              </w:rPr>
              <w:t>price</w:t>
            </w:r>
            <w:r>
              <w:rPr>
                <w:rFonts w:asciiTheme="majorHAnsi" w:hAnsiTheme="majorHAnsi" w:cstheme="majorHAnsi"/>
                <w:b/>
                <w:bCs/>
                <w:i/>
                <w:iCs/>
                <w:color w:val="000000" w:themeColor="text1"/>
                <w:sz w:val="18"/>
                <w:szCs w:val="18"/>
              </w:rPr>
              <w:t xml:space="preserve"> 150$</w:t>
            </w:r>
          </w:p>
        </w:tc>
        <w:tc>
          <w:tcPr>
            <w:tcW w:w="2358" w:type="dxa"/>
            <w:gridSpan w:val="2"/>
            <w:vAlign w:val="center"/>
          </w:tcPr>
          <w:p w14:paraId="101AB794" w14:textId="580EF02E" w:rsidR="00E04D30" w:rsidRPr="00FE6175" w:rsidRDefault="00E04D30" w:rsidP="004039DA">
            <w:pPr>
              <w:pStyle w:val="Heading1"/>
              <w:spacing w:before="0"/>
              <w:jc w:val="center"/>
              <w:outlineLvl w:val="0"/>
              <w:rPr>
                <w:rFonts w:asciiTheme="majorHAnsi" w:hAnsiTheme="majorHAnsi" w:cstheme="majorHAnsi"/>
                <w:b/>
                <w:bCs/>
                <w:i/>
                <w:iCs/>
                <w:color w:val="000000" w:themeColor="text1"/>
                <w:sz w:val="18"/>
                <w:szCs w:val="18"/>
              </w:rPr>
            </w:pPr>
            <w:r>
              <w:rPr>
                <w:rFonts w:asciiTheme="majorHAnsi" w:hAnsiTheme="majorHAnsi" w:cstheme="majorHAnsi"/>
                <w:b/>
                <w:bCs/>
                <w:i/>
                <w:iCs/>
                <w:color w:val="000000" w:themeColor="text1"/>
                <w:sz w:val="18"/>
                <w:szCs w:val="18"/>
              </w:rPr>
              <w:t xml:space="preserve">Carbon </w:t>
            </w:r>
            <w:r w:rsidR="004039DA">
              <w:rPr>
                <w:rFonts w:asciiTheme="majorHAnsi" w:hAnsiTheme="majorHAnsi" w:cstheme="majorHAnsi"/>
                <w:b/>
                <w:bCs/>
                <w:i/>
                <w:iCs/>
                <w:color w:val="000000" w:themeColor="text1"/>
                <w:sz w:val="18"/>
                <w:szCs w:val="18"/>
              </w:rPr>
              <w:t>price</w:t>
            </w:r>
            <w:r>
              <w:rPr>
                <w:rFonts w:asciiTheme="majorHAnsi" w:hAnsiTheme="majorHAnsi" w:cstheme="majorHAnsi"/>
                <w:b/>
                <w:bCs/>
                <w:i/>
                <w:iCs/>
                <w:color w:val="000000" w:themeColor="text1"/>
                <w:sz w:val="18"/>
                <w:szCs w:val="18"/>
              </w:rPr>
              <w:t xml:space="preserve"> 500$</w:t>
            </w:r>
          </w:p>
        </w:tc>
      </w:tr>
      <w:tr w:rsidR="00E04D30" w:rsidRPr="00173066" w14:paraId="45223F3D" w14:textId="77777777" w:rsidTr="00786EF2">
        <w:trPr>
          <w:trHeight w:val="227"/>
        </w:trPr>
        <w:tc>
          <w:tcPr>
            <w:tcW w:w="1985" w:type="dxa"/>
            <w:vMerge/>
          </w:tcPr>
          <w:p w14:paraId="0BD7C137" w14:textId="77777777" w:rsidR="00E04D30" w:rsidRPr="00FE6175" w:rsidRDefault="00E04D30" w:rsidP="00786EF2">
            <w:pPr>
              <w:pStyle w:val="Heading1"/>
              <w:spacing w:before="0"/>
              <w:outlineLvl w:val="0"/>
              <w:rPr>
                <w:rFonts w:asciiTheme="majorHAnsi" w:hAnsiTheme="majorHAnsi" w:cstheme="majorHAnsi"/>
                <w:b/>
                <w:bCs/>
                <w:i/>
                <w:iCs/>
                <w:color w:val="000000" w:themeColor="text1"/>
                <w:sz w:val="18"/>
                <w:szCs w:val="18"/>
              </w:rPr>
            </w:pPr>
          </w:p>
        </w:tc>
        <w:tc>
          <w:tcPr>
            <w:tcW w:w="1178" w:type="dxa"/>
            <w:vAlign w:val="center"/>
          </w:tcPr>
          <w:p w14:paraId="6F1C15A6" w14:textId="77777777" w:rsidR="00E04D30" w:rsidRPr="00FE6175" w:rsidRDefault="00E04D30" w:rsidP="00786EF2">
            <w:pPr>
              <w:pStyle w:val="Heading1"/>
              <w:spacing w:before="0"/>
              <w:jc w:val="center"/>
              <w:outlineLvl w:val="0"/>
              <w:rPr>
                <w:rFonts w:asciiTheme="majorHAnsi" w:hAnsiTheme="majorHAnsi" w:cstheme="majorHAnsi"/>
                <w:b/>
                <w:bCs/>
                <w:i/>
                <w:iCs/>
                <w:color w:val="000000" w:themeColor="text1"/>
                <w:sz w:val="18"/>
                <w:szCs w:val="18"/>
              </w:rPr>
            </w:pPr>
            <w:r w:rsidRPr="00FE6175">
              <w:rPr>
                <w:rFonts w:asciiTheme="majorHAnsi" w:hAnsiTheme="majorHAnsi" w:cstheme="majorHAnsi"/>
                <w:b/>
                <w:bCs/>
                <w:i/>
                <w:iCs/>
                <w:color w:val="000000" w:themeColor="text1"/>
                <w:sz w:val="18"/>
                <w:szCs w:val="18"/>
              </w:rPr>
              <w:t>No dietary change</w:t>
            </w:r>
          </w:p>
        </w:tc>
        <w:tc>
          <w:tcPr>
            <w:tcW w:w="1179" w:type="dxa"/>
            <w:vAlign w:val="center"/>
          </w:tcPr>
          <w:p w14:paraId="237763C3" w14:textId="77777777" w:rsidR="00E04D30" w:rsidRPr="00FE6175" w:rsidRDefault="00E04D30" w:rsidP="00786EF2">
            <w:pPr>
              <w:pStyle w:val="Heading1"/>
              <w:spacing w:before="0"/>
              <w:jc w:val="center"/>
              <w:outlineLvl w:val="0"/>
              <w:rPr>
                <w:rFonts w:asciiTheme="majorHAnsi" w:hAnsiTheme="majorHAnsi" w:cstheme="majorHAnsi"/>
                <w:b/>
                <w:bCs/>
                <w:i/>
                <w:iCs/>
                <w:color w:val="000000" w:themeColor="text1"/>
                <w:sz w:val="18"/>
                <w:szCs w:val="18"/>
              </w:rPr>
            </w:pPr>
            <w:r w:rsidRPr="00FE6175">
              <w:rPr>
                <w:rFonts w:asciiTheme="majorHAnsi" w:hAnsiTheme="majorHAnsi" w:cstheme="majorHAnsi"/>
                <w:b/>
                <w:bCs/>
                <w:i/>
                <w:iCs/>
                <w:color w:val="000000" w:themeColor="text1"/>
                <w:sz w:val="18"/>
                <w:szCs w:val="18"/>
              </w:rPr>
              <w:t>Low animal protein diet</w:t>
            </w:r>
          </w:p>
        </w:tc>
        <w:tc>
          <w:tcPr>
            <w:tcW w:w="1179" w:type="dxa"/>
            <w:vAlign w:val="center"/>
          </w:tcPr>
          <w:p w14:paraId="363AFD64" w14:textId="77777777" w:rsidR="00E04D30" w:rsidRPr="00FE6175" w:rsidRDefault="00E04D30" w:rsidP="00786EF2">
            <w:pPr>
              <w:pStyle w:val="Heading1"/>
              <w:spacing w:before="0"/>
              <w:jc w:val="center"/>
              <w:outlineLvl w:val="0"/>
              <w:rPr>
                <w:rFonts w:asciiTheme="majorHAnsi" w:hAnsiTheme="majorHAnsi" w:cstheme="majorHAnsi"/>
                <w:b/>
                <w:bCs/>
                <w:i/>
                <w:iCs/>
                <w:color w:val="000000" w:themeColor="text1"/>
                <w:sz w:val="18"/>
                <w:szCs w:val="18"/>
              </w:rPr>
            </w:pPr>
            <w:r w:rsidRPr="00FE6175">
              <w:rPr>
                <w:rFonts w:asciiTheme="majorHAnsi" w:hAnsiTheme="majorHAnsi" w:cstheme="majorHAnsi"/>
                <w:b/>
                <w:bCs/>
                <w:i/>
                <w:iCs/>
                <w:color w:val="000000" w:themeColor="text1"/>
                <w:sz w:val="18"/>
                <w:szCs w:val="18"/>
              </w:rPr>
              <w:t>No dietary change</w:t>
            </w:r>
          </w:p>
        </w:tc>
        <w:tc>
          <w:tcPr>
            <w:tcW w:w="1179" w:type="dxa"/>
            <w:vAlign w:val="center"/>
          </w:tcPr>
          <w:p w14:paraId="1017BF18" w14:textId="77777777" w:rsidR="00E04D30" w:rsidRPr="00FE6175" w:rsidRDefault="00E04D30" w:rsidP="00786EF2">
            <w:pPr>
              <w:pStyle w:val="Heading1"/>
              <w:spacing w:before="0"/>
              <w:jc w:val="center"/>
              <w:outlineLvl w:val="0"/>
              <w:rPr>
                <w:rFonts w:asciiTheme="majorHAnsi" w:hAnsiTheme="majorHAnsi" w:cstheme="majorHAnsi"/>
                <w:b/>
                <w:bCs/>
                <w:i/>
                <w:iCs/>
                <w:color w:val="000000" w:themeColor="text1"/>
                <w:sz w:val="18"/>
                <w:szCs w:val="18"/>
              </w:rPr>
            </w:pPr>
            <w:r w:rsidRPr="00FE6175">
              <w:rPr>
                <w:rFonts w:asciiTheme="majorHAnsi" w:hAnsiTheme="majorHAnsi" w:cstheme="majorHAnsi"/>
                <w:b/>
                <w:bCs/>
                <w:i/>
                <w:iCs/>
                <w:color w:val="000000" w:themeColor="text1"/>
                <w:sz w:val="18"/>
                <w:szCs w:val="18"/>
              </w:rPr>
              <w:t>Low animal protein diet</w:t>
            </w:r>
          </w:p>
        </w:tc>
        <w:tc>
          <w:tcPr>
            <w:tcW w:w="1179" w:type="dxa"/>
            <w:vAlign w:val="center"/>
          </w:tcPr>
          <w:p w14:paraId="7A0AC66B" w14:textId="77777777" w:rsidR="00E04D30" w:rsidRPr="00FE6175" w:rsidRDefault="00E04D30" w:rsidP="00786EF2">
            <w:pPr>
              <w:pStyle w:val="Heading1"/>
              <w:spacing w:before="0"/>
              <w:jc w:val="center"/>
              <w:outlineLvl w:val="0"/>
              <w:rPr>
                <w:rFonts w:asciiTheme="majorHAnsi" w:hAnsiTheme="majorHAnsi" w:cstheme="majorHAnsi"/>
                <w:b/>
                <w:bCs/>
                <w:i/>
                <w:iCs/>
                <w:color w:val="000000" w:themeColor="text1"/>
                <w:sz w:val="18"/>
                <w:szCs w:val="18"/>
              </w:rPr>
            </w:pPr>
            <w:r w:rsidRPr="00FE6175">
              <w:rPr>
                <w:rFonts w:asciiTheme="majorHAnsi" w:hAnsiTheme="majorHAnsi" w:cstheme="majorHAnsi"/>
                <w:b/>
                <w:bCs/>
                <w:i/>
                <w:iCs/>
                <w:color w:val="000000" w:themeColor="text1"/>
                <w:sz w:val="18"/>
                <w:szCs w:val="18"/>
              </w:rPr>
              <w:t>No dietary change</w:t>
            </w:r>
          </w:p>
        </w:tc>
        <w:tc>
          <w:tcPr>
            <w:tcW w:w="1179" w:type="dxa"/>
            <w:vAlign w:val="center"/>
          </w:tcPr>
          <w:p w14:paraId="0A6AFAC0" w14:textId="77777777" w:rsidR="00E04D30" w:rsidRPr="00FE6175" w:rsidRDefault="00E04D30" w:rsidP="00786EF2">
            <w:pPr>
              <w:pStyle w:val="Heading1"/>
              <w:spacing w:before="0"/>
              <w:jc w:val="center"/>
              <w:outlineLvl w:val="0"/>
              <w:rPr>
                <w:rFonts w:asciiTheme="majorHAnsi" w:hAnsiTheme="majorHAnsi" w:cstheme="majorHAnsi"/>
                <w:b/>
                <w:bCs/>
                <w:i/>
                <w:iCs/>
                <w:color w:val="000000" w:themeColor="text1"/>
                <w:sz w:val="18"/>
                <w:szCs w:val="18"/>
              </w:rPr>
            </w:pPr>
            <w:r w:rsidRPr="00FE6175">
              <w:rPr>
                <w:rFonts w:asciiTheme="majorHAnsi" w:hAnsiTheme="majorHAnsi" w:cstheme="majorHAnsi"/>
                <w:b/>
                <w:bCs/>
                <w:i/>
                <w:iCs/>
                <w:color w:val="000000" w:themeColor="text1"/>
                <w:sz w:val="18"/>
                <w:szCs w:val="18"/>
              </w:rPr>
              <w:t>Low animal protein diet</w:t>
            </w:r>
          </w:p>
        </w:tc>
      </w:tr>
      <w:tr w:rsidR="00E04D30" w:rsidRPr="00173066" w14:paraId="4B2F643F" w14:textId="77777777" w:rsidTr="00786EF2">
        <w:trPr>
          <w:trHeight w:val="227"/>
        </w:trPr>
        <w:tc>
          <w:tcPr>
            <w:tcW w:w="1985" w:type="dxa"/>
          </w:tcPr>
          <w:p w14:paraId="4DE0D66F" w14:textId="62DBB0FD" w:rsidR="00E04D30" w:rsidRPr="00FE6175" w:rsidRDefault="00E04D30" w:rsidP="004039DA">
            <w:pPr>
              <w:pStyle w:val="Heading1"/>
              <w:spacing w:before="0"/>
              <w:outlineLvl w:val="0"/>
              <w:rPr>
                <w:rFonts w:asciiTheme="majorHAnsi" w:hAnsiTheme="majorHAnsi" w:cstheme="majorHAnsi"/>
                <w:b/>
                <w:bCs/>
                <w:i/>
                <w:iCs/>
                <w:color w:val="000000" w:themeColor="text1"/>
                <w:sz w:val="18"/>
                <w:szCs w:val="18"/>
              </w:rPr>
            </w:pPr>
            <w:r w:rsidRPr="00FE6175">
              <w:rPr>
                <w:rFonts w:asciiTheme="majorHAnsi" w:hAnsiTheme="majorHAnsi" w:cstheme="majorHAnsi"/>
                <w:b/>
                <w:bCs/>
                <w:i/>
                <w:iCs/>
                <w:color w:val="000000" w:themeColor="text1"/>
                <w:sz w:val="18"/>
                <w:szCs w:val="18"/>
              </w:rPr>
              <w:t xml:space="preserve">No </w:t>
            </w:r>
            <w:r w:rsidR="004039DA">
              <w:rPr>
                <w:rFonts w:asciiTheme="majorHAnsi" w:hAnsiTheme="majorHAnsi" w:cstheme="majorHAnsi"/>
                <w:b/>
                <w:bCs/>
                <w:i/>
                <w:iCs/>
                <w:color w:val="000000" w:themeColor="text1"/>
                <w:sz w:val="18"/>
                <w:szCs w:val="18"/>
              </w:rPr>
              <w:t>carbon pricing</w:t>
            </w:r>
          </w:p>
        </w:tc>
        <w:tc>
          <w:tcPr>
            <w:tcW w:w="1178" w:type="dxa"/>
          </w:tcPr>
          <w:p w14:paraId="458F40E8" w14:textId="77777777" w:rsidR="00E04D30" w:rsidRPr="00173066" w:rsidRDefault="00E04D30" w:rsidP="00786EF2">
            <w:pPr>
              <w:pStyle w:val="Heading1"/>
              <w:spacing w:before="0"/>
              <w:outlineLvl w:val="0"/>
              <w:rPr>
                <w:rFonts w:asciiTheme="majorHAnsi" w:hAnsiTheme="majorHAnsi" w:cstheme="majorHAnsi"/>
                <w:color w:val="000000" w:themeColor="text1"/>
                <w:sz w:val="18"/>
                <w:szCs w:val="18"/>
              </w:rPr>
            </w:pPr>
            <w:r>
              <w:rPr>
                <w:rFonts w:asciiTheme="majorHAnsi" w:hAnsiTheme="majorHAnsi" w:cstheme="majorHAnsi"/>
                <w:color w:val="000000" w:themeColor="text1"/>
                <w:sz w:val="18"/>
                <w:szCs w:val="18"/>
              </w:rPr>
              <w:t>BASE</w:t>
            </w:r>
          </w:p>
        </w:tc>
        <w:tc>
          <w:tcPr>
            <w:tcW w:w="1179" w:type="dxa"/>
          </w:tcPr>
          <w:p w14:paraId="23B9E34B" w14:textId="77777777" w:rsidR="00E04D30" w:rsidRPr="00173066" w:rsidRDefault="00E04D30" w:rsidP="00786EF2">
            <w:pPr>
              <w:pStyle w:val="Heading1"/>
              <w:spacing w:before="0"/>
              <w:outlineLvl w:val="0"/>
              <w:rPr>
                <w:rFonts w:asciiTheme="majorHAnsi" w:hAnsiTheme="majorHAnsi" w:cstheme="majorHAnsi"/>
                <w:color w:val="000000" w:themeColor="text1"/>
                <w:sz w:val="18"/>
                <w:szCs w:val="18"/>
              </w:rPr>
            </w:pPr>
            <w:r>
              <w:rPr>
                <w:rFonts w:asciiTheme="majorHAnsi" w:hAnsiTheme="majorHAnsi" w:cstheme="majorHAnsi"/>
                <w:color w:val="000000" w:themeColor="text1"/>
                <w:sz w:val="18"/>
                <w:szCs w:val="18"/>
              </w:rPr>
              <w:t>BASE_D</w:t>
            </w:r>
          </w:p>
        </w:tc>
        <w:tc>
          <w:tcPr>
            <w:tcW w:w="1179" w:type="dxa"/>
          </w:tcPr>
          <w:p w14:paraId="2D517403" w14:textId="77777777" w:rsidR="00E04D30" w:rsidRPr="00173066" w:rsidRDefault="00E04D30" w:rsidP="00786EF2">
            <w:pPr>
              <w:pStyle w:val="Heading1"/>
              <w:spacing w:before="0"/>
              <w:outlineLvl w:val="0"/>
              <w:rPr>
                <w:rFonts w:asciiTheme="majorHAnsi" w:hAnsiTheme="majorHAnsi" w:cstheme="majorHAnsi"/>
                <w:color w:val="000000" w:themeColor="text1"/>
                <w:sz w:val="18"/>
                <w:szCs w:val="18"/>
              </w:rPr>
            </w:pPr>
          </w:p>
        </w:tc>
        <w:tc>
          <w:tcPr>
            <w:tcW w:w="1179" w:type="dxa"/>
          </w:tcPr>
          <w:p w14:paraId="28DC60AC" w14:textId="77777777" w:rsidR="00E04D30" w:rsidRPr="00173066" w:rsidRDefault="00E04D30" w:rsidP="00786EF2">
            <w:pPr>
              <w:pStyle w:val="Heading1"/>
              <w:spacing w:before="0"/>
              <w:outlineLvl w:val="0"/>
              <w:rPr>
                <w:rFonts w:asciiTheme="majorHAnsi" w:hAnsiTheme="majorHAnsi" w:cstheme="majorHAnsi"/>
                <w:color w:val="000000" w:themeColor="text1"/>
                <w:sz w:val="18"/>
                <w:szCs w:val="18"/>
              </w:rPr>
            </w:pPr>
          </w:p>
        </w:tc>
        <w:tc>
          <w:tcPr>
            <w:tcW w:w="1179" w:type="dxa"/>
          </w:tcPr>
          <w:p w14:paraId="29756833" w14:textId="77777777" w:rsidR="00E04D30" w:rsidRPr="00173066" w:rsidRDefault="00E04D30" w:rsidP="00786EF2">
            <w:pPr>
              <w:pStyle w:val="Heading1"/>
              <w:spacing w:before="0"/>
              <w:outlineLvl w:val="0"/>
              <w:rPr>
                <w:rFonts w:asciiTheme="majorHAnsi" w:hAnsiTheme="majorHAnsi" w:cstheme="majorHAnsi"/>
                <w:color w:val="000000" w:themeColor="text1"/>
                <w:sz w:val="18"/>
                <w:szCs w:val="18"/>
              </w:rPr>
            </w:pPr>
          </w:p>
        </w:tc>
        <w:tc>
          <w:tcPr>
            <w:tcW w:w="1179" w:type="dxa"/>
          </w:tcPr>
          <w:p w14:paraId="182B2B78" w14:textId="77777777" w:rsidR="00E04D30" w:rsidRPr="00173066" w:rsidRDefault="00E04D30" w:rsidP="00786EF2">
            <w:pPr>
              <w:pStyle w:val="Heading1"/>
              <w:spacing w:before="0"/>
              <w:outlineLvl w:val="0"/>
              <w:rPr>
                <w:rFonts w:asciiTheme="majorHAnsi" w:hAnsiTheme="majorHAnsi" w:cstheme="majorHAnsi"/>
                <w:color w:val="000000" w:themeColor="text1"/>
                <w:sz w:val="18"/>
                <w:szCs w:val="18"/>
              </w:rPr>
            </w:pPr>
          </w:p>
        </w:tc>
      </w:tr>
      <w:tr w:rsidR="00E04D30" w:rsidRPr="00173066" w14:paraId="66C1C48C" w14:textId="77777777" w:rsidTr="00786EF2">
        <w:trPr>
          <w:trHeight w:val="227"/>
        </w:trPr>
        <w:tc>
          <w:tcPr>
            <w:tcW w:w="1985" w:type="dxa"/>
          </w:tcPr>
          <w:p w14:paraId="7425B3ED" w14:textId="77777777" w:rsidR="00E04D30" w:rsidRPr="00FE6175" w:rsidRDefault="00E04D30" w:rsidP="00786EF2">
            <w:pPr>
              <w:pStyle w:val="Heading1"/>
              <w:spacing w:before="0"/>
              <w:outlineLvl w:val="0"/>
              <w:rPr>
                <w:rFonts w:asciiTheme="majorHAnsi" w:hAnsiTheme="majorHAnsi" w:cstheme="majorHAnsi"/>
                <w:b/>
                <w:bCs/>
                <w:i/>
                <w:iCs/>
                <w:color w:val="000000" w:themeColor="text1"/>
                <w:sz w:val="18"/>
                <w:szCs w:val="18"/>
              </w:rPr>
            </w:pPr>
            <w:r w:rsidRPr="00FE6175">
              <w:rPr>
                <w:rFonts w:asciiTheme="majorHAnsi" w:hAnsiTheme="majorHAnsi" w:cstheme="majorHAnsi"/>
                <w:b/>
                <w:bCs/>
                <w:i/>
                <w:iCs/>
                <w:color w:val="000000" w:themeColor="text1"/>
                <w:sz w:val="18"/>
                <w:szCs w:val="18"/>
              </w:rPr>
              <w:t>GWP</w:t>
            </w:r>
            <w:r w:rsidRPr="00D2063E">
              <w:rPr>
                <w:rFonts w:asciiTheme="majorHAnsi" w:hAnsiTheme="majorHAnsi" w:cstheme="majorHAnsi"/>
                <w:b/>
                <w:bCs/>
                <w:i/>
                <w:iCs/>
                <w:color w:val="000000" w:themeColor="text1"/>
                <w:sz w:val="18"/>
                <w:szCs w:val="18"/>
                <w:vertAlign w:val="subscript"/>
              </w:rPr>
              <w:t>100</w:t>
            </w:r>
            <w:r w:rsidRPr="00FE6175">
              <w:rPr>
                <w:rFonts w:asciiTheme="majorHAnsi" w:hAnsiTheme="majorHAnsi" w:cstheme="majorHAnsi"/>
                <w:b/>
                <w:bCs/>
                <w:i/>
                <w:iCs/>
                <w:color w:val="000000" w:themeColor="text1"/>
                <w:sz w:val="18"/>
                <w:szCs w:val="18"/>
              </w:rPr>
              <w:t xml:space="preserve"> (=25)</w:t>
            </w:r>
          </w:p>
        </w:tc>
        <w:tc>
          <w:tcPr>
            <w:tcW w:w="1178" w:type="dxa"/>
          </w:tcPr>
          <w:p w14:paraId="657492A4" w14:textId="77777777" w:rsidR="00E04D30" w:rsidRPr="00173066" w:rsidRDefault="00E04D30" w:rsidP="00786EF2">
            <w:pPr>
              <w:pStyle w:val="Heading1"/>
              <w:spacing w:before="0"/>
              <w:outlineLvl w:val="0"/>
              <w:rPr>
                <w:rFonts w:asciiTheme="majorHAnsi" w:hAnsiTheme="majorHAnsi" w:cstheme="majorHAnsi"/>
                <w:color w:val="000000" w:themeColor="text1"/>
                <w:sz w:val="18"/>
                <w:szCs w:val="18"/>
              </w:rPr>
            </w:pPr>
          </w:p>
        </w:tc>
        <w:tc>
          <w:tcPr>
            <w:tcW w:w="1179" w:type="dxa"/>
          </w:tcPr>
          <w:p w14:paraId="442A8E0C" w14:textId="77777777" w:rsidR="00E04D30" w:rsidRPr="00173066" w:rsidRDefault="00E04D30" w:rsidP="00786EF2">
            <w:pPr>
              <w:pStyle w:val="Heading1"/>
              <w:spacing w:before="0"/>
              <w:outlineLvl w:val="0"/>
              <w:rPr>
                <w:rFonts w:asciiTheme="majorHAnsi" w:hAnsiTheme="majorHAnsi" w:cstheme="majorHAnsi"/>
                <w:color w:val="000000" w:themeColor="text1"/>
                <w:sz w:val="18"/>
                <w:szCs w:val="18"/>
              </w:rPr>
            </w:pPr>
          </w:p>
        </w:tc>
        <w:tc>
          <w:tcPr>
            <w:tcW w:w="1179" w:type="dxa"/>
          </w:tcPr>
          <w:p w14:paraId="2F982E7D" w14:textId="77777777" w:rsidR="00E04D30" w:rsidRPr="00173066" w:rsidRDefault="00E04D30" w:rsidP="00786EF2">
            <w:pPr>
              <w:pStyle w:val="Heading1"/>
              <w:spacing w:before="0"/>
              <w:outlineLvl w:val="0"/>
              <w:rPr>
                <w:rFonts w:asciiTheme="majorHAnsi" w:hAnsiTheme="majorHAnsi" w:cstheme="majorHAnsi"/>
                <w:color w:val="000000" w:themeColor="text1"/>
                <w:sz w:val="18"/>
                <w:szCs w:val="18"/>
              </w:rPr>
            </w:pPr>
            <w:r>
              <w:rPr>
                <w:rFonts w:asciiTheme="majorHAnsi" w:hAnsiTheme="majorHAnsi" w:cstheme="majorHAnsi"/>
                <w:color w:val="000000" w:themeColor="text1"/>
                <w:sz w:val="18"/>
                <w:szCs w:val="18"/>
              </w:rPr>
              <w:t>CP150</w:t>
            </w:r>
          </w:p>
        </w:tc>
        <w:tc>
          <w:tcPr>
            <w:tcW w:w="1179" w:type="dxa"/>
          </w:tcPr>
          <w:p w14:paraId="7C3C39DD" w14:textId="77777777" w:rsidR="00E04D30" w:rsidRPr="00173066" w:rsidRDefault="00E04D30" w:rsidP="00786EF2">
            <w:pPr>
              <w:pStyle w:val="Heading1"/>
              <w:spacing w:before="0"/>
              <w:outlineLvl w:val="0"/>
              <w:rPr>
                <w:rFonts w:asciiTheme="majorHAnsi" w:hAnsiTheme="majorHAnsi" w:cstheme="majorHAnsi"/>
                <w:color w:val="000000" w:themeColor="text1"/>
                <w:sz w:val="18"/>
                <w:szCs w:val="18"/>
              </w:rPr>
            </w:pPr>
            <w:r>
              <w:rPr>
                <w:rFonts w:asciiTheme="majorHAnsi" w:hAnsiTheme="majorHAnsi" w:cstheme="majorHAnsi"/>
                <w:color w:val="000000" w:themeColor="text1"/>
                <w:sz w:val="18"/>
                <w:szCs w:val="18"/>
              </w:rPr>
              <w:t>CP150_D</w:t>
            </w:r>
          </w:p>
        </w:tc>
        <w:tc>
          <w:tcPr>
            <w:tcW w:w="1179" w:type="dxa"/>
          </w:tcPr>
          <w:p w14:paraId="2D84C5ED" w14:textId="77777777" w:rsidR="00E04D30" w:rsidRPr="00173066" w:rsidRDefault="00E04D30" w:rsidP="00786EF2">
            <w:pPr>
              <w:pStyle w:val="Heading1"/>
              <w:spacing w:before="0"/>
              <w:outlineLvl w:val="0"/>
              <w:rPr>
                <w:rFonts w:asciiTheme="majorHAnsi" w:hAnsiTheme="majorHAnsi" w:cstheme="majorHAnsi"/>
                <w:color w:val="000000" w:themeColor="text1"/>
                <w:sz w:val="18"/>
                <w:szCs w:val="18"/>
              </w:rPr>
            </w:pPr>
            <w:r>
              <w:rPr>
                <w:rFonts w:asciiTheme="majorHAnsi" w:hAnsiTheme="majorHAnsi" w:cstheme="majorHAnsi"/>
                <w:color w:val="000000" w:themeColor="text1"/>
                <w:sz w:val="18"/>
                <w:szCs w:val="18"/>
              </w:rPr>
              <w:t>CP500</w:t>
            </w:r>
          </w:p>
        </w:tc>
        <w:tc>
          <w:tcPr>
            <w:tcW w:w="1179" w:type="dxa"/>
          </w:tcPr>
          <w:p w14:paraId="59A9EBA3" w14:textId="77777777" w:rsidR="00E04D30" w:rsidRPr="00173066" w:rsidRDefault="00E04D30" w:rsidP="00786EF2">
            <w:pPr>
              <w:pStyle w:val="Heading1"/>
              <w:spacing w:before="0"/>
              <w:outlineLvl w:val="0"/>
              <w:rPr>
                <w:rFonts w:asciiTheme="majorHAnsi" w:hAnsiTheme="majorHAnsi" w:cstheme="majorHAnsi"/>
                <w:color w:val="000000" w:themeColor="text1"/>
                <w:sz w:val="18"/>
                <w:szCs w:val="18"/>
              </w:rPr>
            </w:pPr>
            <w:r>
              <w:rPr>
                <w:rFonts w:asciiTheme="majorHAnsi" w:hAnsiTheme="majorHAnsi" w:cstheme="majorHAnsi"/>
                <w:color w:val="000000" w:themeColor="text1"/>
                <w:sz w:val="18"/>
                <w:szCs w:val="18"/>
              </w:rPr>
              <w:t>CP500_D</w:t>
            </w:r>
          </w:p>
        </w:tc>
      </w:tr>
      <w:tr w:rsidR="00E04D30" w:rsidRPr="00173066" w14:paraId="21203251" w14:textId="77777777" w:rsidTr="00786EF2">
        <w:trPr>
          <w:trHeight w:val="227"/>
        </w:trPr>
        <w:tc>
          <w:tcPr>
            <w:tcW w:w="1985" w:type="dxa"/>
          </w:tcPr>
          <w:p w14:paraId="329E2420" w14:textId="77777777" w:rsidR="00E04D30" w:rsidRPr="00FE6175" w:rsidRDefault="00E04D30" w:rsidP="00786EF2">
            <w:pPr>
              <w:pStyle w:val="Heading1"/>
              <w:spacing w:before="0"/>
              <w:outlineLvl w:val="0"/>
              <w:rPr>
                <w:rFonts w:asciiTheme="majorHAnsi" w:hAnsiTheme="majorHAnsi" w:cstheme="majorHAnsi"/>
                <w:b/>
                <w:bCs/>
                <w:i/>
                <w:iCs/>
                <w:color w:val="000000" w:themeColor="text1"/>
                <w:sz w:val="18"/>
                <w:szCs w:val="18"/>
              </w:rPr>
            </w:pPr>
            <w:r w:rsidRPr="00FE6175">
              <w:rPr>
                <w:rFonts w:asciiTheme="majorHAnsi" w:hAnsiTheme="majorHAnsi" w:cstheme="majorHAnsi"/>
                <w:b/>
                <w:bCs/>
                <w:i/>
                <w:iCs/>
                <w:color w:val="000000" w:themeColor="text1"/>
                <w:sz w:val="18"/>
                <w:szCs w:val="18"/>
              </w:rPr>
              <w:t>M</w:t>
            </w:r>
            <w:r>
              <w:rPr>
                <w:rFonts w:asciiTheme="majorHAnsi" w:hAnsiTheme="majorHAnsi" w:cstheme="majorHAnsi"/>
                <w:b/>
                <w:bCs/>
                <w:i/>
                <w:iCs/>
                <w:color w:val="000000" w:themeColor="text1"/>
                <w:sz w:val="18"/>
                <w:szCs w:val="18"/>
              </w:rPr>
              <w:t>E</w:t>
            </w:r>
            <w:r w:rsidRPr="00FE6175">
              <w:rPr>
                <w:rFonts w:asciiTheme="majorHAnsi" w:hAnsiTheme="majorHAnsi" w:cstheme="majorHAnsi"/>
                <w:b/>
                <w:bCs/>
                <w:i/>
                <w:iCs/>
                <w:color w:val="000000" w:themeColor="text1"/>
                <w:sz w:val="18"/>
                <w:szCs w:val="18"/>
              </w:rPr>
              <w:t>F-</w:t>
            </w:r>
            <w:r>
              <w:rPr>
                <w:rFonts w:asciiTheme="majorHAnsi" w:hAnsiTheme="majorHAnsi" w:cstheme="majorHAnsi"/>
                <w:b/>
                <w:bCs/>
                <w:i/>
                <w:iCs/>
                <w:color w:val="000000" w:themeColor="text1"/>
                <w:sz w:val="18"/>
                <w:szCs w:val="18"/>
              </w:rPr>
              <w:t>ST</w:t>
            </w:r>
            <w:r w:rsidRPr="00FE6175">
              <w:rPr>
                <w:rFonts w:asciiTheme="majorHAnsi" w:hAnsiTheme="majorHAnsi" w:cstheme="majorHAnsi"/>
                <w:b/>
                <w:bCs/>
                <w:i/>
                <w:iCs/>
                <w:color w:val="000000" w:themeColor="text1"/>
                <w:sz w:val="18"/>
                <w:szCs w:val="18"/>
              </w:rPr>
              <w:t xml:space="preserve"> (=100)</w:t>
            </w:r>
          </w:p>
        </w:tc>
        <w:tc>
          <w:tcPr>
            <w:tcW w:w="1178" w:type="dxa"/>
          </w:tcPr>
          <w:p w14:paraId="77DC9D5D" w14:textId="77777777" w:rsidR="00E04D30" w:rsidRPr="00173066" w:rsidRDefault="00E04D30" w:rsidP="00786EF2">
            <w:pPr>
              <w:pStyle w:val="Heading1"/>
              <w:spacing w:before="0"/>
              <w:outlineLvl w:val="0"/>
              <w:rPr>
                <w:rFonts w:asciiTheme="majorHAnsi" w:hAnsiTheme="majorHAnsi" w:cstheme="majorHAnsi"/>
                <w:color w:val="000000" w:themeColor="text1"/>
                <w:sz w:val="18"/>
                <w:szCs w:val="18"/>
              </w:rPr>
            </w:pPr>
          </w:p>
        </w:tc>
        <w:tc>
          <w:tcPr>
            <w:tcW w:w="1179" w:type="dxa"/>
          </w:tcPr>
          <w:p w14:paraId="658DEC66" w14:textId="77777777" w:rsidR="00E04D30" w:rsidRPr="00173066" w:rsidRDefault="00E04D30" w:rsidP="00786EF2">
            <w:pPr>
              <w:pStyle w:val="Heading1"/>
              <w:spacing w:before="0"/>
              <w:outlineLvl w:val="0"/>
              <w:rPr>
                <w:rFonts w:asciiTheme="majorHAnsi" w:hAnsiTheme="majorHAnsi" w:cstheme="majorHAnsi"/>
                <w:color w:val="000000" w:themeColor="text1"/>
                <w:sz w:val="18"/>
                <w:szCs w:val="18"/>
              </w:rPr>
            </w:pPr>
          </w:p>
        </w:tc>
        <w:tc>
          <w:tcPr>
            <w:tcW w:w="1179" w:type="dxa"/>
          </w:tcPr>
          <w:p w14:paraId="10B2E963" w14:textId="77777777" w:rsidR="00E04D30" w:rsidRPr="00173066" w:rsidRDefault="00E04D30" w:rsidP="00786EF2">
            <w:pPr>
              <w:pStyle w:val="Heading1"/>
              <w:spacing w:before="0"/>
              <w:outlineLvl w:val="0"/>
              <w:rPr>
                <w:rFonts w:asciiTheme="majorHAnsi" w:hAnsiTheme="majorHAnsi" w:cstheme="majorHAnsi"/>
                <w:color w:val="000000" w:themeColor="text1"/>
                <w:sz w:val="18"/>
                <w:szCs w:val="18"/>
              </w:rPr>
            </w:pPr>
            <w:r>
              <w:rPr>
                <w:rFonts w:asciiTheme="majorHAnsi" w:hAnsiTheme="majorHAnsi" w:cstheme="majorHAnsi"/>
                <w:color w:val="000000" w:themeColor="text1"/>
                <w:sz w:val="18"/>
                <w:szCs w:val="18"/>
              </w:rPr>
              <w:t>CP150_ST</w:t>
            </w:r>
          </w:p>
        </w:tc>
        <w:tc>
          <w:tcPr>
            <w:tcW w:w="1179" w:type="dxa"/>
          </w:tcPr>
          <w:p w14:paraId="3AB036C2" w14:textId="77777777" w:rsidR="00E04D30" w:rsidRPr="00173066" w:rsidRDefault="00E04D30" w:rsidP="00786EF2">
            <w:pPr>
              <w:pStyle w:val="Heading1"/>
              <w:spacing w:before="0"/>
              <w:outlineLvl w:val="0"/>
              <w:rPr>
                <w:rFonts w:asciiTheme="majorHAnsi" w:hAnsiTheme="majorHAnsi" w:cstheme="majorHAnsi"/>
                <w:color w:val="000000" w:themeColor="text1"/>
                <w:sz w:val="18"/>
                <w:szCs w:val="18"/>
              </w:rPr>
            </w:pPr>
            <w:r>
              <w:rPr>
                <w:rFonts w:asciiTheme="majorHAnsi" w:hAnsiTheme="majorHAnsi" w:cstheme="majorHAnsi"/>
                <w:color w:val="000000" w:themeColor="text1"/>
                <w:sz w:val="18"/>
                <w:szCs w:val="18"/>
              </w:rPr>
              <w:t>CP150_ST_D</w:t>
            </w:r>
          </w:p>
        </w:tc>
        <w:tc>
          <w:tcPr>
            <w:tcW w:w="1179" w:type="dxa"/>
          </w:tcPr>
          <w:p w14:paraId="1531885F" w14:textId="77777777" w:rsidR="00E04D30" w:rsidRPr="00173066" w:rsidRDefault="00E04D30" w:rsidP="00786EF2">
            <w:pPr>
              <w:pStyle w:val="Heading1"/>
              <w:spacing w:before="0"/>
              <w:outlineLvl w:val="0"/>
              <w:rPr>
                <w:rFonts w:asciiTheme="majorHAnsi" w:hAnsiTheme="majorHAnsi" w:cstheme="majorHAnsi"/>
                <w:color w:val="000000" w:themeColor="text1"/>
                <w:sz w:val="18"/>
                <w:szCs w:val="18"/>
              </w:rPr>
            </w:pPr>
            <w:r>
              <w:rPr>
                <w:rFonts w:asciiTheme="majorHAnsi" w:hAnsiTheme="majorHAnsi" w:cstheme="majorHAnsi"/>
                <w:color w:val="000000" w:themeColor="text1"/>
                <w:sz w:val="18"/>
                <w:szCs w:val="18"/>
              </w:rPr>
              <w:t>CP500_ST</w:t>
            </w:r>
          </w:p>
        </w:tc>
        <w:tc>
          <w:tcPr>
            <w:tcW w:w="1179" w:type="dxa"/>
          </w:tcPr>
          <w:p w14:paraId="28495A76" w14:textId="77777777" w:rsidR="00E04D30" w:rsidRPr="00173066" w:rsidRDefault="00E04D30" w:rsidP="00786EF2">
            <w:pPr>
              <w:pStyle w:val="Heading1"/>
              <w:spacing w:before="0"/>
              <w:outlineLvl w:val="0"/>
              <w:rPr>
                <w:rFonts w:asciiTheme="majorHAnsi" w:hAnsiTheme="majorHAnsi" w:cstheme="majorHAnsi"/>
                <w:color w:val="000000" w:themeColor="text1"/>
                <w:sz w:val="18"/>
                <w:szCs w:val="18"/>
              </w:rPr>
            </w:pPr>
            <w:r>
              <w:rPr>
                <w:rFonts w:asciiTheme="majorHAnsi" w:hAnsiTheme="majorHAnsi" w:cstheme="majorHAnsi"/>
                <w:color w:val="000000" w:themeColor="text1"/>
                <w:sz w:val="18"/>
                <w:szCs w:val="18"/>
              </w:rPr>
              <w:t>CP500_ST_D</w:t>
            </w:r>
          </w:p>
        </w:tc>
      </w:tr>
      <w:tr w:rsidR="00E04D30" w:rsidRPr="00173066" w14:paraId="688721E1" w14:textId="77777777" w:rsidTr="00786EF2">
        <w:trPr>
          <w:trHeight w:val="227"/>
        </w:trPr>
        <w:tc>
          <w:tcPr>
            <w:tcW w:w="1985" w:type="dxa"/>
          </w:tcPr>
          <w:p w14:paraId="6B3711E8" w14:textId="77777777" w:rsidR="00E04D30" w:rsidRPr="00FE6175" w:rsidRDefault="00E04D30" w:rsidP="00786EF2">
            <w:pPr>
              <w:pStyle w:val="Heading1"/>
              <w:spacing w:before="0"/>
              <w:outlineLvl w:val="0"/>
              <w:rPr>
                <w:rFonts w:asciiTheme="majorHAnsi" w:hAnsiTheme="majorHAnsi" w:cstheme="majorHAnsi"/>
                <w:b/>
                <w:bCs/>
                <w:i/>
                <w:iCs/>
                <w:color w:val="000000" w:themeColor="text1"/>
                <w:sz w:val="18"/>
                <w:szCs w:val="18"/>
              </w:rPr>
            </w:pPr>
            <w:r w:rsidRPr="00FE6175">
              <w:rPr>
                <w:rFonts w:asciiTheme="majorHAnsi" w:hAnsiTheme="majorHAnsi" w:cstheme="majorHAnsi"/>
                <w:b/>
                <w:bCs/>
                <w:i/>
                <w:iCs/>
                <w:color w:val="000000" w:themeColor="text1"/>
                <w:sz w:val="18"/>
                <w:szCs w:val="18"/>
              </w:rPr>
              <w:t>M</w:t>
            </w:r>
            <w:r>
              <w:rPr>
                <w:rFonts w:asciiTheme="majorHAnsi" w:hAnsiTheme="majorHAnsi" w:cstheme="majorHAnsi"/>
                <w:b/>
                <w:bCs/>
                <w:i/>
                <w:iCs/>
                <w:color w:val="000000" w:themeColor="text1"/>
                <w:sz w:val="18"/>
                <w:szCs w:val="18"/>
              </w:rPr>
              <w:t>E</w:t>
            </w:r>
            <w:r w:rsidRPr="00FE6175">
              <w:rPr>
                <w:rFonts w:asciiTheme="majorHAnsi" w:hAnsiTheme="majorHAnsi" w:cstheme="majorHAnsi"/>
                <w:b/>
                <w:bCs/>
                <w:i/>
                <w:iCs/>
                <w:color w:val="000000" w:themeColor="text1"/>
                <w:sz w:val="18"/>
                <w:szCs w:val="18"/>
              </w:rPr>
              <w:t>F-</w:t>
            </w:r>
            <w:r>
              <w:rPr>
                <w:rFonts w:asciiTheme="majorHAnsi" w:hAnsiTheme="majorHAnsi" w:cstheme="majorHAnsi"/>
                <w:b/>
                <w:bCs/>
                <w:i/>
                <w:iCs/>
                <w:color w:val="000000" w:themeColor="text1"/>
                <w:sz w:val="18"/>
                <w:szCs w:val="18"/>
              </w:rPr>
              <w:t xml:space="preserve">LT </w:t>
            </w:r>
            <w:r w:rsidRPr="00FE6175">
              <w:rPr>
                <w:rFonts w:asciiTheme="majorHAnsi" w:hAnsiTheme="majorHAnsi" w:cstheme="majorHAnsi"/>
                <w:b/>
                <w:bCs/>
                <w:i/>
                <w:iCs/>
                <w:color w:val="000000" w:themeColor="text1"/>
                <w:sz w:val="18"/>
                <w:szCs w:val="18"/>
              </w:rPr>
              <w:t>(=6.25)</w:t>
            </w:r>
          </w:p>
        </w:tc>
        <w:tc>
          <w:tcPr>
            <w:tcW w:w="1178" w:type="dxa"/>
          </w:tcPr>
          <w:p w14:paraId="3AB6F23C" w14:textId="77777777" w:rsidR="00E04D30" w:rsidRPr="00173066" w:rsidRDefault="00E04D30" w:rsidP="00786EF2">
            <w:pPr>
              <w:pStyle w:val="Heading1"/>
              <w:spacing w:before="0"/>
              <w:outlineLvl w:val="0"/>
              <w:rPr>
                <w:rFonts w:asciiTheme="majorHAnsi" w:hAnsiTheme="majorHAnsi" w:cstheme="majorHAnsi"/>
                <w:color w:val="000000" w:themeColor="text1"/>
                <w:sz w:val="18"/>
                <w:szCs w:val="18"/>
              </w:rPr>
            </w:pPr>
          </w:p>
        </w:tc>
        <w:tc>
          <w:tcPr>
            <w:tcW w:w="1179" w:type="dxa"/>
          </w:tcPr>
          <w:p w14:paraId="1777B281" w14:textId="77777777" w:rsidR="00E04D30" w:rsidRPr="00173066" w:rsidRDefault="00E04D30" w:rsidP="00786EF2">
            <w:pPr>
              <w:pStyle w:val="Heading1"/>
              <w:spacing w:before="0"/>
              <w:outlineLvl w:val="0"/>
              <w:rPr>
                <w:rFonts w:asciiTheme="majorHAnsi" w:hAnsiTheme="majorHAnsi" w:cstheme="majorHAnsi"/>
                <w:color w:val="000000" w:themeColor="text1"/>
                <w:sz w:val="18"/>
                <w:szCs w:val="18"/>
              </w:rPr>
            </w:pPr>
          </w:p>
        </w:tc>
        <w:tc>
          <w:tcPr>
            <w:tcW w:w="1179" w:type="dxa"/>
          </w:tcPr>
          <w:p w14:paraId="6607B602" w14:textId="77777777" w:rsidR="00E04D30" w:rsidRPr="00173066" w:rsidRDefault="00E04D30" w:rsidP="00786EF2">
            <w:pPr>
              <w:pStyle w:val="Heading1"/>
              <w:spacing w:before="0"/>
              <w:outlineLvl w:val="0"/>
              <w:rPr>
                <w:rFonts w:asciiTheme="majorHAnsi" w:hAnsiTheme="majorHAnsi" w:cstheme="majorHAnsi"/>
                <w:color w:val="000000" w:themeColor="text1"/>
                <w:sz w:val="18"/>
                <w:szCs w:val="18"/>
              </w:rPr>
            </w:pPr>
            <w:r>
              <w:rPr>
                <w:rFonts w:asciiTheme="majorHAnsi" w:hAnsiTheme="majorHAnsi" w:cstheme="majorHAnsi"/>
                <w:color w:val="000000" w:themeColor="text1"/>
                <w:sz w:val="18"/>
                <w:szCs w:val="18"/>
              </w:rPr>
              <w:t>CP150_LT</w:t>
            </w:r>
          </w:p>
        </w:tc>
        <w:tc>
          <w:tcPr>
            <w:tcW w:w="1179" w:type="dxa"/>
          </w:tcPr>
          <w:p w14:paraId="50DE5EF1" w14:textId="77777777" w:rsidR="00E04D30" w:rsidRPr="00173066" w:rsidRDefault="00E04D30" w:rsidP="00786EF2">
            <w:pPr>
              <w:pStyle w:val="Heading1"/>
              <w:spacing w:before="0"/>
              <w:outlineLvl w:val="0"/>
              <w:rPr>
                <w:rFonts w:asciiTheme="majorHAnsi" w:hAnsiTheme="majorHAnsi" w:cstheme="majorHAnsi"/>
                <w:color w:val="000000" w:themeColor="text1"/>
                <w:sz w:val="18"/>
                <w:szCs w:val="18"/>
              </w:rPr>
            </w:pPr>
            <w:r>
              <w:rPr>
                <w:rFonts w:asciiTheme="majorHAnsi" w:hAnsiTheme="majorHAnsi" w:cstheme="majorHAnsi"/>
                <w:color w:val="000000" w:themeColor="text1"/>
                <w:sz w:val="18"/>
                <w:szCs w:val="18"/>
              </w:rPr>
              <w:t>CP150_LT_D</w:t>
            </w:r>
          </w:p>
        </w:tc>
        <w:tc>
          <w:tcPr>
            <w:tcW w:w="1179" w:type="dxa"/>
          </w:tcPr>
          <w:p w14:paraId="7DED12D2" w14:textId="77777777" w:rsidR="00E04D30" w:rsidRPr="00173066" w:rsidRDefault="00E04D30" w:rsidP="00786EF2">
            <w:pPr>
              <w:pStyle w:val="Heading1"/>
              <w:spacing w:before="0"/>
              <w:outlineLvl w:val="0"/>
              <w:rPr>
                <w:rFonts w:asciiTheme="majorHAnsi" w:hAnsiTheme="majorHAnsi" w:cstheme="majorHAnsi"/>
                <w:color w:val="000000" w:themeColor="text1"/>
                <w:sz w:val="18"/>
                <w:szCs w:val="18"/>
              </w:rPr>
            </w:pPr>
            <w:r>
              <w:rPr>
                <w:rFonts w:asciiTheme="majorHAnsi" w:hAnsiTheme="majorHAnsi" w:cstheme="majorHAnsi"/>
                <w:color w:val="000000" w:themeColor="text1"/>
                <w:sz w:val="18"/>
                <w:szCs w:val="18"/>
              </w:rPr>
              <w:t>CP500_LT</w:t>
            </w:r>
          </w:p>
        </w:tc>
        <w:tc>
          <w:tcPr>
            <w:tcW w:w="1179" w:type="dxa"/>
          </w:tcPr>
          <w:p w14:paraId="0AF8093D" w14:textId="77777777" w:rsidR="00E04D30" w:rsidRPr="00173066" w:rsidRDefault="00E04D30" w:rsidP="00786EF2">
            <w:pPr>
              <w:pStyle w:val="Heading1"/>
              <w:spacing w:before="0"/>
              <w:outlineLvl w:val="0"/>
              <w:rPr>
                <w:rFonts w:asciiTheme="majorHAnsi" w:hAnsiTheme="majorHAnsi" w:cstheme="majorHAnsi"/>
                <w:color w:val="000000" w:themeColor="text1"/>
                <w:sz w:val="18"/>
                <w:szCs w:val="18"/>
              </w:rPr>
            </w:pPr>
            <w:r>
              <w:rPr>
                <w:rFonts w:asciiTheme="majorHAnsi" w:hAnsiTheme="majorHAnsi" w:cstheme="majorHAnsi"/>
                <w:color w:val="000000" w:themeColor="text1"/>
                <w:sz w:val="18"/>
                <w:szCs w:val="18"/>
              </w:rPr>
              <w:t>CP500_LT_D</w:t>
            </w:r>
          </w:p>
        </w:tc>
      </w:tr>
    </w:tbl>
    <w:p w14:paraId="232BA1D6" w14:textId="77777777" w:rsidR="006D4F0B" w:rsidRDefault="006D4F0B">
      <w:pPr>
        <w:jc w:val="both"/>
      </w:pPr>
    </w:p>
    <w:p w14:paraId="580454CE" w14:textId="77777777" w:rsidR="00372F89" w:rsidRDefault="00372F89">
      <w:pPr>
        <w:rPr>
          <w:rFonts w:ascii="Cambria" w:eastAsia="Cambria" w:hAnsi="Cambria" w:cs="Cambria"/>
          <w:color w:val="366091"/>
          <w:sz w:val="32"/>
          <w:szCs w:val="32"/>
        </w:rPr>
      </w:pPr>
      <w:bookmarkStart w:id="0" w:name="_7uuwjbevurg7" w:colFirst="0" w:colLast="0"/>
      <w:bookmarkEnd w:id="0"/>
      <w:r>
        <w:br w:type="page"/>
      </w:r>
    </w:p>
    <w:p w14:paraId="5BEC5433" w14:textId="4FAD6A44" w:rsidR="006D4F0B" w:rsidRDefault="004039DA">
      <w:pPr>
        <w:pStyle w:val="Heading1"/>
        <w:numPr>
          <w:ilvl w:val="0"/>
          <w:numId w:val="1"/>
        </w:numPr>
      </w:pPr>
      <w:r>
        <w:lastRenderedPageBreak/>
        <w:t>Method for calculating methane price</w:t>
      </w:r>
      <w:r w:rsidR="00493F5E">
        <w:t>s</w:t>
      </w:r>
    </w:p>
    <w:p w14:paraId="146710FB" w14:textId="32420EE6" w:rsidR="006D4F0B" w:rsidRDefault="00493F5E">
      <w:r>
        <w:t xml:space="preserve">The models </w:t>
      </w:r>
      <w:proofErr w:type="gramStart"/>
      <w:r>
        <w:t>are run</w:t>
      </w:r>
      <w:proofErr w:type="gramEnd"/>
      <w:r>
        <w:t xml:space="preserve"> for two options for the computation of the carbon </w:t>
      </w:r>
      <w:r w:rsidR="005D6CC8">
        <w:t>price</w:t>
      </w:r>
      <w:r>
        <w:t xml:space="preserve">: </w:t>
      </w:r>
      <w:r w:rsidR="00E04D30">
        <w:t>MEF-ST</w:t>
      </w:r>
      <w:r>
        <w:t xml:space="preserve"> </w:t>
      </w:r>
      <w:r w:rsidR="008900E0">
        <w:t>(“</w:t>
      </w:r>
      <w:r w:rsidR="005D6CC8">
        <w:t>short-term</w:t>
      </w:r>
      <w:r w:rsidR="008900E0">
        <w:t xml:space="preserve">”) </w:t>
      </w:r>
      <w:r>
        <w:t xml:space="preserve">and </w:t>
      </w:r>
      <w:r w:rsidR="00E04D30">
        <w:t>MEF-LT</w:t>
      </w:r>
      <w:r w:rsidR="008900E0">
        <w:t xml:space="preserve"> (“</w:t>
      </w:r>
      <w:r w:rsidR="005D6CC8">
        <w:t>long-term</w:t>
      </w:r>
      <w:r w:rsidR="008900E0">
        <w:t>”)</w:t>
      </w:r>
      <w:r>
        <w:t>. Both</w:t>
      </w:r>
      <w:r w:rsidR="005D6CC8">
        <w:t xml:space="preserve"> options use the same carbon price</w:t>
      </w:r>
      <w:r>
        <w:t>. We distinguish two price paths: 150 $ per t CO</w:t>
      </w:r>
      <w:r w:rsidRPr="000C22B2">
        <w:rPr>
          <w:vertAlign w:val="subscript"/>
        </w:rPr>
        <w:t>2</w:t>
      </w:r>
      <w:r>
        <w:t xml:space="preserve"> and 500 $ per t CO</w:t>
      </w:r>
      <w:r w:rsidRPr="000C22B2">
        <w:rPr>
          <w:vertAlign w:val="subscript"/>
        </w:rPr>
        <w:t>2</w:t>
      </w:r>
      <w:r>
        <w:t xml:space="preserve"> in 2005. Following </w:t>
      </w:r>
      <w:proofErr w:type="spellStart"/>
      <w:r>
        <w:t>Hotelling’s</w:t>
      </w:r>
      <w:proofErr w:type="spellEnd"/>
      <w:r>
        <w:t xml:space="preserve"> rule, the optimal carbon </w:t>
      </w:r>
      <w:r w:rsidR="005D6CC8">
        <w:t>price</w:t>
      </w:r>
      <w:r>
        <w:t xml:space="preserve"> path follows a discount </w:t>
      </w:r>
      <w:proofErr w:type="gramStart"/>
      <w:r>
        <w:t>rate which</w:t>
      </w:r>
      <w:proofErr w:type="gramEnd"/>
      <w:r>
        <w:t xml:space="preserve"> is set to 5 per cent. This results in the </w:t>
      </w:r>
      <w:r w:rsidR="005D6CC8">
        <w:t>carbon price</w:t>
      </w:r>
      <w:r>
        <w:t xml:space="preserve"> rates shown in table </w:t>
      </w:r>
      <w:r w:rsidR="003766CC">
        <w:t>S2</w:t>
      </w:r>
      <w:r>
        <w:t>.</w:t>
      </w:r>
    </w:p>
    <w:p w14:paraId="5103289A" w14:textId="723DA27C" w:rsidR="006D4F0B" w:rsidRDefault="005D6CC8">
      <w:pPr>
        <w:spacing w:after="0"/>
        <w:rPr>
          <w:i/>
        </w:rPr>
      </w:pPr>
      <w:r>
        <w:rPr>
          <w:i/>
        </w:rPr>
        <w:t xml:space="preserve">Table </w:t>
      </w:r>
      <w:r w:rsidR="003766CC">
        <w:rPr>
          <w:i/>
        </w:rPr>
        <w:t>S2</w:t>
      </w:r>
      <w:r>
        <w:rPr>
          <w:i/>
        </w:rPr>
        <w:t>. Carbon price</w:t>
      </w:r>
      <w:r w:rsidR="00493F5E">
        <w:rPr>
          <w:i/>
        </w:rPr>
        <w:t xml:space="preserve"> rates by carbon price level for 2030, 2050 and 2070 (€ per t CO</w:t>
      </w:r>
      <w:r w:rsidR="00493F5E" w:rsidRPr="000C22B2">
        <w:rPr>
          <w:i/>
          <w:vertAlign w:val="subscript"/>
        </w:rPr>
        <w:t>2</w:t>
      </w:r>
      <w:r w:rsidR="00493F5E" w:rsidRPr="000C22B2">
        <w:rPr>
          <w:i/>
          <w:vertAlign w:val="superscript"/>
        </w:rPr>
        <w:t>e</w:t>
      </w:r>
      <w:r w:rsidR="00493F5E">
        <w:rPr>
          <w:i/>
        </w:rPr>
        <w:t>)</w:t>
      </w:r>
    </w:p>
    <w:tbl>
      <w:tblPr>
        <w:tblStyle w:val="a"/>
        <w:tblW w:w="9016" w:type="dxa"/>
        <w:tblBorders>
          <w:top w:val="single" w:sz="4" w:space="0" w:color="93CDDC"/>
          <w:left w:val="single" w:sz="4" w:space="0" w:color="93CDDC"/>
          <w:bottom w:val="single" w:sz="4" w:space="0" w:color="93CDDC"/>
          <w:right w:val="single" w:sz="4" w:space="0" w:color="93CDDC"/>
          <w:insideH w:val="single" w:sz="4" w:space="0" w:color="93CDDC"/>
          <w:insideV w:val="single" w:sz="4" w:space="0" w:color="C2D69B"/>
        </w:tblBorders>
        <w:tblLayout w:type="fixed"/>
        <w:tblLook w:val="0400" w:firstRow="0" w:lastRow="0" w:firstColumn="0" w:lastColumn="0" w:noHBand="0" w:noVBand="1"/>
      </w:tblPr>
      <w:tblGrid>
        <w:gridCol w:w="2250"/>
        <w:gridCol w:w="2254"/>
        <w:gridCol w:w="2256"/>
        <w:gridCol w:w="2256"/>
      </w:tblGrid>
      <w:tr w:rsidR="006D4F0B" w14:paraId="412C3DB1" w14:textId="77777777">
        <w:tc>
          <w:tcPr>
            <w:tcW w:w="2250" w:type="dxa"/>
          </w:tcPr>
          <w:p w14:paraId="0139775D" w14:textId="77777777" w:rsidR="006D4F0B" w:rsidRDefault="00493F5E">
            <w:r>
              <w:t>Carbon price level</w:t>
            </w:r>
          </w:p>
        </w:tc>
        <w:tc>
          <w:tcPr>
            <w:tcW w:w="2254" w:type="dxa"/>
            <w:vAlign w:val="center"/>
          </w:tcPr>
          <w:p w14:paraId="14A4CEFA" w14:textId="77777777" w:rsidR="006D4F0B" w:rsidRDefault="00493F5E">
            <w:pPr>
              <w:jc w:val="center"/>
            </w:pPr>
            <w:r>
              <w:t>2030</w:t>
            </w:r>
          </w:p>
        </w:tc>
        <w:tc>
          <w:tcPr>
            <w:tcW w:w="2256" w:type="dxa"/>
            <w:vAlign w:val="center"/>
          </w:tcPr>
          <w:p w14:paraId="11A51C66" w14:textId="77777777" w:rsidR="006D4F0B" w:rsidRDefault="00493F5E">
            <w:pPr>
              <w:jc w:val="center"/>
            </w:pPr>
            <w:r>
              <w:t>2050</w:t>
            </w:r>
          </w:p>
        </w:tc>
        <w:tc>
          <w:tcPr>
            <w:tcW w:w="2256" w:type="dxa"/>
            <w:vAlign w:val="center"/>
          </w:tcPr>
          <w:p w14:paraId="063F304A" w14:textId="77777777" w:rsidR="006D4F0B" w:rsidRDefault="00493F5E">
            <w:pPr>
              <w:jc w:val="center"/>
            </w:pPr>
            <w:r>
              <w:t>2070</w:t>
            </w:r>
          </w:p>
        </w:tc>
      </w:tr>
      <w:tr w:rsidR="006D4F0B" w14:paraId="0C1E559E" w14:textId="77777777">
        <w:tc>
          <w:tcPr>
            <w:tcW w:w="2250" w:type="dxa"/>
          </w:tcPr>
          <w:p w14:paraId="59479756" w14:textId="77777777" w:rsidR="006D4F0B" w:rsidRDefault="00493F5E">
            <w:r>
              <w:t>150 $ per t CO</w:t>
            </w:r>
            <w:r w:rsidRPr="000C22B2">
              <w:rPr>
                <w:vertAlign w:val="subscript"/>
              </w:rPr>
              <w:t>2</w:t>
            </w:r>
          </w:p>
        </w:tc>
        <w:tc>
          <w:tcPr>
            <w:tcW w:w="2254" w:type="dxa"/>
          </w:tcPr>
          <w:p w14:paraId="2A85B348" w14:textId="77777777" w:rsidR="006D4F0B" w:rsidRDefault="00493F5E">
            <w:pPr>
              <w:ind w:right="456"/>
              <w:jc w:val="right"/>
            </w:pPr>
            <w:r>
              <w:t>18.73</w:t>
            </w:r>
          </w:p>
        </w:tc>
        <w:tc>
          <w:tcPr>
            <w:tcW w:w="2256" w:type="dxa"/>
          </w:tcPr>
          <w:p w14:paraId="663BA05A" w14:textId="77777777" w:rsidR="006D4F0B" w:rsidRDefault="00493F5E">
            <w:pPr>
              <w:ind w:right="456"/>
              <w:jc w:val="right"/>
            </w:pPr>
            <w:r>
              <w:t>49.69</w:t>
            </w:r>
          </w:p>
        </w:tc>
        <w:tc>
          <w:tcPr>
            <w:tcW w:w="2256" w:type="dxa"/>
          </w:tcPr>
          <w:p w14:paraId="18839CAD" w14:textId="77777777" w:rsidR="006D4F0B" w:rsidRDefault="00493F5E">
            <w:pPr>
              <w:ind w:right="456"/>
              <w:jc w:val="right"/>
            </w:pPr>
            <w:r>
              <w:t>131.84</w:t>
            </w:r>
          </w:p>
        </w:tc>
      </w:tr>
      <w:tr w:rsidR="006D4F0B" w14:paraId="5DDA728A" w14:textId="77777777">
        <w:tc>
          <w:tcPr>
            <w:tcW w:w="2250" w:type="dxa"/>
          </w:tcPr>
          <w:p w14:paraId="02C74DCB" w14:textId="77777777" w:rsidR="006D4F0B" w:rsidRDefault="00493F5E">
            <w:r>
              <w:t>500 $ per t CO</w:t>
            </w:r>
            <w:r w:rsidRPr="000C22B2">
              <w:rPr>
                <w:vertAlign w:val="subscript"/>
              </w:rPr>
              <w:t>2</w:t>
            </w:r>
          </w:p>
        </w:tc>
        <w:tc>
          <w:tcPr>
            <w:tcW w:w="2254" w:type="dxa"/>
          </w:tcPr>
          <w:p w14:paraId="33000B7C" w14:textId="77777777" w:rsidR="006D4F0B" w:rsidRDefault="00493F5E">
            <w:pPr>
              <w:ind w:right="456"/>
              <w:jc w:val="right"/>
            </w:pPr>
            <w:r>
              <w:t>62.43</w:t>
            </w:r>
          </w:p>
        </w:tc>
        <w:tc>
          <w:tcPr>
            <w:tcW w:w="2256" w:type="dxa"/>
          </w:tcPr>
          <w:p w14:paraId="23C56A5E" w14:textId="77777777" w:rsidR="006D4F0B" w:rsidRDefault="00493F5E">
            <w:pPr>
              <w:ind w:right="456"/>
              <w:jc w:val="right"/>
            </w:pPr>
            <w:r>
              <w:t>165.63</w:t>
            </w:r>
          </w:p>
        </w:tc>
        <w:tc>
          <w:tcPr>
            <w:tcW w:w="2256" w:type="dxa"/>
          </w:tcPr>
          <w:p w14:paraId="678E6C37" w14:textId="77777777" w:rsidR="006D4F0B" w:rsidRDefault="00493F5E">
            <w:pPr>
              <w:ind w:right="456"/>
              <w:jc w:val="right"/>
            </w:pPr>
            <w:r>
              <w:t>439.47</w:t>
            </w:r>
          </w:p>
        </w:tc>
      </w:tr>
    </w:tbl>
    <w:p w14:paraId="2068FBF1" w14:textId="7D3688FE" w:rsidR="006D4F0B" w:rsidRDefault="00493F5E">
      <w:pPr>
        <w:spacing w:before="240"/>
      </w:pPr>
      <w:r>
        <w:t xml:space="preserve">We base our computation of the carbon </w:t>
      </w:r>
      <w:r w:rsidR="005D6CC8">
        <w:t>price</w:t>
      </w:r>
      <w:r>
        <w:t xml:space="preserve"> for methane on the GWP* equation in Lynch et al. (2020), p. 3:</w:t>
      </w:r>
    </w:p>
    <w:p w14:paraId="7695FDED" w14:textId="77777777" w:rsidR="006D4F0B" w:rsidRDefault="00006241">
      <w:pPr>
        <w:jc w:val="center"/>
        <w:rPr>
          <w:rFonts w:ascii="Cambria Math" w:eastAsia="Cambria Math" w:hAnsi="Cambria Math" w:cs="Cambria Math"/>
        </w:rPr>
      </w:pPr>
      <m:oMathPara>
        <m:oMath>
          <m:sSub>
            <m:sSubPr>
              <m:ctrlPr>
                <w:rPr>
                  <w:rFonts w:ascii="Cambria Math" w:eastAsia="Cambria Math" w:hAnsi="Cambria Math" w:cs="Cambria Math"/>
                </w:rPr>
              </m:ctrlPr>
            </m:sSubPr>
            <m:e>
              <m:sSup>
                <m:sSupPr>
                  <m:ctrlPr>
                    <w:rPr>
                      <w:rFonts w:ascii="Cambria Math" w:eastAsia="Cambria Math" w:hAnsi="Cambria Math" w:cs="Cambria Math"/>
                    </w:rPr>
                  </m:ctrlPr>
                </m:sSupPr>
                <m:e>
                  <m:r>
                    <w:rPr>
                      <w:rFonts w:ascii="Cambria Math" w:eastAsia="Cambria Math" w:hAnsi="Cambria Math" w:cs="Cambria Math"/>
                    </w:rPr>
                    <m:t>GWP</m:t>
                  </m:r>
                </m:e>
                <m:sup>
                  <m:r>
                    <w:rPr>
                      <w:rFonts w:ascii="Cambria Math" w:eastAsia="Cambria Math" w:hAnsi="Cambria Math" w:cs="Cambria Math"/>
                    </w:rPr>
                    <m:t>*</m:t>
                  </m:r>
                </m:sup>
              </m:sSup>
            </m:e>
            <m:sub>
              <m:r>
                <w:rPr>
                  <w:rFonts w:ascii="Cambria Math" w:eastAsia="Cambria Math" w:hAnsi="Cambria Math" w:cs="Cambria Math"/>
                </w:rPr>
                <m:t>t</m:t>
              </m:r>
            </m:sub>
          </m:sSub>
          <m:r>
            <w:rPr>
              <w:rFonts w:ascii="Cambria Math" w:eastAsia="Cambria Math" w:hAnsi="Cambria Math" w:cs="Cambria Math"/>
            </w:rPr>
            <m:t>=</m:t>
          </m:r>
          <m:d>
            <m:dPr>
              <m:ctrlPr>
                <w:rPr>
                  <w:rFonts w:ascii="Cambria Math" w:eastAsia="Cambria Math" w:hAnsi="Cambria Math" w:cs="Cambria Math"/>
                </w:rPr>
              </m:ctrlPr>
            </m:dPr>
            <m:e>
              <m:r>
                <w:rPr>
                  <w:rFonts w:ascii="Cambria Math" w:eastAsia="Cambria Math" w:hAnsi="Cambria Math" w:cs="Cambria Math"/>
                </w:rPr>
                <m:t>4 ×</m:t>
              </m:r>
              <m:sSub>
                <m:sSubPr>
                  <m:ctrlPr>
                    <w:rPr>
                      <w:rFonts w:ascii="Cambria Math" w:eastAsia="Cambria Math" w:hAnsi="Cambria Math" w:cs="Cambria Math"/>
                    </w:rPr>
                  </m:ctrlPr>
                </m:sSubPr>
                <m:e>
                  <m:r>
                    <w:rPr>
                      <w:rFonts w:ascii="Cambria Math" w:eastAsia="Cambria Math" w:hAnsi="Cambria Math" w:cs="Cambria Math"/>
                    </w:rPr>
                    <m:t>E</m:t>
                  </m:r>
                </m:e>
                <m:sub>
                  <m:r>
                    <w:rPr>
                      <w:rFonts w:ascii="Cambria Math" w:eastAsia="Cambria Math" w:hAnsi="Cambria Math" w:cs="Cambria Math"/>
                    </w:rPr>
                    <m:t>SLCP</m:t>
                  </m:r>
                  <m:d>
                    <m:dPr>
                      <m:ctrlPr>
                        <w:rPr>
                          <w:rFonts w:ascii="Cambria Math" w:eastAsia="Cambria Math" w:hAnsi="Cambria Math" w:cs="Cambria Math"/>
                        </w:rPr>
                      </m:ctrlPr>
                    </m:dPr>
                    <m:e>
                      <m:r>
                        <w:rPr>
                          <w:rFonts w:ascii="Cambria Math" w:eastAsia="Cambria Math" w:hAnsi="Cambria Math" w:cs="Cambria Math"/>
                        </w:rPr>
                        <m:t>t</m:t>
                      </m:r>
                    </m:e>
                  </m:d>
                </m:sub>
              </m:sSub>
              <m:r>
                <w:rPr>
                  <w:rFonts w:ascii="Cambria Math" w:eastAsia="Cambria Math" w:hAnsi="Cambria Math" w:cs="Cambria Math"/>
                </w:rPr>
                <m:t>-3.75 ×</m:t>
              </m:r>
              <m:sSub>
                <m:sSubPr>
                  <m:ctrlPr>
                    <w:rPr>
                      <w:rFonts w:ascii="Cambria Math" w:eastAsia="Cambria Math" w:hAnsi="Cambria Math" w:cs="Cambria Math"/>
                    </w:rPr>
                  </m:ctrlPr>
                </m:sSubPr>
                <m:e>
                  <m:r>
                    <w:rPr>
                      <w:rFonts w:ascii="Cambria Math" w:eastAsia="Cambria Math" w:hAnsi="Cambria Math" w:cs="Cambria Math"/>
                    </w:rPr>
                    <m:t>E</m:t>
                  </m:r>
                </m:e>
                <m:sub>
                  <m:r>
                    <w:rPr>
                      <w:rFonts w:ascii="Cambria Math" w:eastAsia="Cambria Math" w:hAnsi="Cambria Math" w:cs="Cambria Math"/>
                    </w:rPr>
                    <m:t>SLCP</m:t>
                  </m:r>
                  <m:d>
                    <m:dPr>
                      <m:ctrlPr>
                        <w:rPr>
                          <w:rFonts w:ascii="Cambria Math" w:eastAsia="Cambria Math" w:hAnsi="Cambria Math" w:cs="Cambria Math"/>
                        </w:rPr>
                      </m:ctrlPr>
                    </m:dPr>
                    <m:e>
                      <m:r>
                        <w:rPr>
                          <w:rFonts w:ascii="Cambria Math" w:eastAsia="Cambria Math" w:hAnsi="Cambria Math" w:cs="Cambria Math"/>
                        </w:rPr>
                        <m:t>t-20</m:t>
                      </m:r>
                    </m:e>
                  </m:d>
                </m:sub>
              </m:sSub>
            </m:e>
          </m:d>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GWP</m:t>
              </m:r>
            </m:e>
            <m:sub>
              <m:r>
                <w:rPr>
                  <w:rFonts w:ascii="Cambria Math" w:eastAsia="Cambria Math" w:hAnsi="Cambria Math" w:cs="Cambria Math"/>
                </w:rPr>
                <m:t>100</m:t>
              </m:r>
            </m:sub>
          </m:sSub>
        </m:oMath>
      </m:oMathPara>
    </w:p>
    <w:p w14:paraId="733B61D5" w14:textId="77777777" w:rsidR="006D4F0B" w:rsidRDefault="00493F5E">
      <w:r>
        <w:t xml:space="preserve">where </w:t>
      </w:r>
      <w:r>
        <w:rPr>
          <w:i/>
        </w:rPr>
        <w:t>GWP</w:t>
      </w:r>
      <w:r>
        <w:rPr>
          <w:i/>
          <w:vertAlign w:val="superscript"/>
        </w:rPr>
        <w:t>*</w:t>
      </w:r>
      <w:r>
        <w:rPr>
          <w:i/>
          <w:vertAlign w:val="subscript"/>
        </w:rPr>
        <w:t>t</w:t>
      </w:r>
      <w:r>
        <w:t xml:space="preserve"> measures the global warming potential of methane depending on emitted methane in </w:t>
      </w:r>
      <w:r>
        <w:rPr>
          <w:i/>
        </w:rPr>
        <w:t>t</w:t>
      </w:r>
      <w:r>
        <w:t xml:space="preserve"> and emitted methane 20 years before (</w:t>
      </w:r>
      <w:r>
        <w:rPr>
          <w:i/>
        </w:rPr>
        <w:t>t-20</w:t>
      </w:r>
      <w:r>
        <w:t xml:space="preserve">). Emitted methane in </w:t>
      </w:r>
      <w:r>
        <w:rPr>
          <w:i/>
        </w:rPr>
        <w:t>t</w:t>
      </w:r>
      <w:r>
        <w:t xml:space="preserve"> appears a second time in the calculation of </w:t>
      </w:r>
      <w:r>
        <w:rPr>
          <w:i/>
        </w:rPr>
        <w:t>GWP*</w:t>
      </w:r>
      <w:r>
        <w:t xml:space="preserve"> in </w:t>
      </w:r>
      <w:r>
        <w:rPr>
          <w:i/>
        </w:rPr>
        <w:t>t+20</w:t>
      </w:r>
      <w:r>
        <w:t>:</w:t>
      </w:r>
    </w:p>
    <w:p w14:paraId="48252895" w14:textId="77777777" w:rsidR="006D4F0B" w:rsidRDefault="00006241">
      <w:pPr>
        <w:jc w:val="center"/>
        <w:rPr>
          <w:rFonts w:ascii="Cambria Math" w:eastAsia="Cambria Math" w:hAnsi="Cambria Math" w:cs="Cambria Math"/>
        </w:rPr>
      </w:pPr>
      <m:oMathPara>
        <m:oMath>
          <m:sSub>
            <m:sSubPr>
              <m:ctrlPr>
                <w:rPr>
                  <w:rFonts w:ascii="Cambria Math" w:eastAsia="Cambria Math" w:hAnsi="Cambria Math" w:cs="Cambria Math"/>
                </w:rPr>
              </m:ctrlPr>
            </m:sSubPr>
            <m:e>
              <m:sSup>
                <m:sSupPr>
                  <m:ctrlPr>
                    <w:rPr>
                      <w:rFonts w:ascii="Cambria Math" w:eastAsia="Cambria Math" w:hAnsi="Cambria Math" w:cs="Cambria Math"/>
                    </w:rPr>
                  </m:ctrlPr>
                </m:sSupPr>
                <m:e>
                  <m:r>
                    <w:rPr>
                      <w:rFonts w:ascii="Cambria Math" w:eastAsia="Cambria Math" w:hAnsi="Cambria Math" w:cs="Cambria Math"/>
                    </w:rPr>
                    <m:t>GWP</m:t>
                  </m:r>
                </m:e>
                <m:sup>
                  <m:r>
                    <w:rPr>
                      <w:rFonts w:ascii="Cambria Math" w:eastAsia="Cambria Math" w:hAnsi="Cambria Math" w:cs="Cambria Math"/>
                    </w:rPr>
                    <m:t>*</m:t>
                  </m:r>
                </m:sup>
              </m:sSup>
            </m:e>
            <m:sub>
              <m:r>
                <w:rPr>
                  <w:rFonts w:ascii="Cambria Math" w:eastAsia="Cambria Math" w:hAnsi="Cambria Math" w:cs="Cambria Math"/>
                </w:rPr>
                <m:t>t+20</m:t>
              </m:r>
            </m:sub>
          </m:sSub>
          <m:r>
            <w:rPr>
              <w:rFonts w:ascii="Cambria Math" w:eastAsia="Cambria Math" w:hAnsi="Cambria Math" w:cs="Cambria Math"/>
            </w:rPr>
            <m:t>=</m:t>
          </m:r>
          <m:d>
            <m:dPr>
              <m:ctrlPr>
                <w:rPr>
                  <w:rFonts w:ascii="Cambria Math" w:eastAsia="Cambria Math" w:hAnsi="Cambria Math" w:cs="Cambria Math"/>
                </w:rPr>
              </m:ctrlPr>
            </m:dPr>
            <m:e>
              <m:r>
                <w:rPr>
                  <w:rFonts w:ascii="Cambria Math" w:eastAsia="Cambria Math" w:hAnsi="Cambria Math" w:cs="Cambria Math"/>
                </w:rPr>
                <m:t>4 ×</m:t>
              </m:r>
              <m:sSub>
                <m:sSubPr>
                  <m:ctrlPr>
                    <w:rPr>
                      <w:rFonts w:ascii="Cambria Math" w:eastAsia="Cambria Math" w:hAnsi="Cambria Math" w:cs="Cambria Math"/>
                    </w:rPr>
                  </m:ctrlPr>
                </m:sSubPr>
                <m:e>
                  <m:r>
                    <w:rPr>
                      <w:rFonts w:ascii="Cambria Math" w:eastAsia="Cambria Math" w:hAnsi="Cambria Math" w:cs="Cambria Math"/>
                    </w:rPr>
                    <m:t>E</m:t>
                  </m:r>
                </m:e>
                <m:sub>
                  <m:r>
                    <w:rPr>
                      <w:rFonts w:ascii="Cambria Math" w:eastAsia="Cambria Math" w:hAnsi="Cambria Math" w:cs="Cambria Math"/>
                    </w:rPr>
                    <m:t>SLCP</m:t>
                  </m:r>
                  <m:d>
                    <m:dPr>
                      <m:ctrlPr>
                        <w:rPr>
                          <w:rFonts w:ascii="Cambria Math" w:eastAsia="Cambria Math" w:hAnsi="Cambria Math" w:cs="Cambria Math"/>
                        </w:rPr>
                      </m:ctrlPr>
                    </m:dPr>
                    <m:e>
                      <m:r>
                        <w:rPr>
                          <w:rFonts w:ascii="Cambria Math" w:eastAsia="Cambria Math" w:hAnsi="Cambria Math" w:cs="Cambria Math"/>
                        </w:rPr>
                        <m:t>t+20</m:t>
                      </m:r>
                    </m:e>
                  </m:d>
                </m:sub>
              </m:sSub>
              <m:r>
                <w:rPr>
                  <w:rFonts w:ascii="Cambria Math" w:eastAsia="Cambria Math" w:hAnsi="Cambria Math" w:cs="Cambria Math"/>
                </w:rPr>
                <m:t>-3.75 ×</m:t>
              </m:r>
              <m:sSub>
                <m:sSubPr>
                  <m:ctrlPr>
                    <w:rPr>
                      <w:rFonts w:ascii="Cambria Math" w:eastAsia="Cambria Math" w:hAnsi="Cambria Math" w:cs="Cambria Math"/>
                    </w:rPr>
                  </m:ctrlPr>
                </m:sSubPr>
                <m:e>
                  <m:r>
                    <w:rPr>
                      <w:rFonts w:ascii="Cambria Math" w:eastAsia="Cambria Math" w:hAnsi="Cambria Math" w:cs="Cambria Math"/>
                    </w:rPr>
                    <m:t>E</m:t>
                  </m:r>
                </m:e>
                <m:sub>
                  <m:r>
                    <w:rPr>
                      <w:rFonts w:ascii="Cambria Math" w:eastAsia="Cambria Math" w:hAnsi="Cambria Math" w:cs="Cambria Math"/>
                    </w:rPr>
                    <m:t>SLCP</m:t>
                  </m:r>
                  <m:d>
                    <m:dPr>
                      <m:ctrlPr>
                        <w:rPr>
                          <w:rFonts w:ascii="Cambria Math" w:eastAsia="Cambria Math" w:hAnsi="Cambria Math" w:cs="Cambria Math"/>
                        </w:rPr>
                      </m:ctrlPr>
                    </m:dPr>
                    <m:e>
                      <m:r>
                        <w:rPr>
                          <w:rFonts w:ascii="Cambria Math" w:eastAsia="Cambria Math" w:hAnsi="Cambria Math" w:cs="Cambria Math"/>
                        </w:rPr>
                        <m:t>t</m:t>
                      </m:r>
                    </m:e>
                  </m:d>
                </m:sub>
              </m:sSub>
            </m:e>
          </m:d>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GWP</m:t>
              </m:r>
            </m:e>
            <m:sub>
              <m:r>
                <w:rPr>
                  <w:rFonts w:ascii="Cambria Math" w:eastAsia="Cambria Math" w:hAnsi="Cambria Math" w:cs="Cambria Math"/>
                </w:rPr>
                <m:t>100</m:t>
              </m:r>
            </m:sub>
          </m:sSub>
        </m:oMath>
      </m:oMathPara>
    </w:p>
    <w:p w14:paraId="5492ADE0" w14:textId="5AEBCE0E" w:rsidR="006D4F0B" w:rsidRDefault="00493F5E">
      <w:r>
        <w:t xml:space="preserve">Assuming a carbon </w:t>
      </w:r>
      <w:r w:rsidR="005D6CC8">
        <w:t>price</w:t>
      </w:r>
      <w:r>
        <w:t xml:space="preserve"> rate </w:t>
      </w:r>
      <w:proofErr w:type="spellStart"/>
      <w:r>
        <w:rPr>
          <w:i/>
        </w:rPr>
        <w:t>C</w:t>
      </w:r>
      <w:r w:rsidR="005D6CC8">
        <w:rPr>
          <w:i/>
        </w:rPr>
        <w:t>P</w:t>
      </w:r>
      <w:r>
        <w:rPr>
          <w:i/>
        </w:rPr>
        <w:t>R</w:t>
      </w:r>
      <w:r>
        <w:rPr>
          <w:i/>
          <w:vertAlign w:val="subscript"/>
        </w:rPr>
        <w:t>t</w:t>
      </w:r>
      <w:proofErr w:type="spellEnd"/>
      <w:r>
        <w:t xml:space="preserve">, a given methane emission </w:t>
      </w:r>
      <w:proofErr w:type="gramStart"/>
      <w:r>
        <w:rPr>
          <w:i/>
        </w:rPr>
        <w:t>E</w:t>
      </w:r>
      <w:r>
        <w:rPr>
          <w:i/>
          <w:vertAlign w:val="subscript"/>
        </w:rPr>
        <w:t>SLCP(</w:t>
      </w:r>
      <w:proofErr w:type="gramEnd"/>
      <w:r>
        <w:rPr>
          <w:i/>
          <w:vertAlign w:val="subscript"/>
        </w:rPr>
        <w:t>t)</w:t>
      </w:r>
      <w:r>
        <w:t xml:space="preserve"> in </w:t>
      </w:r>
      <w:r>
        <w:rPr>
          <w:i/>
        </w:rPr>
        <w:t>t</w:t>
      </w:r>
      <w:r>
        <w:t xml:space="preserve"> is taxed twice and the total amount </w:t>
      </w:r>
      <w:proofErr w:type="spellStart"/>
      <w:r>
        <w:rPr>
          <w:i/>
        </w:rPr>
        <w:t>C</w:t>
      </w:r>
      <w:r w:rsidR="005D6CC8">
        <w:rPr>
          <w:i/>
        </w:rPr>
        <w:t>P</w:t>
      </w:r>
      <w:r>
        <w:rPr>
          <w:i/>
          <w:vertAlign w:val="subscript"/>
        </w:rPr>
        <w:t>t</w:t>
      </w:r>
      <w:proofErr w:type="spellEnd"/>
      <w:r>
        <w:t xml:space="preserve"> of that emission is given by: </w:t>
      </w:r>
    </w:p>
    <w:p w14:paraId="1A254ABC" w14:textId="1E0B0806" w:rsidR="006D4F0B" w:rsidRDefault="00493F5E">
      <w:pPr>
        <w:jc w:val="center"/>
        <w:rPr>
          <w:rFonts w:ascii="Cambria Math" w:eastAsia="Cambria Math" w:hAnsi="Cambria Math" w:cs="Cambria Math"/>
        </w:rPr>
      </w:pPr>
      <m:oMathPara>
        <m:oMath>
          <m:r>
            <w:rPr>
              <w:rFonts w:ascii="Cambria Math" w:eastAsia="Cambria Math" w:hAnsi="Cambria Math" w:cs="Cambria Math"/>
            </w:rPr>
            <m:t>C</m:t>
          </m:r>
          <m:sSub>
            <m:sSubPr>
              <m:ctrlPr>
                <w:rPr>
                  <w:rFonts w:ascii="Cambria Math" w:eastAsia="Cambria Math" w:hAnsi="Cambria Math" w:cs="Cambria Math"/>
                </w:rPr>
              </m:ctrlPr>
            </m:sSubPr>
            <m:e>
              <m:r>
                <w:rPr>
                  <w:rFonts w:ascii="Cambria Math" w:eastAsia="Cambria Math" w:hAnsi="Cambria Math" w:cs="Cambria Math"/>
                </w:rPr>
                <m:t>P</m:t>
              </m:r>
            </m:e>
            <m:sub>
              <m:r>
                <w:rPr>
                  <w:rFonts w:ascii="Cambria Math" w:eastAsia="Cambria Math" w:hAnsi="Cambria Math" w:cs="Cambria Math"/>
                </w:rPr>
                <m:t>t</m:t>
              </m:r>
            </m:sub>
          </m:sSub>
          <m:r>
            <w:rPr>
              <w:rFonts w:ascii="Cambria Math" w:eastAsia="Cambria Math" w:hAnsi="Cambria Math" w:cs="Cambria Math"/>
            </w:rPr>
            <m:t>=</m:t>
          </m:r>
          <m:d>
            <m:dPr>
              <m:ctrlPr>
                <w:rPr>
                  <w:rFonts w:ascii="Cambria Math" w:eastAsia="Cambria Math" w:hAnsi="Cambria Math" w:cs="Cambria Math"/>
                </w:rPr>
              </m:ctrlPr>
            </m:dPr>
            <m:e>
              <m:r>
                <w:rPr>
                  <w:rFonts w:ascii="Cambria Math" w:eastAsia="Cambria Math" w:hAnsi="Cambria Math" w:cs="Cambria Math"/>
                </w:rPr>
                <m:t>4 ×</m:t>
              </m:r>
              <m:sSub>
                <m:sSubPr>
                  <m:ctrlPr>
                    <w:rPr>
                      <w:rFonts w:ascii="Cambria Math" w:eastAsia="Cambria Math" w:hAnsi="Cambria Math" w:cs="Cambria Math"/>
                    </w:rPr>
                  </m:ctrlPr>
                </m:sSubPr>
                <m:e>
                  <m:r>
                    <w:rPr>
                      <w:rFonts w:ascii="Cambria Math" w:eastAsia="Cambria Math" w:hAnsi="Cambria Math" w:cs="Cambria Math"/>
                    </w:rPr>
                    <m:t>E</m:t>
                  </m:r>
                </m:e>
                <m:sub>
                  <m:r>
                    <w:rPr>
                      <w:rFonts w:ascii="Cambria Math" w:eastAsia="Cambria Math" w:hAnsi="Cambria Math" w:cs="Cambria Math"/>
                    </w:rPr>
                    <m:t>SLCP</m:t>
                  </m:r>
                  <m:d>
                    <m:dPr>
                      <m:ctrlPr>
                        <w:rPr>
                          <w:rFonts w:ascii="Cambria Math" w:eastAsia="Cambria Math" w:hAnsi="Cambria Math" w:cs="Cambria Math"/>
                        </w:rPr>
                      </m:ctrlPr>
                    </m:dPr>
                    <m:e>
                      <m:r>
                        <w:rPr>
                          <w:rFonts w:ascii="Cambria Math" w:eastAsia="Cambria Math" w:hAnsi="Cambria Math" w:cs="Cambria Math"/>
                        </w:rPr>
                        <m:t>t</m:t>
                      </m:r>
                    </m:e>
                  </m:d>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CPR</m:t>
                  </m:r>
                </m:e>
                <m:sub>
                  <m:r>
                    <w:rPr>
                      <w:rFonts w:ascii="Cambria Math" w:eastAsia="Cambria Math" w:hAnsi="Cambria Math" w:cs="Cambria Math"/>
                    </w:rPr>
                    <m:t>t</m:t>
                  </m:r>
                </m:sub>
              </m:sSub>
              <m:r>
                <w:rPr>
                  <w:rFonts w:ascii="Cambria Math" w:eastAsia="Cambria Math" w:hAnsi="Cambria Math" w:cs="Cambria Math"/>
                </w:rPr>
                <m:t>-3.75 ×</m:t>
              </m:r>
              <m:sSub>
                <m:sSubPr>
                  <m:ctrlPr>
                    <w:rPr>
                      <w:rFonts w:ascii="Cambria Math" w:eastAsia="Cambria Math" w:hAnsi="Cambria Math" w:cs="Cambria Math"/>
                    </w:rPr>
                  </m:ctrlPr>
                </m:sSubPr>
                <m:e>
                  <m:r>
                    <w:rPr>
                      <w:rFonts w:ascii="Cambria Math" w:eastAsia="Cambria Math" w:hAnsi="Cambria Math" w:cs="Cambria Math"/>
                    </w:rPr>
                    <m:t>E</m:t>
                  </m:r>
                </m:e>
                <m:sub>
                  <m:r>
                    <w:rPr>
                      <w:rFonts w:ascii="Cambria Math" w:eastAsia="Cambria Math" w:hAnsi="Cambria Math" w:cs="Cambria Math"/>
                    </w:rPr>
                    <m:t>SLCP</m:t>
                  </m:r>
                  <m:d>
                    <m:dPr>
                      <m:ctrlPr>
                        <w:rPr>
                          <w:rFonts w:ascii="Cambria Math" w:eastAsia="Cambria Math" w:hAnsi="Cambria Math" w:cs="Cambria Math"/>
                        </w:rPr>
                      </m:ctrlPr>
                    </m:dPr>
                    <m:e>
                      <m:r>
                        <w:rPr>
                          <w:rFonts w:ascii="Cambria Math" w:eastAsia="Cambria Math" w:hAnsi="Cambria Math" w:cs="Cambria Math"/>
                        </w:rPr>
                        <m:t>t</m:t>
                      </m:r>
                    </m:e>
                  </m:d>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CPR</m:t>
                  </m:r>
                </m:e>
                <m:sub>
                  <m:r>
                    <w:rPr>
                      <w:rFonts w:ascii="Cambria Math" w:eastAsia="Cambria Math" w:hAnsi="Cambria Math" w:cs="Cambria Math"/>
                    </w:rPr>
                    <m:t>t+20</m:t>
                  </m:r>
                </m:sub>
              </m:sSub>
            </m:e>
          </m:d>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GWP</m:t>
              </m:r>
            </m:e>
            <m:sub>
              <m:r>
                <w:rPr>
                  <w:rFonts w:ascii="Cambria Math" w:eastAsia="Cambria Math" w:hAnsi="Cambria Math" w:cs="Cambria Math"/>
                </w:rPr>
                <m:t>100</m:t>
              </m:r>
            </m:sub>
          </m:sSub>
        </m:oMath>
      </m:oMathPara>
    </w:p>
    <w:p w14:paraId="23B0D867" w14:textId="49752A3A" w:rsidR="006D4F0B" w:rsidRDefault="00493F5E">
      <w:r>
        <w:t xml:space="preserve">Since the path of the carbon </w:t>
      </w:r>
      <w:r w:rsidR="005D6CC8">
        <w:t>price</w:t>
      </w:r>
      <w:r>
        <w:t xml:space="preserve"> follows the discount rate, the carbon </w:t>
      </w:r>
      <w:r w:rsidR="005D6CC8">
        <w:t>price</w:t>
      </w:r>
      <w:r>
        <w:t xml:space="preserve"> rate in real prices remains the same in all years, </w:t>
      </w:r>
      <w:r>
        <w:rPr>
          <w:i/>
        </w:rPr>
        <w:t>C</w:t>
      </w:r>
      <w:r w:rsidR="005D6CC8">
        <w:rPr>
          <w:i/>
        </w:rPr>
        <w:t>P</w:t>
      </w:r>
      <w:r>
        <w:rPr>
          <w:i/>
          <w:vertAlign w:val="subscript"/>
        </w:rPr>
        <w:t>t+20</w:t>
      </w:r>
      <w:r>
        <w:t xml:space="preserve"> = </w:t>
      </w:r>
      <w:proofErr w:type="spellStart"/>
      <w:r>
        <w:rPr>
          <w:i/>
        </w:rPr>
        <w:t>C</w:t>
      </w:r>
      <w:r w:rsidR="005D6CC8">
        <w:rPr>
          <w:i/>
        </w:rPr>
        <w:t>P</w:t>
      </w:r>
      <w:r>
        <w:rPr>
          <w:i/>
          <w:vertAlign w:val="subscript"/>
        </w:rPr>
        <w:t>t</w:t>
      </w:r>
      <w:r>
        <w:t>.</w:t>
      </w:r>
      <w:proofErr w:type="spellEnd"/>
    </w:p>
    <w:p w14:paraId="526AB38B" w14:textId="6F09EDFF" w:rsidR="006D4F0B" w:rsidRDefault="00493F5E">
      <w:r>
        <w:t xml:space="preserve">The </w:t>
      </w:r>
      <w:r w:rsidR="00E04D30">
        <w:t>MEF-ST</w:t>
      </w:r>
      <w:r>
        <w:t xml:space="preserve"> option of the carbon </w:t>
      </w:r>
      <w:r w:rsidR="005D6CC8">
        <w:t>price</w:t>
      </w:r>
      <w:r>
        <w:t xml:space="preserve"> disregards the flow term, i.e., the </w:t>
      </w:r>
      <w:r w:rsidR="005D6CC8">
        <w:t xml:space="preserve">price </w:t>
      </w:r>
      <w:r>
        <w:t xml:space="preserve">reward 20 years after the emission occurred. Therefore, the carbon </w:t>
      </w:r>
      <w:r w:rsidR="005D6CC8">
        <w:t>price</w:t>
      </w:r>
      <w:r>
        <w:t xml:space="preserve"> of a methane emission in </w:t>
      </w:r>
      <w:r>
        <w:rPr>
          <w:i/>
        </w:rPr>
        <w:t>t</w:t>
      </w:r>
      <w:r>
        <w:t xml:space="preserve"> defined as € per </w:t>
      </w:r>
      <w:proofErr w:type="gramStart"/>
      <w:r>
        <w:t>t</w:t>
      </w:r>
      <w:proofErr w:type="gramEnd"/>
      <w:r>
        <w:t xml:space="preserve"> </w:t>
      </w:r>
      <w:r>
        <w:rPr>
          <w:i/>
        </w:rPr>
        <w:t>CH</w:t>
      </w:r>
      <w:r>
        <w:rPr>
          <w:i/>
          <w:vertAlign w:val="subscript"/>
        </w:rPr>
        <w:t>4</w:t>
      </w:r>
      <w:r>
        <w:t xml:space="preserve"> becomes:</w:t>
      </w:r>
    </w:p>
    <w:p w14:paraId="6276CA50" w14:textId="6A399647" w:rsidR="006D4F0B" w:rsidRDefault="00493F5E">
      <w:pPr>
        <w:jc w:val="center"/>
        <w:rPr>
          <w:rFonts w:ascii="Cambria Math" w:eastAsia="Cambria Math" w:hAnsi="Cambria Math" w:cs="Cambria Math"/>
        </w:rPr>
      </w:pPr>
      <m:oMathPara>
        <m:oMath>
          <m:r>
            <w:rPr>
              <w:rFonts w:ascii="Cambria Math" w:eastAsia="Cambria Math" w:hAnsi="Cambria Math" w:cs="Cambria Math"/>
            </w:rPr>
            <m:t>C</m:t>
          </m:r>
          <m:sSub>
            <m:sSubPr>
              <m:ctrlPr>
                <w:rPr>
                  <w:rFonts w:ascii="Cambria Math" w:eastAsia="Cambria Math" w:hAnsi="Cambria Math" w:cs="Cambria Math"/>
                </w:rPr>
              </m:ctrlPr>
            </m:sSubPr>
            <m:e>
              <m:r>
                <w:rPr>
                  <w:rFonts w:ascii="Cambria Math" w:eastAsia="Cambria Math" w:hAnsi="Cambria Math" w:cs="Cambria Math"/>
                </w:rPr>
                <m:t>P</m:t>
              </m:r>
            </m:e>
            <m:sub>
              <m:r>
                <w:rPr>
                  <w:rFonts w:ascii="Cambria Math" w:eastAsia="Cambria Math" w:hAnsi="Cambria Math" w:cs="Cambria Math"/>
                </w:rPr>
                <m:t>t</m:t>
              </m:r>
            </m:sub>
          </m:sSub>
          <m:d>
            <m:dPr>
              <m:ctrlPr>
                <w:rPr>
                  <w:rFonts w:ascii="Cambria Math" w:eastAsia="Cambria Math" w:hAnsi="Cambria Math" w:cs="Cambria Math"/>
                </w:rPr>
              </m:ctrlPr>
            </m:dPr>
            <m:e>
              <m:r>
                <w:rPr>
                  <w:rFonts w:ascii="Cambria Math" w:eastAsia="Cambria Math" w:hAnsi="Cambria Math" w:cs="Cambria Math"/>
                </w:rPr>
                <m:t>"short-term"</m:t>
              </m:r>
            </m:e>
          </m:d>
          <m:r>
            <w:rPr>
              <w:rFonts w:ascii="Cambria Math" w:eastAsia="Cambria Math" w:hAnsi="Cambria Math" w:cs="Cambria Math"/>
            </w:rPr>
            <m:t>=</m:t>
          </m:r>
          <m:d>
            <m:dPr>
              <m:ctrlPr>
                <w:rPr>
                  <w:rFonts w:ascii="Cambria Math" w:eastAsia="Cambria Math" w:hAnsi="Cambria Math" w:cs="Cambria Math"/>
                </w:rPr>
              </m:ctrlPr>
            </m:dPr>
            <m:e>
              <m:r>
                <w:rPr>
                  <w:rFonts w:ascii="Cambria Math" w:eastAsia="Cambria Math" w:hAnsi="Cambria Math" w:cs="Cambria Math"/>
                </w:rPr>
                <m:t>4 ×</m:t>
              </m:r>
              <m:sSub>
                <m:sSubPr>
                  <m:ctrlPr>
                    <w:rPr>
                      <w:rFonts w:ascii="Cambria Math" w:eastAsia="Cambria Math" w:hAnsi="Cambria Math" w:cs="Cambria Math"/>
                    </w:rPr>
                  </m:ctrlPr>
                </m:sSubPr>
                <m:e>
                  <m:r>
                    <w:rPr>
                      <w:rFonts w:ascii="Cambria Math" w:eastAsia="Cambria Math" w:hAnsi="Cambria Math" w:cs="Cambria Math"/>
                    </w:rPr>
                    <m:t>E</m:t>
                  </m:r>
                </m:e>
                <m:sub>
                  <m:r>
                    <w:rPr>
                      <w:rFonts w:ascii="Cambria Math" w:eastAsia="Cambria Math" w:hAnsi="Cambria Math" w:cs="Cambria Math"/>
                    </w:rPr>
                    <m:t>SLCP</m:t>
                  </m:r>
                  <m:d>
                    <m:dPr>
                      <m:ctrlPr>
                        <w:rPr>
                          <w:rFonts w:ascii="Cambria Math" w:eastAsia="Cambria Math" w:hAnsi="Cambria Math" w:cs="Cambria Math"/>
                        </w:rPr>
                      </m:ctrlPr>
                    </m:dPr>
                    <m:e>
                      <m:r>
                        <w:rPr>
                          <w:rFonts w:ascii="Cambria Math" w:eastAsia="Cambria Math" w:hAnsi="Cambria Math" w:cs="Cambria Math"/>
                        </w:rPr>
                        <m:t>t</m:t>
                      </m:r>
                    </m:e>
                  </m:d>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CPR</m:t>
                  </m:r>
                </m:e>
                <m:sub>
                  <m:r>
                    <w:rPr>
                      <w:rFonts w:ascii="Cambria Math" w:eastAsia="Cambria Math" w:hAnsi="Cambria Math" w:cs="Cambria Math"/>
                    </w:rPr>
                    <m:t>t</m:t>
                  </m:r>
                </m:sub>
              </m:sSub>
            </m:e>
          </m:d>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GWP</m:t>
              </m:r>
            </m:e>
            <m:sub>
              <m:r>
                <w:rPr>
                  <w:rFonts w:ascii="Cambria Math" w:eastAsia="Cambria Math" w:hAnsi="Cambria Math" w:cs="Cambria Math"/>
                </w:rPr>
                <m:t>100</m:t>
              </m:r>
            </m:sub>
          </m:sSub>
        </m:oMath>
      </m:oMathPara>
    </w:p>
    <w:p w14:paraId="023C51B5" w14:textId="073B2E11" w:rsidR="006D4F0B" w:rsidRDefault="00493F5E">
      <w:r>
        <w:t xml:space="preserve">The </w:t>
      </w:r>
      <w:r w:rsidR="005D6CC8">
        <w:t>long-term</w:t>
      </w:r>
      <w:r>
        <w:t xml:space="preserve"> option of the carbon </w:t>
      </w:r>
      <w:r w:rsidR="005D6CC8">
        <w:t>price</w:t>
      </w:r>
      <w:r>
        <w:t xml:space="preserve"> regards both terms, and the carbon </w:t>
      </w:r>
      <w:r w:rsidR="005D6CC8">
        <w:t>price</w:t>
      </w:r>
      <w:r>
        <w:t xml:space="preserve"> of a methane emission in </w:t>
      </w:r>
      <w:r>
        <w:rPr>
          <w:i/>
        </w:rPr>
        <w:t>t</w:t>
      </w:r>
      <w:r>
        <w:t xml:space="preserve"> defined as € per </w:t>
      </w:r>
      <w:proofErr w:type="gramStart"/>
      <w:r>
        <w:t>t</w:t>
      </w:r>
      <w:proofErr w:type="gramEnd"/>
      <w:r>
        <w:t xml:space="preserve"> </w:t>
      </w:r>
      <w:r>
        <w:rPr>
          <w:i/>
        </w:rPr>
        <w:t>CH</w:t>
      </w:r>
      <w:r>
        <w:rPr>
          <w:i/>
          <w:vertAlign w:val="subscript"/>
        </w:rPr>
        <w:t>4</w:t>
      </w:r>
      <w:r>
        <w:t xml:space="preserve"> is computed as:</w:t>
      </w:r>
    </w:p>
    <w:p w14:paraId="5F173CC8" w14:textId="232491DF" w:rsidR="006D4F0B" w:rsidRDefault="00493F5E">
      <w:pPr>
        <w:jc w:val="center"/>
        <w:rPr>
          <w:rFonts w:ascii="Cambria Math" w:eastAsia="Cambria Math" w:hAnsi="Cambria Math" w:cs="Cambria Math"/>
        </w:rPr>
      </w:pPr>
      <m:oMathPara>
        <m:oMath>
          <m:r>
            <w:rPr>
              <w:rFonts w:ascii="Cambria Math" w:eastAsia="Cambria Math" w:hAnsi="Cambria Math" w:cs="Cambria Math"/>
            </w:rPr>
            <m:t>C</m:t>
          </m:r>
          <m:sSub>
            <m:sSubPr>
              <m:ctrlPr>
                <w:rPr>
                  <w:rFonts w:ascii="Cambria Math" w:eastAsia="Cambria Math" w:hAnsi="Cambria Math" w:cs="Cambria Math"/>
                </w:rPr>
              </m:ctrlPr>
            </m:sSubPr>
            <m:e>
              <m:r>
                <w:rPr>
                  <w:rFonts w:ascii="Cambria Math" w:eastAsia="Cambria Math" w:hAnsi="Cambria Math" w:cs="Cambria Math"/>
                </w:rPr>
                <m:t>P</m:t>
              </m:r>
            </m:e>
            <m:sub>
              <m:r>
                <w:rPr>
                  <w:rFonts w:ascii="Cambria Math" w:eastAsia="Cambria Math" w:hAnsi="Cambria Math" w:cs="Cambria Math"/>
                </w:rPr>
                <m:t>t</m:t>
              </m:r>
            </m:sub>
          </m:sSub>
          <m:d>
            <m:dPr>
              <m:ctrlPr>
                <w:rPr>
                  <w:rFonts w:ascii="Cambria Math" w:eastAsia="Cambria Math" w:hAnsi="Cambria Math" w:cs="Cambria Math"/>
                </w:rPr>
              </m:ctrlPr>
            </m:dPr>
            <m:e>
              <m:r>
                <w:rPr>
                  <w:rFonts w:ascii="Cambria Math" w:eastAsia="Cambria Math" w:hAnsi="Cambria Math" w:cs="Cambria Math"/>
                </w:rPr>
                <m:t>"long-term"</m:t>
              </m:r>
            </m:e>
          </m:d>
          <m:r>
            <w:rPr>
              <w:rFonts w:ascii="Cambria Math" w:eastAsia="Cambria Math" w:hAnsi="Cambria Math" w:cs="Cambria Math"/>
            </w:rPr>
            <m:t>=</m:t>
          </m:r>
          <m:d>
            <m:dPr>
              <m:ctrlPr>
                <w:rPr>
                  <w:rFonts w:ascii="Cambria Math" w:eastAsia="Cambria Math" w:hAnsi="Cambria Math" w:cs="Cambria Math"/>
                </w:rPr>
              </m:ctrlPr>
            </m:dPr>
            <m:e>
              <m:r>
                <w:rPr>
                  <w:rFonts w:ascii="Cambria Math" w:eastAsia="Cambria Math" w:hAnsi="Cambria Math" w:cs="Cambria Math"/>
                </w:rPr>
                <m:t>.25 ×</m:t>
              </m:r>
              <m:sSub>
                <m:sSubPr>
                  <m:ctrlPr>
                    <w:rPr>
                      <w:rFonts w:ascii="Cambria Math" w:eastAsia="Cambria Math" w:hAnsi="Cambria Math" w:cs="Cambria Math"/>
                    </w:rPr>
                  </m:ctrlPr>
                </m:sSubPr>
                <m:e>
                  <m:r>
                    <w:rPr>
                      <w:rFonts w:ascii="Cambria Math" w:eastAsia="Cambria Math" w:hAnsi="Cambria Math" w:cs="Cambria Math"/>
                    </w:rPr>
                    <m:t>E</m:t>
                  </m:r>
                </m:e>
                <m:sub>
                  <m:r>
                    <w:rPr>
                      <w:rFonts w:ascii="Cambria Math" w:eastAsia="Cambria Math" w:hAnsi="Cambria Math" w:cs="Cambria Math"/>
                    </w:rPr>
                    <m:t>SLCP</m:t>
                  </m:r>
                  <m:d>
                    <m:dPr>
                      <m:ctrlPr>
                        <w:rPr>
                          <w:rFonts w:ascii="Cambria Math" w:eastAsia="Cambria Math" w:hAnsi="Cambria Math" w:cs="Cambria Math"/>
                        </w:rPr>
                      </m:ctrlPr>
                    </m:dPr>
                    <m:e>
                      <m:r>
                        <w:rPr>
                          <w:rFonts w:ascii="Cambria Math" w:eastAsia="Cambria Math" w:hAnsi="Cambria Math" w:cs="Cambria Math"/>
                        </w:rPr>
                        <m:t>t</m:t>
                      </m:r>
                    </m:e>
                  </m:d>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CPR</m:t>
                  </m:r>
                </m:e>
                <m:sub>
                  <m:r>
                    <w:rPr>
                      <w:rFonts w:ascii="Cambria Math" w:eastAsia="Cambria Math" w:hAnsi="Cambria Math" w:cs="Cambria Math"/>
                    </w:rPr>
                    <m:t>t</m:t>
                  </m:r>
                </m:sub>
              </m:sSub>
            </m:e>
          </m:d>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GWP</m:t>
              </m:r>
            </m:e>
            <m:sub>
              <m:r>
                <w:rPr>
                  <w:rFonts w:ascii="Cambria Math" w:eastAsia="Cambria Math" w:hAnsi="Cambria Math" w:cs="Cambria Math"/>
                </w:rPr>
                <m:t>100</m:t>
              </m:r>
            </m:sub>
          </m:sSub>
        </m:oMath>
      </m:oMathPara>
    </w:p>
    <w:p w14:paraId="1983AF0F" w14:textId="19221730" w:rsidR="006D4F0B" w:rsidRDefault="00493F5E">
      <w:r>
        <w:t xml:space="preserve">Assuming </w:t>
      </w:r>
      <w:r>
        <w:rPr>
          <w:i/>
        </w:rPr>
        <w:t>GWP</w:t>
      </w:r>
      <w:r>
        <w:rPr>
          <w:i/>
          <w:vertAlign w:val="subscript"/>
        </w:rPr>
        <w:t>100</w:t>
      </w:r>
      <w:r>
        <w:t xml:space="preserve"> = 25 (AR4), the carbon </w:t>
      </w:r>
      <w:r w:rsidR="005D6CC8">
        <w:t>price</w:t>
      </w:r>
      <w:r>
        <w:t xml:space="preserve"> for the two options are shown in table </w:t>
      </w:r>
      <w:r w:rsidR="003766CC">
        <w:t>S3</w:t>
      </w:r>
      <w:r>
        <w:t xml:space="preserve">. For comparison, the </w:t>
      </w:r>
      <w:r w:rsidR="005D6CC8">
        <w:t>price</w:t>
      </w:r>
      <w:r>
        <w:t xml:space="preserve"> rates based on GWP</w:t>
      </w:r>
      <w:r w:rsidRPr="00D2063E">
        <w:rPr>
          <w:vertAlign w:val="subscript"/>
        </w:rPr>
        <w:t>100</w:t>
      </w:r>
      <w:r>
        <w:t xml:space="preserve"> </w:t>
      </w:r>
      <w:proofErr w:type="gramStart"/>
      <w:r>
        <w:t>are also shown</w:t>
      </w:r>
      <w:proofErr w:type="gramEnd"/>
      <w:r>
        <w:t xml:space="preserve">. </w:t>
      </w:r>
    </w:p>
    <w:p w14:paraId="6BDF9A3A" w14:textId="3DDEE257" w:rsidR="006D4F0B" w:rsidRDefault="00493F5E" w:rsidP="00D82955">
      <w:pPr>
        <w:keepNext/>
        <w:keepLines/>
        <w:spacing w:after="0"/>
        <w:rPr>
          <w:i/>
        </w:rPr>
      </w:pPr>
      <w:r>
        <w:rPr>
          <w:i/>
        </w:rPr>
        <w:lastRenderedPageBreak/>
        <w:t xml:space="preserve">Table </w:t>
      </w:r>
      <w:r w:rsidR="003766CC">
        <w:rPr>
          <w:i/>
        </w:rPr>
        <w:t>S3</w:t>
      </w:r>
      <w:r>
        <w:rPr>
          <w:i/>
        </w:rPr>
        <w:t xml:space="preserve">. Carbon </w:t>
      </w:r>
      <w:r w:rsidR="00D82955">
        <w:rPr>
          <w:i/>
        </w:rPr>
        <w:t>price</w:t>
      </w:r>
      <w:r>
        <w:rPr>
          <w:i/>
        </w:rPr>
        <w:t xml:space="preserve"> rates for methane by carbon price level and </w:t>
      </w:r>
      <w:r w:rsidR="00D82955">
        <w:rPr>
          <w:i/>
        </w:rPr>
        <w:t>pricing</w:t>
      </w:r>
      <w:r>
        <w:rPr>
          <w:i/>
        </w:rPr>
        <w:t xml:space="preserve"> option for 2030, 2050 and 2070 (€ per t CH</w:t>
      </w:r>
      <w:r w:rsidRPr="00D2063E">
        <w:rPr>
          <w:i/>
          <w:vertAlign w:val="subscript"/>
        </w:rPr>
        <w:t>4</w:t>
      </w:r>
      <w:r>
        <w:rPr>
          <w:i/>
        </w:rPr>
        <w:t>)</w:t>
      </w:r>
    </w:p>
    <w:tbl>
      <w:tblPr>
        <w:tblStyle w:val="a0"/>
        <w:tblW w:w="8926" w:type="dxa"/>
        <w:tblBorders>
          <w:top w:val="single" w:sz="4" w:space="0" w:color="93CDDC"/>
          <w:left w:val="single" w:sz="4" w:space="0" w:color="93CDDC"/>
          <w:bottom w:val="single" w:sz="4" w:space="0" w:color="93CDDC"/>
          <w:right w:val="single" w:sz="4" w:space="0" w:color="93CDDC"/>
          <w:insideH w:val="single" w:sz="4" w:space="0" w:color="93CDDC"/>
          <w:insideV w:val="single" w:sz="4" w:space="0" w:color="C2D69B"/>
        </w:tblBorders>
        <w:tblLayout w:type="fixed"/>
        <w:tblLook w:val="0400" w:firstRow="0" w:lastRow="0" w:firstColumn="0" w:lastColumn="0" w:noHBand="0" w:noVBand="1"/>
      </w:tblPr>
      <w:tblGrid>
        <w:gridCol w:w="1980"/>
        <w:gridCol w:w="1905"/>
        <w:gridCol w:w="1680"/>
        <w:gridCol w:w="1680"/>
        <w:gridCol w:w="1681"/>
      </w:tblGrid>
      <w:tr w:rsidR="006D4F0B" w14:paraId="167D3DE6" w14:textId="77777777">
        <w:tc>
          <w:tcPr>
            <w:tcW w:w="1980" w:type="dxa"/>
          </w:tcPr>
          <w:p w14:paraId="7C2CA3B8" w14:textId="77777777" w:rsidR="006D4F0B" w:rsidRDefault="00493F5E" w:rsidP="00D82955">
            <w:pPr>
              <w:keepNext/>
              <w:keepLines/>
            </w:pPr>
            <w:r>
              <w:t>Carbon price level</w:t>
            </w:r>
          </w:p>
        </w:tc>
        <w:tc>
          <w:tcPr>
            <w:tcW w:w="1905" w:type="dxa"/>
          </w:tcPr>
          <w:p w14:paraId="5791C566" w14:textId="2BDE336D" w:rsidR="006D4F0B" w:rsidRDefault="00D82955" w:rsidP="00D82955">
            <w:pPr>
              <w:keepNext/>
              <w:keepLines/>
              <w:jc w:val="center"/>
            </w:pPr>
            <w:r>
              <w:t>Pricing</w:t>
            </w:r>
            <w:r w:rsidR="00493F5E">
              <w:t xml:space="preserve"> option </w:t>
            </w:r>
          </w:p>
        </w:tc>
        <w:tc>
          <w:tcPr>
            <w:tcW w:w="1680" w:type="dxa"/>
            <w:vAlign w:val="center"/>
          </w:tcPr>
          <w:p w14:paraId="0E4EC821" w14:textId="77777777" w:rsidR="006D4F0B" w:rsidRDefault="00493F5E" w:rsidP="00D82955">
            <w:pPr>
              <w:keepNext/>
              <w:keepLines/>
              <w:jc w:val="center"/>
            </w:pPr>
            <w:r>
              <w:t>2030</w:t>
            </w:r>
          </w:p>
        </w:tc>
        <w:tc>
          <w:tcPr>
            <w:tcW w:w="1680" w:type="dxa"/>
            <w:vAlign w:val="center"/>
          </w:tcPr>
          <w:p w14:paraId="7F6046F1" w14:textId="77777777" w:rsidR="006D4F0B" w:rsidRDefault="00493F5E" w:rsidP="00D82955">
            <w:pPr>
              <w:keepNext/>
              <w:keepLines/>
              <w:jc w:val="center"/>
            </w:pPr>
            <w:r>
              <w:t>2050</w:t>
            </w:r>
          </w:p>
        </w:tc>
        <w:tc>
          <w:tcPr>
            <w:tcW w:w="1681" w:type="dxa"/>
            <w:vAlign w:val="center"/>
          </w:tcPr>
          <w:p w14:paraId="2B8E8B28" w14:textId="77777777" w:rsidR="006D4F0B" w:rsidRDefault="00493F5E" w:rsidP="00D82955">
            <w:pPr>
              <w:keepNext/>
              <w:keepLines/>
              <w:jc w:val="center"/>
            </w:pPr>
            <w:r>
              <w:t>2070</w:t>
            </w:r>
          </w:p>
        </w:tc>
      </w:tr>
      <w:tr w:rsidR="006D4F0B" w14:paraId="55D98C02" w14:textId="77777777">
        <w:tc>
          <w:tcPr>
            <w:tcW w:w="1980" w:type="dxa"/>
            <w:vMerge w:val="restart"/>
            <w:vAlign w:val="center"/>
          </w:tcPr>
          <w:p w14:paraId="5DBC5527" w14:textId="77777777" w:rsidR="006D4F0B" w:rsidRDefault="00493F5E" w:rsidP="00D82955">
            <w:pPr>
              <w:keepNext/>
              <w:keepLines/>
            </w:pPr>
            <w:r>
              <w:t>150 $ per t CO</w:t>
            </w:r>
            <w:r w:rsidRPr="000C22B2">
              <w:rPr>
                <w:vertAlign w:val="subscript"/>
              </w:rPr>
              <w:t>2</w:t>
            </w:r>
          </w:p>
        </w:tc>
        <w:tc>
          <w:tcPr>
            <w:tcW w:w="1905" w:type="dxa"/>
          </w:tcPr>
          <w:p w14:paraId="1D1BA6A4" w14:textId="77777777" w:rsidR="006D4F0B" w:rsidRDefault="00493F5E" w:rsidP="00D82955">
            <w:pPr>
              <w:keepNext/>
              <w:keepLines/>
            </w:pPr>
            <w:r>
              <w:t>GWP</w:t>
            </w:r>
            <w:r w:rsidRPr="00D2063E">
              <w:rPr>
                <w:vertAlign w:val="subscript"/>
              </w:rPr>
              <w:t>100</w:t>
            </w:r>
          </w:p>
        </w:tc>
        <w:tc>
          <w:tcPr>
            <w:tcW w:w="1680" w:type="dxa"/>
            <w:vAlign w:val="bottom"/>
          </w:tcPr>
          <w:p w14:paraId="48D4A384" w14:textId="77777777" w:rsidR="006D4F0B" w:rsidRDefault="00493F5E" w:rsidP="00D82955">
            <w:pPr>
              <w:keepNext/>
              <w:keepLines/>
              <w:ind w:right="456"/>
              <w:jc w:val="right"/>
              <w:rPr>
                <w:rFonts w:ascii="Calibri" w:eastAsia="Calibri" w:hAnsi="Calibri" w:cs="Calibri"/>
                <w:color w:val="000000"/>
              </w:rPr>
            </w:pPr>
            <w:r>
              <w:rPr>
                <w:rFonts w:ascii="Calibri" w:eastAsia="Calibri" w:hAnsi="Calibri" w:cs="Calibri"/>
                <w:color w:val="000000"/>
              </w:rPr>
              <w:t>468.19</w:t>
            </w:r>
          </w:p>
        </w:tc>
        <w:tc>
          <w:tcPr>
            <w:tcW w:w="1680" w:type="dxa"/>
            <w:vAlign w:val="bottom"/>
          </w:tcPr>
          <w:p w14:paraId="2091D2CD" w14:textId="77777777" w:rsidR="006D4F0B" w:rsidRDefault="00493F5E" w:rsidP="00D82955">
            <w:pPr>
              <w:keepNext/>
              <w:keepLines/>
              <w:ind w:right="456"/>
              <w:jc w:val="right"/>
              <w:rPr>
                <w:rFonts w:ascii="Calibri" w:eastAsia="Calibri" w:hAnsi="Calibri" w:cs="Calibri"/>
                <w:color w:val="000000"/>
              </w:rPr>
            </w:pPr>
            <w:r>
              <w:rPr>
                <w:rFonts w:ascii="Calibri" w:eastAsia="Calibri" w:hAnsi="Calibri" w:cs="Calibri"/>
                <w:color w:val="000000"/>
              </w:rPr>
              <w:t>1 242.24</w:t>
            </w:r>
          </w:p>
        </w:tc>
        <w:tc>
          <w:tcPr>
            <w:tcW w:w="1681" w:type="dxa"/>
            <w:vAlign w:val="bottom"/>
          </w:tcPr>
          <w:p w14:paraId="1550BFC4" w14:textId="77777777" w:rsidR="006D4F0B" w:rsidRDefault="00493F5E" w:rsidP="00D82955">
            <w:pPr>
              <w:keepNext/>
              <w:keepLines/>
              <w:ind w:right="456"/>
              <w:jc w:val="right"/>
              <w:rPr>
                <w:rFonts w:ascii="Calibri" w:eastAsia="Calibri" w:hAnsi="Calibri" w:cs="Calibri"/>
                <w:color w:val="000000"/>
              </w:rPr>
            </w:pPr>
            <w:r>
              <w:rPr>
                <w:rFonts w:ascii="Calibri" w:eastAsia="Calibri" w:hAnsi="Calibri" w:cs="Calibri"/>
                <w:color w:val="000000"/>
              </w:rPr>
              <w:t>3 296.04</w:t>
            </w:r>
          </w:p>
        </w:tc>
      </w:tr>
      <w:tr w:rsidR="006D4F0B" w14:paraId="4F3A9444" w14:textId="77777777">
        <w:tc>
          <w:tcPr>
            <w:tcW w:w="1980" w:type="dxa"/>
            <w:vMerge/>
            <w:vAlign w:val="center"/>
          </w:tcPr>
          <w:p w14:paraId="15DCFF59" w14:textId="77777777" w:rsidR="006D4F0B" w:rsidRDefault="006D4F0B" w:rsidP="00D82955">
            <w:pPr>
              <w:keepNext/>
              <w:keepLines/>
              <w:pBdr>
                <w:top w:val="nil"/>
                <w:left w:val="nil"/>
                <w:bottom w:val="nil"/>
                <w:right w:val="nil"/>
                <w:between w:val="nil"/>
              </w:pBdr>
              <w:spacing w:line="276" w:lineRule="auto"/>
              <w:rPr>
                <w:rFonts w:ascii="Calibri" w:eastAsia="Calibri" w:hAnsi="Calibri" w:cs="Calibri"/>
                <w:color w:val="000000"/>
              </w:rPr>
            </w:pPr>
          </w:p>
        </w:tc>
        <w:tc>
          <w:tcPr>
            <w:tcW w:w="1905" w:type="dxa"/>
          </w:tcPr>
          <w:p w14:paraId="5A3CABE8" w14:textId="77777777" w:rsidR="006D4F0B" w:rsidRDefault="00E04D30" w:rsidP="00D82955">
            <w:pPr>
              <w:keepNext/>
              <w:keepLines/>
            </w:pPr>
            <w:r>
              <w:t>MEF-ST</w:t>
            </w:r>
          </w:p>
        </w:tc>
        <w:tc>
          <w:tcPr>
            <w:tcW w:w="1680" w:type="dxa"/>
            <w:vAlign w:val="bottom"/>
          </w:tcPr>
          <w:p w14:paraId="649BD46C" w14:textId="77777777" w:rsidR="006D4F0B" w:rsidRDefault="00493F5E" w:rsidP="00D82955">
            <w:pPr>
              <w:keepNext/>
              <w:keepLines/>
              <w:ind w:right="456"/>
              <w:jc w:val="right"/>
            </w:pPr>
            <w:r>
              <w:rPr>
                <w:rFonts w:ascii="Calibri" w:eastAsia="Calibri" w:hAnsi="Calibri" w:cs="Calibri"/>
                <w:color w:val="000000"/>
              </w:rPr>
              <w:t>1 872.75</w:t>
            </w:r>
          </w:p>
        </w:tc>
        <w:tc>
          <w:tcPr>
            <w:tcW w:w="1680" w:type="dxa"/>
            <w:vAlign w:val="bottom"/>
          </w:tcPr>
          <w:p w14:paraId="493117B7" w14:textId="77777777" w:rsidR="006D4F0B" w:rsidRDefault="00493F5E" w:rsidP="00D82955">
            <w:pPr>
              <w:keepNext/>
              <w:keepLines/>
              <w:ind w:right="456"/>
              <w:jc w:val="right"/>
            </w:pPr>
            <w:r>
              <w:rPr>
                <w:rFonts w:ascii="Calibri" w:eastAsia="Calibri" w:hAnsi="Calibri" w:cs="Calibri"/>
                <w:color w:val="000000"/>
              </w:rPr>
              <w:t>4 968.97</w:t>
            </w:r>
          </w:p>
        </w:tc>
        <w:tc>
          <w:tcPr>
            <w:tcW w:w="1681" w:type="dxa"/>
            <w:vAlign w:val="bottom"/>
          </w:tcPr>
          <w:p w14:paraId="7B679135" w14:textId="77777777" w:rsidR="006D4F0B" w:rsidRDefault="00493F5E" w:rsidP="00D82955">
            <w:pPr>
              <w:keepNext/>
              <w:keepLines/>
              <w:ind w:right="456"/>
              <w:jc w:val="right"/>
            </w:pPr>
            <w:r>
              <w:rPr>
                <w:rFonts w:ascii="Calibri" w:eastAsia="Calibri" w:hAnsi="Calibri" w:cs="Calibri"/>
                <w:color w:val="000000"/>
              </w:rPr>
              <w:t>13 184.15</w:t>
            </w:r>
          </w:p>
        </w:tc>
      </w:tr>
      <w:tr w:rsidR="006D4F0B" w14:paraId="7D74BF91" w14:textId="77777777">
        <w:tc>
          <w:tcPr>
            <w:tcW w:w="1980" w:type="dxa"/>
            <w:vMerge/>
            <w:vAlign w:val="center"/>
          </w:tcPr>
          <w:p w14:paraId="1556D1D8" w14:textId="77777777" w:rsidR="006D4F0B" w:rsidRDefault="006D4F0B" w:rsidP="00D82955">
            <w:pPr>
              <w:keepNext/>
              <w:keepLines/>
              <w:pBdr>
                <w:top w:val="nil"/>
                <w:left w:val="nil"/>
                <w:bottom w:val="nil"/>
                <w:right w:val="nil"/>
                <w:between w:val="nil"/>
              </w:pBdr>
              <w:spacing w:line="276" w:lineRule="auto"/>
            </w:pPr>
          </w:p>
        </w:tc>
        <w:tc>
          <w:tcPr>
            <w:tcW w:w="1905" w:type="dxa"/>
          </w:tcPr>
          <w:p w14:paraId="3EBCF67A" w14:textId="77777777" w:rsidR="006D4F0B" w:rsidRDefault="00E04D30" w:rsidP="00D82955">
            <w:pPr>
              <w:keepNext/>
              <w:keepLines/>
            </w:pPr>
            <w:r>
              <w:t>MEF-LT</w:t>
            </w:r>
          </w:p>
        </w:tc>
        <w:tc>
          <w:tcPr>
            <w:tcW w:w="1680" w:type="dxa"/>
            <w:vAlign w:val="bottom"/>
          </w:tcPr>
          <w:p w14:paraId="72488A32" w14:textId="77777777" w:rsidR="006D4F0B" w:rsidRDefault="00493F5E" w:rsidP="00D82955">
            <w:pPr>
              <w:keepNext/>
              <w:keepLines/>
              <w:ind w:right="456"/>
              <w:jc w:val="right"/>
            </w:pPr>
            <w:r>
              <w:rPr>
                <w:rFonts w:ascii="Calibri" w:eastAsia="Calibri" w:hAnsi="Calibri" w:cs="Calibri"/>
                <w:color w:val="000000"/>
              </w:rPr>
              <w:t>117.05</w:t>
            </w:r>
          </w:p>
        </w:tc>
        <w:tc>
          <w:tcPr>
            <w:tcW w:w="1680" w:type="dxa"/>
            <w:vAlign w:val="bottom"/>
          </w:tcPr>
          <w:p w14:paraId="63EAA53C" w14:textId="77777777" w:rsidR="006D4F0B" w:rsidRDefault="00493F5E" w:rsidP="00D82955">
            <w:pPr>
              <w:keepNext/>
              <w:keepLines/>
              <w:ind w:right="456"/>
              <w:jc w:val="right"/>
            </w:pPr>
            <w:r>
              <w:rPr>
                <w:rFonts w:ascii="Calibri" w:eastAsia="Calibri" w:hAnsi="Calibri" w:cs="Calibri"/>
                <w:color w:val="000000"/>
              </w:rPr>
              <w:t>310.56</w:t>
            </w:r>
          </w:p>
        </w:tc>
        <w:tc>
          <w:tcPr>
            <w:tcW w:w="1681" w:type="dxa"/>
            <w:vAlign w:val="bottom"/>
          </w:tcPr>
          <w:p w14:paraId="3BD1DF6A" w14:textId="77777777" w:rsidR="006D4F0B" w:rsidRDefault="00493F5E" w:rsidP="00D82955">
            <w:pPr>
              <w:keepNext/>
              <w:keepLines/>
              <w:ind w:right="456"/>
              <w:jc w:val="right"/>
            </w:pPr>
            <w:r>
              <w:rPr>
                <w:rFonts w:ascii="Calibri" w:eastAsia="Calibri" w:hAnsi="Calibri" w:cs="Calibri"/>
                <w:color w:val="000000"/>
              </w:rPr>
              <w:t>824.01</w:t>
            </w:r>
          </w:p>
        </w:tc>
      </w:tr>
      <w:tr w:rsidR="006D4F0B" w14:paraId="5344DC05" w14:textId="77777777">
        <w:tc>
          <w:tcPr>
            <w:tcW w:w="1980" w:type="dxa"/>
            <w:vMerge w:val="restart"/>
            <w:vAlign w:val="center"/>
          </w:tcPr>
          <w:p w14:paraId="02E62A9F" w14:textId="77777777" w:rsidR="006D4F0B" w:rsidRDefault="00493F5E" w:rsidP="00D82955">
            <w:pPr>
              <w:keepNext/>
              <w:keepLines/>
            </w:pPr>
            <w:r>
              <w:t>500 $ per t CO</w:t>
            </w:r>
            <w:r w:rsidRPr="000C22B2">
              <w:rPr>
                <w:vertAlign w:val="subscript"/>
              </w:rPr>
              <w:t>2</w:t>
            </w:r>
          </w:p>
        </w:tc>
        <w:tc>
          <w:tcPr>
            <w:tcW w:w="1905" w:type="dxa"/>
          </w:tcPr>
          <w:p w14:paraId="52FDBC80" w14:textId="77777777" w:rsidR="006D4F0B" w:rsidRDefault="00493F5E" w:rsidP="00D82955">
            <w:pPr>
              <w:keepNext/>
              <w:keepLines/>
            </w:pPr>
            <w:r>
              <w:t>GWP</w:t>
            </w:r>
            <w:r w:rsidRPr="00D2063E">
              <w:rPr>
                <w:vertAlign w:val="subscript"/>
              </w:rPr>
              <w:t>100</w:t>
            </w:r>
          </w:p>
        </w:tc>
        <w:tc>
          <w:tcPr>
            <w:tcW w:w="1680" w:type="dxa"/>
            <w:vAlign w:val="bottom"/>
          </w:tcPr>
          <w:p w14:paraId="6B3550D1" w14:textId="77777777" w:rsidR="006D4F0B" w:rsidRDefault="00493F5E" w:rsidP="00D82955">
            <w:pPr>
              <w:keepNext/>
              <w:keepLines/>
              <w:ind w:right="456"/>
              <w:jc w:val="right"/>
              <w:rPr>
                <w:rFonts w:ascii="Calibri" w:eastAsia="Calibri" w:hAnsi="Calibri" w:cs="Calibri"/>
                <w:color w:val="000000"/>
              </w:rPr>
            </w:pPr>
            <w:r>
              <w:rPr>
                <w:rFonts w:ascii="Calibri" w:eastAsia="Calibri" w:hAnsi="Calibri" w:cs="Calibri"/>
                <w:color w:val="000000"/>
              </w:rPr>
              <w:t>1 560.63</w:t>
            </w:r>
          </w:p>
        </w:tc>
        <w:tc>
          <w:tcPr>
            <w:tcW w:w="1680" w:type="dxa"/>
            <w:vAlign w:val="bottom"/>
          </w:tcPr>
          <w:p w14:paraId="776A5C5B" w14:textId="77777777" w:rsidR="006D4F0B" w:rsidRDefault="00493F5E" w:rsidP="00D82955">
            <w:pPr>
              <w:keepNext/>
              <w:keepLines/>
              <w:ind w:right="456"/>
              <w:jc w:val="right"/>
              <w:rPr>
                <w:rFonts w:ascii="Calibri" w:eastAsia="Calibri" w:hAnsi="Calibri" w:cs="Calibri"/>
                <w:color w:val="000000"/>
              </w:rPr>
            </w:pPr>
            <w:r>
              <w:rPr>
                <w:rFonts w:ascii="Calibri" w:eastAsia="Calibri" w:hAnsi="Calibri" w:cs="Calibri"/>
                <w:color w:val="000000"/>
              </w:rPr>
              <w:t>4 140.81</w:t>
            </w:r>
          </w:p>
        </w:tc>
        <w:tc>
          <w:tcPr>
            <w:tcW w:w="1681" w:type="dxa"/>
            <w:vAlign w:val="bottom"/>
          </w:tcPr>
          <w:p w14:paraId="466607C5" w14:textId="77777777" w:rsidR="006D4F0B" w:rsidRDefault="00493F5E" w:rsidP="00D82955">
            <w:pPr>
              <w:keepNext/>
              <w:keepLines/>
              <w:ind w:right="456"/>
              <w:jc w:val="right"/>
              <w:rPr>
                <w:rFonts w:ascii="Calibri" w:eastAsia="Calibri" w:hAnsi="Calibri" w:cs="Calibri"/>
                <w:color w:val="000000"/>
              </w:rPr>
            </w:pPr>
            <w:r>
              <w:rPr>
                <w:rFonts w:ascii="Calibri" w:eastAsia="Calibri" w:hAnsi="Calibri" w:cs="Calibri"/>
                <w:color w:val="000000"/>
              </w:rPr>
              <w:t>10 986.79</w:t>
            </w:r>
          </w:p>
        </w:tc>
      </w:tr>
      <w:tr w:rsidR="006D4F0B" w14:paraId="247A4EC0" w14:textId="77777777">
        <w:tc>
          <w:tcPr>
            <w:tcW w:w="1980" w:type="dxa"/>
            <w:vMerge/>
            <w:vAlign w:val="center"/>
          </w:tcPr>
          <w:p w14:paraId="13B98249" w14:textId="77777777" w:rsidR="006D4F0B" w:rsidRDefault="006D4F0B" w:rsidP="00D82955">
            <w:pPr>
              <w:keepNext/>
              <w:keepLines/>
              <w:pBdr>
                <w:top w:val="nil"/>
                <w:left w:val="nil"/>
                <w:bottom w:val="nil"/>
                <w:right w:val="nil"/>
                <w:between w:val="nil"/>
              </w:pBdr>
              <w:spacing w:line="276" w:lineRule="auto"/>
              <w:rPr>
                <w:rFonts w:ascii="Calibri" w:eastAsia="Calibri" w:hAnsi="Calibri" w:cs="Calibri"/>
                <w:color w:val="000000"/>
              </w:rPr>
            </w:pPr>
          </w:p>
        </w:tc>
        <w:tc>
          <w:tcPr>
            <w:tcW w:w="1905" w:type="dxa"/>
          </w:tcPr>
          <w:p w14:paraId="4EC7F586" w14:textId="77777777" w:rsidR="006D4F0B" w:rsidRDefault="00E04D30" w:rsidP="00D82955">
            <w:pPr>
              <w:keepNext/>
              <w:keepLines/>
            </w:pPr>
            <w:r>
              <w:t>MEF-ST</w:t>
            </w:r>
          </w:p>
        </w:tc>
        <w:tc>
          <w:tcPr>
            <w:tcW w:w="1680" w:type="dxa"/>
            <w:vAlign w:val="bottom"/>
          </w:tcPr>
          <w:p w14:paraId="6822E8B3" w14:textId="77777777" w:rsidR="006D4F0B" w:rsidRDefault="00493F5E" w:rsidP="00D82955">
            <w:pPr>
              <w:keepNext/>
              <w:keepLines/>
              <w:ind w:right="456"/>
              <w:jc w:val="right"/>
            </w:pPr>
            <w:r>
              <w:rPr>
                <w:rFonts w:ascii="Calibri" w:eastAsia="Calibri" w:hAnsi="Calibri" w:cs="Calibri"/>
                <w:color w:val="000000"/>
              </w:rPr>
              <w:t>6 242.51</w:t>
            </w:r>
          </w:p>
        </w:tc>
        <w:tc>
          <w:tcPr>
            <w:tcW w:w="1680" w:type="dxa"/>
            <w:vAlign w:val="bottom"/>
          </w:tcPr>
          <w:p w14:paraId="1E45FEC2" w14:textId="77777777" w:rsidR="006D4F0B" w:rsidRDefault="00493F5E" w:rsidP="00D82955">
            <w:pPr>
              <w:keepNext/>
              <w:keepLines/>
              <w:ind w:right="456"/>
              <w:jc w:val="right"/>
            </w:pPr>
            <w:r>
              <w:rPr>
                <w:rFonts w:ascii="Calibri" w:eastAsia="Calibri" w:hAnsi="Calibri" w:cs="Calibri"/>
                <w:color w:val="000000"/>
              </w:rPr>
              <w:t>16 563.23</w:t>
            </w:r>
          </w:p>
        </w:tc>
        <w:tc>
          <w:tcPr>
            <w:tcW w:w="1681" w:type="dxa"/>
            <w:vAlign w:val="bottom"/>
          </w:tcPr>
          <w:p w14:paraId="7E4B293F" w14:textId="77777777" w:rsidR="006D4F0B" w:rsidRDefault="00493F5E" w:rsidP="00D82955">
            <w:pPr>
              <w:keepNext/>
              <w:keepLines/>
              <w:ind w:right="456"/>
              <w:jc w:val="right"/>
            </w:pPr>
            <w:r>
              <w:rPr>
                <w:rFonts w:ascii="Calibri" w:eastAsia="Calibri" w:hAnsi="Calibri" w:cs="Calibri"/>
                <w:color w:val="000000"/>
              </w:rPr>
              <w:t>43 947.17</w:t>
            </w:r>
          </w:p>
        </w:tc>
      </w:tr>
      <w:tr w:rsidR="006D4F0B" w14:paraId="1890D0B3" w14:textId="77777777">
        <w:tc>
          <w:tcPr>
            <w:tcW w:w="1980" w:type="dxa"/>
            <w:vMerge/>
            <w:vAlign w:val="center"/>
          </w:tcPr>
          <w:p w14:paraId="032BCEC8" w14:textId="77777777" w:rsidR="006D4F0B" w:rsidRDefault="006D4F0B" w:rsidP="00D82955">
            <w:pPr>
              <w:keepNext/>
              <w:keepLines/>
              <w:pBdr>
                <w:top w:val="nil"/>
                <w:left w:val="nil"/>
                <w:bottom w:val="nil"/>
                <w:right w:val="nil"/>
                <w:between w:val="nil"/>
              </w:pBdr>
              <w:spacing w:line="276" w:lineRule="auto"/>
            </w:pPr>
          </w:p>
        </w:tc>
        <w:tc>
          <w:tcPr>
            <w:tcW w:w="1905" w:type="dxa"/>
          </w:tcPr>
          <w:p w14:paraId="42A87685" w14:textId="77777777" w:rsidR="006D4F0B" w:rsidRDefault="00E04D30" w:rsidP="00D82955">
            <w:pPr>
              <w:keepNext/>
              <w:keepLines/>
            </w:pPr>
            <w:r>
              <w:t>MEF-LT</w:t>
            </w:r>
          </w:p>
        </w:tc>
        <w:tc>
          <w:tcPr>
            <w:tcW w:w="1680" w:type="dxa"/>
            <w:vAlign w:val="bottom"/>
          </w:tcPr>
          <w:p w14:paraId="53D79812" w14:textId="77777777" w:rsidR="006D4F0B" w:rsidRDefault="00493F5E" w:rsidP="00D82955">
            <w:pPr>
              <w:keepNext/>
              <w:keepLines/>
              <w:ind w:right="456"/>
              <w:jc w:val="right"/>
            </w:pPr>
            <w:r>
              <w:rPr>
                <w:rFonts w:ascii="Calibri" w:eastAsia="Calibri" w:hAnsi="Calibri" w:cs="Calibri"/>
                <w:color w:val="000000"/>
              </w:rPr>
              <w:t>390.16</w:t>
            </w:r>
          </w:p>
        </w:tc>
        <w:tc>
          <w:tcPr>
            <w:tcW w:w="1680" w:type="dxa"/>
            <w:vAlign w:val="bottom"/>
          </w:tcPr>
          <w:p w14:paraId="10F1CD86" w14:textId="77777777" w:rsidR="006D4F0B" w:rsidRDefault="00493F5E" w:rsidP="00D82955">
            <w:pPr>
              <w:keepNext/>
              <w:keepLines/>
              <w:ind w:right="456"/>
              <w:jc w:val="right"/>
            </w:pPr>
            <w:r>
              <w:rPr>
                <w:rFonts w:ascii="Calibri" w:eastAsia="Calibri" w:hAnsi="Calibri" w:cs="Calibri"/>
                <w:color w:val="000000"/>
              </w:rPr>
              <w:t>1035.20</w:t>
            </w:r>
          </w:p>
        </w:tc>
        <w:tc>
          <w:tcPr>
            <w:tcW w:w="1681" w:type="dxa"/>
            <w:vAlign w:val="bottom"/>
          </w:tcPr>
          <w:p w14:paraId="27663F22" w14:textId="77777777" w:rsidR="006D4F0B" w:rsidRDefault="00493F5E" w:rsidP="00D82955">
            <w:pPr>
              <w:keepNext/>
              <w:keepLines/>
              <w:ind w:right="456"/>
              <w:jc w:val="right"/>
            </w:pPr>
            <w:r>
              <w:rPr>
                <w:rFonts w:ascii="Calibri" w:eastAsia="Calibri" w:hAnsi="Calibri" w:cs="Calibri"/>
                <w:color w:val="000000"/>
              </w:rPr>
              <w:t>2 746.70</w:t>
            </w:r>
          </w:p>
        </w:tc>
      </w:tr>
    </w:tbl>
    <w:p w14:paraId="45BD5910" w14:textId="77777777" w:rsidR="00D82955" w:rsidRDefault="00D82955" w:rsidP="00372F89"/>
    <w:p w14:paraId="1831481D" w14:textId="57D29C27" w:rsidR="00372F89" w:rsidRDefault="00D2063E" w:rsidP="00372F89">
      <w:r>
        <w:br w:type="page"/>
      </w:r>
    </w:p>
    <w:p w14:paraId="11532398" w14:textId="2DE5722F" w:rsidR="00372F89" w:rsidRDefault="003876D9" w:rsidP="00D2063E">
      <w:pPr>
        <w:pStyle w:val="Heading1"/>
        <w:numPr>
          <w:ilvl w:val="0"/>
          <w:numId w:val="1"/>
        </w:numPr>
      </w:pPr>
      <w:r>
        <w:lastRenderedPageBreak/>
        <w:t>Additional supporting</w:t>
      </w:r>
      <w:r w:rsidR="00372F89">
        <w:t xml:space="preserve"> Tables and Figures</w:t>
      </w:r>
    </w:p>
    <w:p w14:paraId="3B049085" w14:textId="4EF5A1A0" w:rsidR="00655FD3" w:rsidRDefault="00655FD3" w:rsidP="00655FD3">
      <w:pPr>
        <w:keepNext/>
        <w:jc w:val="both"/>
        <w:rPr>
          <w:i/>
          <w:sz w:val="18"/>
          <w:szCs w:val="18"/>
        </w:rPr>
      </w:pPr>
      <w:r>
        <w:rPr>
          <w:i/>
          <w:sz w:val="18"/>
          <w:szCs w:val="18"/>
        </w:rPr>
        <w:t>Figure S</w:t>
      </w:r>
      <w:r w:rsidR="003766CC">
        <w:rPr>
          <w:i/>
          <w:sz w:val="18"/>
          <w:szCs w:val="18"/>
        </w:rPr>
        <w:t>3</w:t>
      </w:r>
      <w:r>
        <w:rPr>
          <w:i/>
          <w:sz w:val="18"/>
          <w:szCs w:val="18"/>
        </w:rPr>
        <w:t>: Methane and nitrous oxide emissions for the baseline and 150 $/t carbon price scenarios; world totals by year and model; (a) annual Mt CH</w:t>
      </w:r>
      <w:r w:rsidRPr="00D2063E">
        <w:rPr>
          <w:i/>
          <w:sz w:val="18"/>
          <w:szCs w:val="18"/>
          <w:vertAlign w:val="subscript"/>
        </w:rPr>
        <w:t>4</w:t>
      </w:r>
      <w:r>
        <w:rPr>
          <w:i/>
          <w:sz w:val="18"/>
          <w:szCs w:val="18"/>
        </w:rPr>
        <w:t>; (b) annual Mt N</w:t>
      </w:r>
      <w:r w:rsidRPr="00765FAF">
        <w:rPr>
          <w:i/>
          <w:sz w:val="18"/>
          <w:szCs w:val="18"/>
          <w:vertAlign w:val="subscript"/>
        </w:rPr>
        <w:t>2</w:t>
      </w:r>
      <w:r>
        <w:rPr>
          <w:i/>
          <w:sz w:val="18"/>
          <w:szCs w:val="18"/>
        </w:rPr>
        <w:t>O; (c) added warming for CH</w:t>
      </w:r>
      <w:r w:rsidRPr="00765FAF">
        <w:rPr>
          <w:i/>
          <w:sz w:val="18"/>
          <w:szCs w:val="18"/>
          <w:vertAlign w:val="subscript"/>
        </w:rPr>
        <w:t>4</w:t>
      </w:r>
      <w:r>
        <w:rPr>
          <w:i/>
          <w:sz w:val="18"/>
          <w:szCs w:val="18"/>
        </w:rPr>
        <w:t xml:space="preserve"> emissions (</w:t>
      </w:r>
      <w:r>
        <w:rPr>
          <w:i/>
          <w:sz w:val="18"/>
          <w:szCs w:val="18"/>
        </w:rPr>
        <w:sym w:font="Symbol" w:char="F0B0"/>
      </w:r>
      <w:r>
        <w:rPr>
          <w:i/>
          <w:sz w:val="18"/>
          <w:szCs w:val="18"/>
        </w:rPr>
        <w:t>C); and (d) added warming for total non-CO</w:t>
      </w:r>
      <w:r w:rsidRPr="003C20E7">
        <w:rPr>
          <w:i/>
          <w:sz w:val="18"/>
          <w:szCs w:val="18"/>
          <w:vertAlign w:val="subscript"/>
        </w:rPr>
        <w:t>2</w:t>
      </w:r>
      <w:r>
        <w:rPr>
          <w:i/>
          <w:sz w:val="18"/>
          <w:szCs w:val="18"/>
        </w:rPr>
        <w:t xml:space="preserve"> emissions </w:t>
      </w:r>
      <w:r>
        <w:rPr>
          <w:i/>
          <w:sz w:val="18"/>
          <w:szCs w:val="18"/>
        </w:rPr>
        <w:sym w:font="Symbol" w:char="F0B0"/>
      </w:r>
      <w:r>
        <w:rPr>
          <w:i/>
          <w:sz w:val="18"/>
          <w:szCs w:val="18"/>
        </w:rPr>
        <w:t>C).</w:t>
      </w:r>
      <w:bookmarkStart w:id="1" w:name="_GoBack"/>
      <w:bookmarkEnd w:id="1"/>
    </w:p>
    <w:p w14:paraId="39290187" w14:textId="77777777" w:rsidR="00655FD3" w:rsidRDefault="00655FD3" w:rsidP="00655FD3">
      <w:r>
        <w:rPr>
          <w:noProof/>
        </w:rPr>
        <w:drawing>
          <wp:inline distT="0" distB="0" distL="0" distR="0" wp14:anchorId="752C6F42" wp14:editId="44B5214D">
            <wp:extent cx="5566410" cy="2921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66410" cy="2921000"/>
                    </a:xfrm>
                    <a:prstGeom prst="rect">
                      <a:avLst/>
                    </a:prstGeom>
                  </pic:spPr>
                </pic:pic>
              </a:graphicData>
            </a:graphic>
          </wp:inline>
        </w:drawing>
      </w:r>
    </w:p>
    <w:p w14:paraId="1C367900" w14:textId="77777777" w:rsidR="003876D9" w:rsidRDefault="003876D9" w:rsidP="003876D9">
      <w:pPr>
        <w:rPr>
          <w:sz w:val="20"/>
          <w:szCs w:val="20"/>
        </w:rPr>
      </w:pPr>
    </w:p>
    <w:p w14:paraId="70CCB8BC" w14:textId="5D06E76B" w:rsidR="003876D9" w:rsidRPr="003876D9" w:rsidRDefault="003876D9" w:rsidP="003876D9">
      <w:pPr>
        <w:keepNext/>
        <w:jc w:val="both"/>
        <w:rPr>
          <w:i/>
          <w:color w:val="000000" w:themeColor="text1"/>
          <w:sz w:val="18"/>
          <w:szCs w:val="18"/>
        </w:rPr>
      </w:pPr>
      <w:r w:rsidRPr="003876D9">
        <w:rPr>
          <w:i/>
          <w:color w:val="000000" w:themeColor="text1"/>
          <w:sz w:val="18"/>
          <w:szCs w:val="18"/>
        </w:rPr>
        <w:t>Figure S</w:t>
      </w:r>
      <w:r w:rsidR="003766CC">
        <w:rPr>
          <w:i/>
          <w:color w:val="000000" w:themeColor="text1"/>
          <w:sz w:val="18"/>
          <w:szCs w:val="18"/>
        </w:rPr>
        <w:t>4</w:t>
      </w:r>
      <w:r w:rsidRPr="003876D9">
        <w:rPr>
          <w:i/>
          <w:color w:val="000000" w:themeColor="text1"/>
          <w:sz w:val="18"/>
          <w:szCs w:val="18"/>
        </w:rPr>
        <w:t>: Methane and nitrous oxide emissions for the baseline and short-term carbon price scenarios including diet shifts; world totals by year and model; (a) Annual Mt CH</w:t>
      </w:r>
      <w:r w:rsidRPr="003876D9">
        <w:rPr>
          <w:i/>
          <w:color w:val="000000" w:themeColor="text1"/>
          <w:sz w:val="18"/>
          <w:szCs w:val="18"/>
          <w:vertAlign w:val="subscript"/>
        </w:rPr>
        <w:t>4</w:t>
      </w:r>
      <w:r w:rsidRPr="003876D9">
        <w:rPr>
          <w:i/>
          <w:color w:val="000000" w:themeColor="text1"/>
          <w:sz w:val="18"/>
          <w:szCs w:val="18"/>
        </w:rPr>
        <w:t>; (b) Annual Mt N</w:t>
      </w:r>
      <w:r w:rsidRPr="003876D9">
        <w:rPr>
          <w:i/>
          <w:color w:val="000000" w:themeColor="text1"/>
          <w:sz w:val="18"/>
          <w:szCs w:val="18"/>
          <w:vertAlign w:val="subscript"/>
        </w:rPr>
        <w:t>2</w:t>
      </w:r>
      <w:r w:rsidRPr="003876D9">
        <w:rPr>
          <w:i/>
          <w:color w:val="000000" w:themeColor="text1"/>
          <w:sz w:val="18"/>
          <w:szCs w:val="18"/>
        </w:rPr>
        <w:t>O; (c) added warming for CH</w:t>
      </w:r>
      <w:r w:rsidRPr="003876D9">
        <w:rPr>
          <w:i/>
          <w:color w:val="000000" w:themeColor="text1"/>
          <w:sz w:val="18"/>
          <w:szCs w:val="18"/>
          <w:vertAlign w:val="subscript"/>
        </w:rPr>
        <w:t>4</w:t>
      </w:r>
      <w:r w:rsidRPr="003876D9">
        <w:rPr>
          <w:i/>
          <w:color w:val="000000" w:themeColor="text1"/>
          <w:sz w:val="18"/>
          <w:szCs w:val="18"/>
        </w:rPr>
        <w:t xml:space="preserve"> emissions (</w:t>
      </w:r>
      <w:r w:rsidRPr="003876D9">
        <w:rPr>
          <w:i/>
          <w:color w:val="000000" w:themeColor="text1"/>
          <w:sz w:val="18"/>
          <w:szCs w:val="18"/>
        </w:rPr>
        <w:sym w:font="Symbol" w:char="F0B0"/>
      </w:r>
      <w:r w:rsidRPr="003876D9">
        <w:rPr>
          <w:i/>
          <w:color w:val="000000" w:themeColor="text1"/>
          <w:sz w:val="18"/>
          <w:szCs w:val="18"/>
        </w:rPr>
        <w:t xml:space="preserve">C); and (d) added warming for </w:t>
      </w:r>
      <w:r w:rsidR="00A43BD9">
        <w:rPr>
          <w:i/>
          <w:sz w:val="18"/>
          <w:szCs w:val="18"/>
        </w:rPr>
        <w:t>total non-CO</w:t>
      </w:r>
      <w:r w:rsidR="00A43BD9" w:rsidRPr="003C20E7">
        <w:rPr>
          <w:i/>
          <w:sz w:val="18"/>
          <w:szCs w:val="18"/>
          <w:vertAlign w:val="subscript"/>
        </w:rPr>
        <w:t>2</w:t>
      </w:r>
      <w:r w:rsidR="00A43BD9">
        <w:rPr>
          <w:i/>
          <w:sz w:val="18"/>
          <w:szCs w:val="18"/>
        </w:rPr>
        <w:t xml:space="preserve"> emissions </w:t>
      </w:r>
      <w:r w:rsidRPr="003876D9">
        <w:rPr>
          <w:i/>
          <w:color w:val="000000" w:themeColor="text1"/>
          <w:sz w:val="18"/>
          <w:szCs w:val="18"/>
        </w:rPr>
        <w:t>(</w:t>
      </w:r>
      <w:r w:rsidRPr="003876D9">
        <w:rPr>
          <w:i/>
          <w:color w:val="000000" w:themeColor="text1"/>
          <w:sz w:val="18"/>
          <w:szCs w:val="18"/>
        </w:rPr>
        <w:sym w:font="Symbol" w:char="F0B0"/>
      </w:r>
      <w:r w:rsidRPr="003876D9">
        <w:rPr>
          <w:i/>
          <w:color w:val="000000" w:themeColor="text1"/>
          <w:sz w:val="18"/>
          <w:szCs w:val="18"/>
        </w:rPr>
        <w:t>C).</w:t>
      </w:r>
    </w:p>
    <w:p w14:paraId="78D7E5ED" w14:textId="77777777" w:rsidR="003876D9" w:rsidRPr="003876D9" w:rsidRDefault="003876D9" w:rsidP="003876D9">
      <w:pPr>
        <w:jc w:val="both"/>
        <w:rPr>
          <w:i/>
          <w:color w:val="000000" w:themeColor="text1"/>
          <w:sz w:val="18"/>
          <w:szCs w:val="18"/>
        </w:rPr>
      </w:pPr>
      <w:r w:rsidRPr="003876D9">
        <w:rPr>
          <w:noProof/>
          <w:color w:val="000000" w:themeColor="text1"/>
        </w:rPr>
        <w:drawing>
          <wp:inline distT="0" distB="0" distL="0" distR="0" wp14:anchorId="63BAF6BD" wp14:editId="1698A540">
            <wp:extent cx="5566410" cy="2936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566410" cy="2936875"/>
                    </a:xfrm>
                    <a:prstGeom prst="rect">
                      <a:avLst/>
                    </a:prstGeom>
                  </pic:spPr>
                </pic:pic>
              </a:graphicData>
            </a:graphic>
          </wp:inline>
        </w:drawing>
      </w:r>
    </w:p>
    <w:p w14:paraId="0D9CA904" w14:textId="77777777" w:rsidR="003876D9" w:rsidRPr="003876D9" w:rsidRDefault="003876D9" w:rsidP="003876D9">
      <w:pPr>
        <w:rPr>
          <w:sz w:val="20"/>
          <w:szCs w:val="20"/>
        </w:rPr>
      </w:pPr>
    </w:p>
    <w:p w14:paraId="4E0CB1EE" w14:textId="69714F0C" w:rsidR="003876D9" w:rsidRPr="003876D9" w:rsidRDefault="003876D9" w:rsidP="003876D9">
      <w:pPr>
        <w:keepNext/>
        <w:jc w:val="both"/>
        <w:rPr>
          <w:i/>
          <w:color w:val="000000" w:themeColor="text1"/>
          <w:sz w:val="18"/>
          <w:szCs w:val="18"/>
        </w:rPr>
      </w:pPr>
      <w:r w:rsidRPr="003876D9">
        <w:rPr>
          <w:i/>
          <w:color w:val="000000" w:themeColor="text1"/>
          <w:sz w:val="18"/>
          <w:szCs w:val="18"/>
        </w:rPr>
        <w:lastRenderedPageBreak/>
        <w:t>Figure S</w:t>
      </w:r>
      <w:r w:rsidR="003766CC">
        <w:rPr>
          <w:i/>
          <w:color w:val="000000" w:themeColor="text1"/>
          <w:sz w:val="18"/>
          <w:szCs w:val="18"/>
        </w:rPr>
        <w:t>5</w:t>
      </w:r>
      <w:r w:rsidRPr="003876D9">
        <w:rPr>
          <w:i/>
          <w:color w:val="000000" w:themeColor="text1"/>
          <w:sz w:val="18"/>
          <w:szCs w:val="18"/>
        </w:rPr>
        <w:t>: methane and nitrous oxide emissions for the baseline and long-term carbon price scenarios including diet shifts; world totals by year and model; (a) Annual Mt CH</w:t>
      </w:r>
      <w:r w:rsidRPr="003876D9">
        <w:rPr>
          <w:i/>
          <w:color w:val="000000" w:themeColor="text1"/>
          <w:sz w:val="18"/>
          <w:szCs w:val="18"/>
          <w:vertAlign w:val="subscript"/>
        </w:rPr>
        <w:t>4</w:t>
      </w:r>
      <w:r w:rsidRPr="003876D9">
        <w:rPr>
          <w:i/>
          <w:color w:val="000000" w:themeColor="text1"/>
          <w:sz w:val="18"/>
          <w:szCs w:val="18"/>
        </w:rPr>
        <w:t>; (b) Annual Mt N</w:t>
      </w:r>
      <w:r w:rsidRPr="003876D9">
        <w:rPr>
          <w:i/>
          <w:color w:val="000000" w:themeColor="text1"/>
          <w:sz w:val="18"/>
          <w:szCs w:val="18"/>
          <w:vertAlign w:val="subscript"/>
        </w:rPr>
        <w:t>2</w:t>
      </w:r>
      <w:r w:rsidRPr="003876D9">
        <w:rPr>
          <w:i/>
          <w:color w:val="000000" w:themeColor="text1"/>
          <w:sz w:val="18"/>
          <w:szCs w:val="18"/>
        </w:rPr>
        <w:t>O; (c) added warming for CH</w:t>
      </w:r>
      <w:r w:rsidRPr="003876D9">
        <w:rPr>
          <w:i/>
          <w:color w:val="000000" w:themeColor="text1"/>
          <w:sz w:val="18"/>
          <w:szCs w:val="18"/>
          <w:vertAlign w:val="subscript"/>
        </w:rPr>
        <w:t>4</w:t>
      </w:r>
      <w:r w:rsidRPr="003876D9">
        <w:rPr>
          <w:i/>
          <w:color w:val="000000" w:themeColor="text1"/>
          <w:sz w:val="18"/>
          <w:szCs w:val="18"/>
        </w:rPr>
        <w:t xml:space="preserve"> emissions (</w:t>
      </w:r>
      <w:r w:rsidRPr="003876D9">
        <w:rPr>
          <w:i/>
          <w:color w:val="000000" w:themeColor="text1"/>
          <w:sz w:val="18"/>
          <w:szCs w:val="18"/>
        </w:rPr>
        <w:sym w:font="Symbol" w:char="F0B0"/>
      </w:r>
      <w:r w:rsidRPr="003876D9">
        <w:rPr>
          <w:i/>
          <w:color w:val="000000" w:themeColor="text1"/>
          <w:sz w:val="18"/>
          <w:szCs w:val="18"/>
        </w:rPr>
        <w:t xml:space="preserve">C); and (d) added warming for </w:t>
      </w:r>
      <w:r w:rsidR="00A43BD9">
        <w:rPr>
          <w:i/>
          <w:sz w:val="18"/>
          <w:szCs w:val="18"/>
        </w:rPr>
        <w:t>total non-CO</w:t>
      </w:r>
      <w:r w:rsidR="00A43BD9" w:rsidRPr="003C20E7">
        <w:rPr>
          <w:i/>
          <w:sz w:val="18"/>
          <w:szCs w:val="18"/>
          <w:vertAlign w:val="subscript"/>
        </w:rPr>
        <w:t>2</w:t>
      </w:r>
      <w:r w:rsidR="00A43BD9">
        <w:rPr>
          <w:i/>
          <w:sz w:val="18"/>
          <w:szCs w:val="18"/>
        </w:rPr>
        <w:t xml:space="preserve"> emissions </w:t>
      </w:r>
      <w:r w:rsidRPr="003876D9">
        <w:rPr>
          <w:i/>
          <w:color w:val="000000" w:themeColor="text1"/>
          <w:sz w:val="18"/>
          <w:szCs w:val="18"/>
        </w:rPr>
        <w:t>(</w:t>
      </w:r>
      <w:r w:rsidRPr="003876D9">
        <w:rPr>
          <w:i/>
          <w:color w:val="000000" w:themeColor="text1"/>
          <w:sz w:val="18"/>
          <w:szCs w:val="18"/>
        </w:rPr>
        <w:sym w:font="Symbol" w:char="F0B0"/>
      </w:r>
      <w:r w:rsidRPr="003876D9">
        <w:rPr>
          <w:i/>
          <w:color w:val="000000" w:themeColor="text1"/>
          <w:sz w:val="18"/>
          <w:szCs w:val="18"/>
        </w:rPr>
        <w:t>C).</w:t>
      </w:r>
    </w:p>
    <w:p w14:paraId="5812C922" w14:textId="77777777" w:rsidR="003876D9" w:rsidRDefault="003876D9" w:rsidP="003876D9">
      <w:pPr>
        <w:jc w:val="both"/>
        <w:rPr>
          <w:i/>
          <w:sz w:val="18"/>
          <w:szCs w:val="18"/>
        </w:rPr>
      </w:pPr>
      <w:r>
        <w:rPr>
          <w:noProof/>
        </w:rPr>
        <w:drawing>
          <wp:inline distT="0" distB="0" distL="0" distR="0" wp14:anchorId="79085400" wp14:editId="4F8B7657">
            <wp:extent cx="5566410" cy="293306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566410" cy="2933065"/>
                    </a:xfrm>
                    <a:prstGeom prst="rect">
                      <a:avLst/>
                    </a:prstGeom>
                  </pic:spPr>
                </pic:pic>
              </a:graphicData>
            </a:graphic>
          </wp:inline>
        </w:drawing>
      </w:r>
    </w:p>
    <w:p w14:paraId="178D0C1C" w14:textId="77777777" w:rsidR="003876D9" w:rsidRPr="003876D9" w:rsidRDefault="003876D9" w:rsidP="003876D9"/>
    <w:p w14:paraId="0656F788" w14:textId="77777777" w:rsidR="00372F89" w:rsidRDefault="00372F89">
      <w:pPr>
        <w:rPr>
          <w:rFonts w:ascii="Cambria" w:eastAsia="Cambria" w:hAnsi="Cambria" w:cs="Cambria"/>
          <w:color w:val="366091"/>
          <w:sz w:val="32"/>
          <w:szCs w:val="32"/>
        </w:rPr>
      </w:pPr>
      <w:r>
        <w:br w:type="page"/>
      </w:r>
    </w:p>
    <w:p w14:paraId="06A3123C" w14:textId="7CA2A312" w:rsidR="00D2063E" w:rsidRDefault="00D2063E" w:rsidP="00D2063E">
      <w:pPr>
        <w:pStyle w:val="Heading1"/>
        <w:numPr>
          <w:ilvl w:val="0"/>
          <w:numId w:val="1"/>
        </w:numPr>
      </w:pPr>
      <w:r>
        <w:lastRenderedPageBreak/>
        <w:t>Models</w:t>
      </w:r>
    </w:p>
    <w:p w14:paraId="38FF4BE8" w14:textId="77777777" w:rsidR="00D2063E" w:rsidRDefault="00D2063E" w:rsidP="00D2063E">
      <w:pPr>
        <w:pStyle w:val="Heading1"/>
        <w:numPr>
          <w:ilvl w:val="1"/>
          <w:numId w:val="1"/>
        </w:numPr>
      </w:pPr>
      <w:r>
        <w:t>CAPRI</w:t>
      </w:r>
    </w:p>
    <w:p w14:paraId="350FE164" w14:textId="21CB8461" w:rsidR="00D2063E" w:rsidRPr="008408C3" w:rsidRDefault="00D2063E" w:rsidP="00D2063E">
      <w:pPr>
        <w:jc w:val="both"/>
        <w:rPr>
          <w:color w:val="000000"/>
          <w:highlight w:val="white"/>
        </w:rPr>
      </w:pPr>
      <w:r w:rsidRPr="008408C3">
        <w:rPr>
          <w:color w:val="000000"/>
          <w:highlight w:val="white"/>
        </w:rPr>
        <w:t>CAPRI (Common Agricultural Policy Regionalised Impact) modelling system is an economic large-scale, comparative-static, partial equilibrium model focusing on agriculture and the primary processing sectors (</w:t>
      </w:r>
      <w:hyperlink r:id="rId18">
        <w:r w:rsidRPr="008408C3">
          <w:rPr>
            <w:color w:val="0000FF"/>
            <w:highlight w:val="white"/>
            <w:u w:val="single"/>
          </w:rPr>
          <w:t>www.capri-model.org</w:t>
        </w:r>
      </w:hyperlink>
      <w:r w:rsidRPr="008408C3">
        <w:rPr>
          <w:color w:val="000000"/>
          <w:highlight w:val="white"/>
        </w:rPr>
        <w:t xml:space="preserve">). CAPRI comprises two interacting modules, linking a set of mathematical programming models of EU regional agricultural supply to a spatial multi-commodity model for global </w:t>
      </w:r>
      <w:proofErr w:type="spellStart"/>
      <w:r w:rsidRPr="008408C3">
        <w:rPr>
          <w:color w:val="000000"/>
          <w:highlight w:val="white"/>
        </w:rPr>
        <w:t>agri</w:t>
      </w:r>
      <w:proofErr w:type="spellEnd"/>
      <w:r w:rsidRPr="008408C3">
        <w:rPr>
          <w:color w:val="000000"/>
          <w:highlight w:val="white"/>
        </w:rPr>
        <w:t xml:space="preserve">-food markets. The regional supply models depict a profit maximizing </w:t>
      </w:r>
      <w:proofErr w:type="spellStart"/>
      <w:r w:rsidRPr="008408C3">
        <w:rPr>
          <w:color w:val="000000"/>
          <w:highlight w:val="white"/>
        </w:rPr>
        <w:t>behavior</w:t>
      </w:r>
      <w:proofErr w:type="spellEnd"/>
      <w:r w:rsidRPr="008408C3">
        <w:rPr>
          <w:color w:val="000000"/>
          <w:highlight w:val="white"/>
        </w:rPr>
        <w:t xml:space="preserve"> of representative farms in the EU and candidate countries, taking constraints related to land availability, nutrient balances for cropping and animal activities and policy restrictions into account (Britz and Witzke, 2014). The market module consists of a spatial, non-stochastic global multi-commodity model for about 60 primary and processed agricultural products, covering 77 countries in 40 trading blocks. Bilateral trade flows and attached prices </w:t>
      </w:r>
      <w:proofErr w:type="gramStart"/>
      <w:r w:rsidRPr="008408C3">
        <w:rPr>
          <w:color w:val="000000"/>
          <w:highlight w:val="white"/>
        </w:rPr>
        <w:t>are modelled</w:t>
      </w:r>
      <w:proofErr w:type="gramEnd"/>
      <w:r w:rsidRPr="008408C3">
        <w:rPr>
          <w:color w:val="000000"/>
          <w:highlight w:val="white"/>
        </w:rPr>
        <w:t xml:space="preserve"> based on the </w:t>
      </w:r>
      <w:proofErr w:type="spellStart"/>
      <w:r w:rsidRPr="008408C3">
        <w:rPr>
          <w:color w:val="000000"/>
          <w:highlight w:val="white"/>
        </w:rPr>
        <w:t>Armington</w:t>
      </w:r>
      <w:proofErr w:type="spellEnd"/>
      <w:r w:rsidRPr="008408C3">
        <w:rPr>
          <w:color w:val="000000"/>
          <w:highlight w:val="white"/>
        </w:rPr>
        <w:t xml:space="preserve"> assumption of quality differentiation (</w:t>
      </w:r>
      <w:proofErr w:type="spellStart"/>
      <w:r w:rsidRPr="008408C3">
        <w:rPr>
          <w:color w:val="000000"/>
          <w:highlight w:val="white"/>
        </w:rPr>
        <w:t>Armington</w:t>
      </w:r>
      <w:proofErr w:type="spellEnd"/>
      <w:r w:rsidRPr="008408C3">
        <w:rPr>
          <w:color w:val="000000"/>
          <w:highlight w:val="white"/>
        </w:rPr>
        <w:t xml:space="preserve"> 1969). The </w:t>
      </w:r>
      <w:proofErr w:type="spellStart"/>
      <w:r w:rsidRPr="008408C3">
        <w:rPr>
          <w:color w:val="000000"/>
          <w:highlight w:val="white"/>
        </w:rPr>
        <w:t>behavioral</w:t>
      </w:r>
      <w:proofErr w:type="spellEnd"/>
      <w:r w:rsidRPr="008408C3">
        <w:rPr>
          <w:color w:val="000000"/>
          <w:highlight w:val="white"/>
        </w:rPr>
        <w:t xml:space="preserve"> functions in the market model represent supply and demand for primary agricultural and processed commodities (including human and feed consumption, biofuel use, import demand from multilateral trade relations), balancing constraints and agricultural market policy instruments (i.e. import tariffs, tariff rate quotas, producer and consumer support estimates, etc.). Depending on </w:t>
      </w:r>
      <w:proofErr w:type="gramStart"/>
      <w:r w:rsidRPr="008408C3">
        <w:rPr>
          <w:color w:val="000000"/>
          <w:highlight w:val="white"/>
        </w:rPr>
        <w:t>scenarios</w:t>
      </w:r>
      <w:proofErr w:type="gramEnd"/>
      <w:r w:rsidRPr="008408C3">
        <w:rPr>
          <w:color w:val="000000"/>
          <w:highlight w:val="white"/>
        </w:rPr>
        <w:t xml:space="preserve"> behavioural functions are shifted (</w:t>
      </w:r>
      <w:proofErr w:type="spellStart"/>
      <w:r w:rsidRPr="008408C3">
        <w:rPr>
          <w:color w:val="000000"/>
          <w:highlight w:val="white"/>
        </w:rPr>
        <w:t>e.g</w:t>
      </w:r>
      <w:proofErr w:type="spellEnd"/>
      <w:r w:rsidRPr="008408C3">
        <w:rPr>
          <w:color w:val="000000"/>
          <w:highlight w:val="white"/>
        </w:rPr>
        <w:t xml:space="preserve"> to reflect productivity shocks or preference shifts) and the model solves for the new market equilibrium. </w:t>
      </w:r>
    </w:p>
    <w:p w14:paraId="3D469890" w14:textId="77777777" w:rsidR="00D2063E" w:rsidRPr="008408C3" w:rsidRDefault="00D2063E" w:rsidP="00D2063E">
      <w:pPr>
        <w:jc w:val="both"/>
        <w:rPr>
          <w:color w:val="000000"/>
          <w:highlight w:val="white"/>
        </w:rPr>
      </w:pPr>
      <w:r w:rsidRPr="008408C3">
        <w:rPr>
          <w:color w:val="000000"/>
          <w:highlight w:val="white"/>
        </w:rPr>
        <w:t xml:space="preserve">With regard to GHG accounting, CAPRI calculates EU agricultural GHG emissions for the most important nitrous oxide and methane emission sources based on the inputs and outputs of agricultural production activities, following </w:t>
      </w:r>
      <w:proofErr w:type="gramStart"/>
      <w:r w:rsidRPr="008408C3">
        <w:rPr>
          <w:color w:val="000000"/>
          <w:highlight w:val="white"/>
        </w:rPr>
        <w:t>to a large extent</w:t>
      </w:r>
      <w:proofErr w:type="gramEnd"/>
      <w:r w:rsidRPr="008408C3">
        <w:rPr>
          <w:color w:val="000000"/>
          <w:highlight w:val="white"/>
        </w:rPr>
        <w:t xml:space="preserve"> the 2006 IPCC guidelines. It also includes specific technical and management-based GHG mitigation options for EU agriculture into account, specified quite detailed for agricultural activities. GHG emissions for the rest of the world </w:t>
      </w:r>
      <w:proofErr w:type="gramStart"/>
      <w:r w:rsidRPr="008408C3">
        <w:rPr>
          <w:color w:val="000000"/>
          <w:highlight w:val="white"/>
        </w:rPr>
        <w:t>are estimated</w:t>
      </w:r>
      <w:proofErr w:type="gramEnd"/>
      <w:r w:rsidRPr="008408C3">
        <w:rPr>
          <w:color w:val="000000"/>
          <w:highlight w:val="white"/>
        </w:rPr>
        <w:t xml:space="preserve"> on a commodity basis in the market model (Pérez </w:t>
      </w:r>
      <w:proofErr w:type="spellStart"/>
      <w:r w:rsidRPr="008408C3">
        <w:rPr>
          <w:color w:val="000000"/>
          <w:highlight w:val="white"/>
        </w:rPr>
        <w:t>Domínguez</w:t>
      </w:r>
      <w:proofErr w:type="spellEnd"/>
      <w:r w:rsidRPr="008408C3">
        <w:rPr>
          <w:highlight w:val="white"/>
        </w:rPr>
        <w:t>, 2016; Fellmann et al, 2018)</w:t>
      </w:r>
      <w:r w:rsidRPr="008408C3">
        <w:rPr>
          <w:color w:val="000000"/>
          <w:highlight w:val="white"/>
        </w:rPr>
        <w:t xml:space="preserve">. GHG mitigation in non-European countries </w:t>
      </w:r>
      <w:proofErr w:type="gramStart"/>
      <w:r w:rsidRPr="008408C3">
        <w:rPr>
          <w:color w:val="000000"/>
          <w:highlight w:val="white"/>
        </w:rPr>
        <w:t>is represented</w:t>
      </w:r>
      <w:proofErr w:type="gramEnd"/>
      <w:r w:rsidRPr="008408C3">
        <w:rPr>
          <w:color w:val="000000"/>
          <w:highlight w:val="white"/>
        </w:rPr>
        <w:t xml:space="preserve"> by a change in emission factors and a matching change in output prices to reflect the increase in cost, derived from mitigation cost functions from the literature (Lucas et al. 2007). In terms of the </w:t>
      </w:r>
      <w:proofErr w:type="gramStart"/>
      <w:r w:rsidRPr="008408C3">
        <w:rPr>
          <w:color w:val="000000"/>
          <w:highlight w:val="white"/>
        </w:rPr>
        <w:t>database</w:t>
      </w:r>
      <w:proofErr w:type="gramEnd"/>
      <w:r w:rsidRPr="008408C3">
        <w:rPr>
          <w:color w:val="000000"/>
          <w:highlight w:val="white"/>
        </w:rPr>
        <w:t xml:space="preserve"> the European data are mostly sourced from Eurostat while the international data are mostly from FAO, for both model parts supplemented by topic related sources. </w:t>
      </w:r>
    </w:p>
    <w:p w14:paraId="5857A0FB" w14:textId="77777777" w:rsidR="00D2063E" w:rsidRPr="008408C3" w:rsidRDefault="00D2063E" w:rsidP="00D2063E">
      <w:pPr>
        <w:jc w:val="both"/>
        <w:rPr>
          <w:highlight w:val="white"/>
        </w:rPr>
      </w:pPr>
      <w:r w:rsidRPr="008408C3">
        <w:rPr>
          <w:highlight w:val="white"/>
        </w:rPr>
        <w:t xml:space="preserve">The modelling of the diet cuts </w:t>
      </w:r>
      <w:proofErr w:type="gramStart"/>
      <w:r w:rsidRPr="008408C3">
        <w:rPr>
          <w:highlight w:val="white"/>
        </w:rPr>
        <w:t>was done</w:t>
      </w:r>
      <w:proofErr w:type="gramEnd"/>
      <w:r w:rsidRPr="008408C3">
        <w:rPr>
          <w:highlight w:val="white"/>
        </w:rPr>
        <w:t xml:space="preserve"> by reducing the consumption of animal products in all countries that consume more animal product calories than 430 kcal per capita per day based on recommendations by the United States Department of Agriculture (www.cnpp. usda.gov/</w:t>
      </w:r>
      <w:proofErr w:type="spellStart"/>
      <w:r w:rsidRPr="008408C3">
        <w:rPr>
          <w:highlight w:val="white"/>
        </w:rPr>
        <w:t>USDAFoodPatterns</w:t>
      </w:r>
      <w:proofErr w:type="spellEnd"/>
      <w:r w:rsidRPr="008408C3">
        <w:rPr>
          <w:highlight w:val="white"/>
        </w:rPr>
        <w:t xml:space="preserve">). The calories target (excluding waste) </w:t>
      </w:r>
      <w:proofErr w:type="gramStart"/>
      <w:r w:rsidRPr="008408C3">
        <w:rPr>
          <w:highlight w:val="white"/>
        </w:rPr>
        <w:t>is achieved</w:t>
      </w:r>
      <w:proofErr w:type="gramEnd"/>
      <w:r w:rsidRPr="008408C3">
        <w:rPr>
          <w:highlight w:val="white"/>
        </w:rPr>
        <w:t xml:space="preserve"> gradually by 2070, such that calorie consumption will decrease linearly from the 2020 level to 430 kcal per capita per day in 2070.</w:t>
      </w:r>
    </w:p>
    <w:p w14:paraId="34C7A0C4" w14:textId="77777777" w:rsidR="00D2063E" w:rsidRPr="008408C3" w:rsidRDefault="00D2063E" w:rsidP="00D2063E">
      <w:pPr>
        <w:keepNext/>
        <w:jc w:val="both"/>
        <w:rPr>
          <w:color w:val="000000"/>
          <w:highlight w:val="white"/>
          <w:u w:val="single"/>
        </w:rPr>
      </w:pPr>
      <w:r w:rsidRPr="008408C3">
        <w:rPr>
          <w:color w:val="000000"/>
          <w:highlight w:val="white"/>
          <w:u w:val="single"/>
        </w:rPr>
        <w:t>References:</w:t>
      </w:r>
    </w:p>
    <w:p w14:paraId="696F4209" w14:textId="77777777" w:rsidR="00D2063E" w:rsidRPr="008408C3" w:rsidRDefault="00D2063E" w:rsidP="00D2063E">
      <w:pPr>
        <w:ind w:left="566" w:hanging="566"/>
        <w:jc w:val="both"/>
      </w:pPr>
      <w:proofErr w:type="spellStart"/>
      <w:r w:rsidRPr="008408C3">
        <w:t>Armington</w:t>
      </w:r>
      <w:proofErr w:type="spellEnd"/>
      <w:r w:rsidRPr="008408C3">
        <w:t>, P. S., 1969. A Theory of Demand for Products Distinguished by Place of Production. IMF Staff Papers 16, 159-178.EN.REFLISTWolf, W., 1995. ‘SPEL system, Methodological documentation (Rev. 1), Vol. 1: Basics, BS, SFSS’, Eurostat Luxembourg.</w:t>
      </w:r>
    </w:p>
    <w:p w14:paraId="6C45545E" w14:textId="17A24ACB" w:rsidR="00D2063E" w:rsidRPr="008408C3" w:rsidRDefault="00D2063E" w:rsidP="00D2063E">
      <w:pPr>
        <w:ind w:left="566" w:hanging="566"/>
        <w:jc w:val="both"/>
      </w:pPr>
      <w:r w:rsidRPr="008408C3">
        <w:rPr>
          <w:lang w:val="de-DE"/>
        </w:rPr>
        <w:lastRenderedPageBreak/>
        <w:t xml:space="preserve">Britz W., Witzke H.P. (2014). </w:t>
      </w:r>
      <w:r w:rsidRPr="008408C3">
        <w:t xml:space="preserve">CAPRI Model Documentation 2014. University of Bonn. Available online: </w:t>
      </w:r>
      <w:hyperlink r:id="rId19">
        <w:r w:rsidRPr="008408C3">
          <w:rPr>
            <w:color w:val="1155CC"/>
            <w:u w:val="single"/>
          </w:rPr>
          <w:t>http://www.capri-model.org/docs/capri_documentation.pdf</w:t>
        </w:r>
      </w:hyperlink>
      <w:r w:rsidRPr="008408C3">
        <w:t xml:space="preserve"> </w:t>
      </w:r>
    </w:p>
    <w:p w14:paraId="3AC29914" w14:textId="481C0126" w:rsidR="00D2063E" w:rsidRPr="008408C3" w:rsidRDefault="00D2063E" w:rsidP="00D2063E">
      <w:pPr>
        <w:spacing w:before="240" w:after="240"/>
        <w:ind w:left="566" w:hanging="566"/>
        <w:jc w:val="both"/>
        <w:rPr>
          <w:lang w:val="de-DE"/>
        </w:rPr>
      </w:pPr>
      <w:r w:rsidRPr="00A84046">
        <w:rPr>
          <w:lang w:val="nl-NL"/>
        </w:rPr>
        <w:t xml:space="preserve">Fellmann, T., Witzke, P., </w:t>
      </w:r>
      <w:proofErr w:type="spellStart"/>
      <w:r w:rsidRPr="00A84046">
        <w:rPr>
          <w:lang w:val="nl-NL"/>
        </w:rPr>
        <w:t>Weiss</w:t>
      </w:r>
      <w:proofErr w:type="spellEnd"/>
      <w:r w:rsidRPr="00A84046">
        <w:rPr>
          <w:lang w:val="nl-NL"/>
        </w:rPr>
        <w:t xml:space="preserve">, F., Van </w:t>
      </w:r>
      <w:proofErr w:type="spellStart"/>
      <w:r w:rsidRPr="00A84046">
        <w:rPr>
          <w:lang w:val="nl-NL"/>
        </w:rPr>
        <w:t>Doorslaer</w:t>
      </w:r>
      <w:proofErr w:type="spellEnd"/>
      <w:r w:rsidRPr="00A84046">
        <w:rPr>
          <w:lang w:val="nl-NL"/>
        </w:rPr>
        <w:t xml:space="preserve">, B., </w:t>
      </w:r>
      <w:proofErr w:type="spellStart"/>
      <w:r w:rsidRPr="00A84046">
        <w:rPr>
          <w:lang w:val="nl-NL"/>
        </w:rPr>
        <w:t>Drabik</w:t>
      </w:r>
      <w:proofErr w:type="spellEnd"/>
      <w:r w:rsidRPr="00A84046">
        <w:rPr>
          <w:lang w:val="nl-NL"/>
        </w:rPr>
        <w:t xml:space="preserve">, D., Huck, I., </w:t>
      </w:r>
      <w:proofErr w:type="spellStart"/>
      <w:r w:rsidRPr="00A84046">
        <w:rPr>
          <w:lang w:val="nl-NL"/>
        </w:rPr>
        <w:t>Salputra</w:t>
      </w:r>
      <w:proofErr w:type="spellEnd"/>
      <w:r w:rsidRPr="00A84046">
        <w:rPr>
          <w:lang w:val="nl-NL"/>
        </w:rPr>
        <w:t xml:space="preserve">, </w:t>
      </w:r>
      <w:proofErr w:type="spellStart"/>
      <w:proofErr w:type="gramStart"/>
      <w:r w:rsidRPr="00A84046">
        <w:rPr>
          <w:lang w:val="nl-NL"/>
        </w:rPr>
        <w:t>G.,Jansson</w:t>
      </w:r>
      <w:proofErr w:type="spellEnd"/>
      <w:proofErr w:type="gramEnd"/>
      <w:r w:rsidRPr="00A84046">
        <w:rPr>
          <w:lang w:val="nl-NL"/>
        </w:rPr>
        <w:t xml:space="preserve">, T., </w:t>
      </w:r>
      <w:proofErr w:type="spellStart"/>
      <w:r w:rsidRPr="00A84046">
        <w:rPr>
          <w:lang w:val="nl-NL"/>
        </w:rPr>
        <w:t>Leip</w:t>
      </w:r>
      <w:proofErr w:type="spellEnd"/>
      <w:r w:rsidRPr="00A84046">
        <w:rPr>
          <w:lang w:val="nl-NL"/>
        </w:rPr>
        <w:t xml:space="preserve">, A., (2018). </w:t>
      </w:r>
      <w:r w:rsidRPr="008408C3">
        <w:t xml:space="preserve">Major challenges of integrating agriculture into </w:t>
      </w:r>
      <w:proofErr w:type="spellStart"/>
      <w:proofErr w:type="gramStart"/>
      <w:r w:rsidRPr="008408C3">
        <w:t>climatechange</w:t>
      </w:r>
      <w:proofErr w:type="spellEnd"/>
      <w:r w:rsidRPr="008408C3">
        <w:t xml:space="preserve"> mitigation policy frameworks</w:t>
      </w:r>
      <w:proofErr w:type="gramEnd"/>
      <w:r w:rsidRPr="008408C3">
        <w:t xml:space="preserve">. </w:t>
      </w:r>
      <w:proofErr w:type="spellStart"/>
      <w:r w:rsidRPr="008408C3">
        <w:rPr>
          <w:lang w:val="de-DE"/>
        </w:rPr>
        <w:t>Mitig</w:t>
      </w:r>
      <w:proofErr w:type="spellEnd"/>
      <w:r w:rsidRPr="008408C3">
        <w:rPr>
          <w:lang w:val="de-DE"/>
        </w:rPr>
        <w:t xml:space="preserve">. </w:t>
      </w:r>
      <w:proofErr w:type="spellStart"/>
      <w:r w:rsidRPr="008408C3">
        <w:rPr>
          <w:lang w:val="de-DE"/>
        </w:rPr>
        <w:t>Adapt</w:t>
      </w:r>
      <w:proofErr w:type="spellEnd"/>
      <w:r w:rsidRPr="008408C3">
        <w:rPr>
          <w:lang w:val="de-DE"/>
        </w:rPr>
        <w:t xml:space="preserve">. </w:t>
      </w:r>
      <w:proofErr w:type="spellStart"/>
      <w:r w:rsidRPr="008408C3">
        <w:rPr>
          <w:lang w:val="de-DE"/>
        </w:rPr>
        <w:t>Strat</w:t>
      </w:r>
      <w:proofErr w:type="spellEnd"/>
      <w:r w:rsidRPr="008408C3">
        <w:rPr>
          <w:lang w:val="de-DE"/>
        </w:rPr>
        <w:t xml:space="preserve">. </w:t>
      </w:r>
      <w:proofErr w:type="spellStart"/>
      <w:r w:rsidRPr="008408C3">
        <w:rPr>
          <w:lang w:val="de-DE"/>
        </w:rPr>
        <w:t>Glob</w:t>
      </w:r>
      <w:proofErr w:type="spellEnd"/>
      <w:r w:rsidRPr="008408C3">
        <w:rPr>
          <w:lang w:val="de-DE"/>
        </w:rPr>
        <w:t xml:space="preserve">. Change 23, 451–468 </w:t>
      </w:r>
      <w:proofErr w:type="spellStart"/>
      <w:r w:rsidRPr="008408C3">
        <w:rPr>
          <w:lang w:val="de-DE"/>
        </w:rPr>
        <w:t>doi</w:t>
      </w:r>
      <w:proofErr w:type="spellEnd"/>
      <w:r w:rsidRPr="008408C3">
        <w:rPr>
          <w:lang w:val="de-DE"/>
        </w:rPr>
        <w:t xml:space="preserve">: </w:t>
      </w:r>
      <w:hyperlink r:id="rId20">
        <w:r w:rsidRPr="008408C3">
          <w:rPr>
            <w:color w:val="1155CC"/>
            <w:u w:val="single"/>
            <w:lang w:val="de-DE"/>
          </w:rPr>
          <w:t>http://dx.doi.org/10.1007/s11027-017-9743-2</w:t>
        </w:r>
      </w:hyperlink>
      <w:r w:rsidRPr="008408C3">
        <w:rPr>
          <w:lang w:val="de-DE"/>
        </w:rPr>
        <w:t>.</w:t>
      </w:r>
    </w:p>
    <w:p w14:paraId="567762B7" w14:textId="77777777" w:rsidR="00D2063E" w:rsidRPr="008408C3" w:rsidRDefault="00D2063E" w:rsidP="00D2063E">
      <w:pPr>
        <w:spacing w:before="240" w:after="240"/>
        <w:ind w:left="566" w:hanging="566"/>
        <w:jc w:val="both"/>
        <w:rPr>
          <w:highlight w:val="white"/>
        </w:rPr>
      </w:pPr>
      <w:r w:rsidRPr="008408C3">
        <w:t xml:space="preserve">Pérez </w:t>
      </w:r>
      <w:proofErr w:type="spellStart"/>
      <w:r w:rsidRPr="008408C3">
        <w:t>Domínguez</w:t>
      </w:r>
      <w:proofErr w:type="spellEnd"/>
      <w:r w:rsidRPr="008408C3">
        <w:t>, I., T. Fellmann, F. Weiss, P. Witzke, J. Barreiro-</w:t>
      </w:r>
      <w:proofErr w:type="spellStart"/>
      <w:r w:rsidRPr="008408C3">
        <w:t>Hurlé</w:t>
      </w:r>
      <w:proofErr w:type="spellEnd"/>
      <w:r w:rsidRPr="008408C3">
        <w:t xml:space="preserve">, M. </w:t>
      </w:r>
      <w:proofErr w:type="spellStart"/>
      <w:r w:rsidRPr="008408C3">
        <w:t>Himics</w:t>
      </w:r>
      <w:proofErr w:type="spellEnd"/>
      <w:r w:rsidRPr="008408C3">
        <w:t xml:space="preserve">, T. Jansson, </w:t>
      </w:r>
      <w:proofErr w:type="gramStart"/>
      <w:r w:rsidRPr="008408C3">
        <w:t>G</w:t>
      </w:r>
      <w:proofErr w:type="gramEnd"/>
      <w:r w:rsidRPr="008408C3">
        <w:t xml:space="preserve">. </w:t>
      </w:r>
      <w:proofErr w:type="spellStart"/>
      <w:r w:rsidRPr="008408C3">
        <w:t>Salputra</w:t>
      </w:r>
      <w:proofErr w:type="spellEnd"/>
      <w:r w:rsidRPr="008408C3">
        <w:t xml:space="preserve">, A. </w:t>
      </w:r>
      <w:proofErr w:type="spellStart"/>
      <w:r w:rsidRPr="008408C3">
        <w:t>Leip</w:t>
      </w:r>
      <w:proofErr w:type="spellEnd"/>
      <w:r w:rsidRPr="008408C3">
        <w:t xml:space="preserve"> (2016): An economic assessment of GHG mitigation policy options for EU agriculture (</w:t>
      </w:r>
      <w:proofErr w:type="spellStart"/>
      <w:r w:rsidRPr="008408C3">
        <w:t>EcAMPA</w:t>
      </w:r>
      <w:proofErr w:type="spellEnd"/>
      <w:r w:rsidRPr="008408C3">
        <w:t xml:space="preserve"> 2). JRC Science for Policy Report, EUR 27973 EN, 10.2791/843461.</w:t>
      </w:r>
    </w:p>
    <w:p w14:paraId="3D12E723" w14:textId="77777777" w:rsidR="00D2063E" w:rsidRPr="008408C3" w:rsidRDefault="00D2063E" w:rsidP="00D2063E">
      <w:pPr>
        <w:spacing w:after="120"/>
        <w:ind w:left="567"/>
        <w:jc w:val="both"/>
        <w:rPr>
          <w:highlight w:val="white"/>
          <w:u w:val="single"/>
        </w:rPr>
      </w:pPr>
      <w:r w:rsidRPr="008408C3">
        <w:t xml:space="preserve">Lucas, P. L., van </w:t>
      </w:r>
      <w:proofErr w:type="spellStart"/>
      <w:r w:rsidRPr="008408C3">
        <w:t>Vuuren</w:t>
      </w:r>
      <w:proofErr w:type="spellEnd"/>
      <w:r w:rsidRPr="008408C3">
        <w:t xml:space="preserve">, D. P., Olivier, J. G. J. &amp; den </w:t>
      </w:r>
      <w:proofErr w:type="spellStart"/>
      <w:r w:rsidRPr="008408C3">
        <w:t>Elzen</w:t>
      </w:r>
      <w:proofErr w:type="spellEnd"/>
      <w:r w:rsidRPr="008408C3">
        <w:t>, M. G. J. Long-term reduction potential of non-CO2 greenhouse gases. Environ. Sci. Policy 10, 85–103 (2007).</w:t>
      </w:r>
    </w:p>
    <w:p w14:paraId="193A0FB2" w14:textId="77777777" w:rsidR="00D2063E" w:rsidRDefault="00D2063E" w:rsidP="00D2063E">
      <w:pPr>
        <w:pStyle w:val="Heading1"/>
        <w:numPr>
          <w:ilvl w:val="1"/>
          <w:numId w:val="1"/>
        </w:numPr>
      </w:pPr>
      <w:r>
        <w:t>GLOBIOM</w:t>
      </w:r>
    </w:p>
    <w:p w14:paraId="6378DB4E" w14:textId="77777777" w:rsidR="00D2063E" w:rsidRPr="008408C3" w:rsidRDefault="00D2063E" w:rsidP="00D2063E">
      <w:pPr>
        <w:spacing w:after="240"/>
        <w:jc w:val="both"/>
        <w:rPr>
          <w:color w:val="000000"/>
          <w:highlight w:val="white"/>
        </w:rPr>
      </w:pPr>
      <w:r w:rsidRPr="008408C3">
        <w:rPr>
          <w:color w:val="000000"/>
          <w:highlight w:val="white"/>
        </w:rPr>
        <w:t>The Global Biosphere Management Model (GLOBIOM) (</w:t>
      </w:r>
      <w:proofErr w:type="spellStart"/>
      <w:r w:rsidRPr="008408C3">
        <w:rPr>
          <w:color w:val="000000"/>
          <w:highlight w:val="white"/>
        </w:rPr>
        <w:t>Havlík</w:t>
      </w:r>
      <w:proofErr w:type="spellEnd"/>
      <w:r w:rsidRPr="008408C3">
        <w:rPr>
          <w:color w:val="000000"/>
          <w:highlight w:val="white"/>
        </w:rPr>
        <w:t xml:space="preserve"> et al. 2014) is a partial equilibrium model that covers the global agricultural and forestry sectors, including the bioenergy sector. Commodity markets and international trade </w:t>
      </w:r>
      <w:proofErr w:type="gramStart"/>
      <w:r w:rsidRPr="008408C3">
        <w:rPr>
          <w:color w:val="000000"/>
          <w:highlight w:val="white"/>
        </w:rPr>
        <w:t>are represented</w:t>
      </w:r>
      <w:proofErr w:type="gramEnd"/>
      <w:r w:rsidRPr="008408C3">
        <w:rPr>
          <w:color w:val="000000"/>
          <w:highlight w:val="white"/>
        </w:rPr>
        <w:t xml:space="preserve"> at the level of 35 economic regions in this study. Prices are endogenously determined at the regional level to establish market equilibrium to reconcile demand, domestic supply and international trade. The spatial resolution of the supply side relies on the concept of Simulation Units, which are aggregates of 5 to 30 </w:t>
      </w:r>
      <w:proofErr w:type="spellStart"/>
      <w:r w:rsidRPr="008408C3">
        <w:rPr>
          <w:color w:val="000000"/>
          <w:highlight w:val="white"/>
        </w:rPr>
        <w:t>arcmin</w:t>
      </w:r>
      <w:proofErr w:type="spellEnd"/>
      <w:r w:rsidRPr="008408C3">
        <w:rPr>
          <w:color w:val="000000"/>
          <w:highlight w:val="white"/>
        </w:rPr>
        <w:t xml:space="preserve"> pixels belonging to the same altitude, slope, and soil class, </w:t>
      </w:r>
      <w:proofErr w:type="gramStart"/>
      <w:r w:rsidRPr="008408C3">
        <w:rPr>
          <w:color w:val="000000"/>
          <w:highlight w:val="white"/>
        </w:rPr>
        <w:t>and also</w:t>
      </w:r>
      <w:proofErr w:type="gramEnd"/>
      <w:r w:rsidRPr="008408C3">
        <w:rPr>
          <w:color w:val="000000"/>
          <w:highlight w:val="white"/>
        </w:rPr>
        <w:t xml:space="preserve"> the same country (</w:t>
      </w:r>
      <w:proofErr w:type="spellStart"/>
      <w:r w:rsidRPr="008408C3">
        <w:rPr>
          <w:color w:val="000000"/>
          <w:highlight w:val="white"/>
        </w:rPr>
        <w:t>Skalský</w:t>
      </w:r>
      <w:proofErr w:type="spellEnd"/>
      <w:r w:rsidRPr="008408C3">
        <w:rPr>
          <w:color w:val="000000"/>
          <w:highlight w:val="white"/>
        </w:rPr>
        <w:t xml:space="preserve"> et al. 2008). For crops, livestock, and forest products, spatially explicit Leontief production functions covering alternative production systems are parameterized using biophysical models like EPIC (Environmental Policy Integrated Model) (Williams 1995), G4M (Global Forest Model) (</w:t>
      </w:r>
      <w:proofErr w:type="spellStart"/>
      <w:r w:rsidRPr="008408C3">
        <w:rPr>
          <w:color w:val="000000"/>
          <w:highlight w:val="white"/>
        </w:rPr>
        <w:t>Kindermann</w:t>
      </w:r>
      <w:proofErr w:type="spellEnd"/>
      <w:r w:rsidRPr="008408C3">
        <w:rPr>
          <w:color w:val="000000"/>
          <w:highlight w:val="white"/>
        </w:rPr>
        <w:t xml:space="preserve"> et al. 2008, </w:t>
      </w:r>
      <w:proofErr w:type="spellStart"/>
      <w:r w:rsidRPr="008408C3">
        <w:rPr>
          <w:color w:val="000000"/>
          <w:highlight w:val="white"/>
        </w:rPr>
        <w:t>Gusti</w:t>
      </w:r>
      <w:proofErr w:type="spellEnd"/>
      <w:r w:rsidRPr="008408C3">
        <w:rPr>
          <w:color w:val="000000"/>
          <w:highlight w:val="white"/>
        </w:rPr>
        <w:t xml:space="preserve"> 2010), or the RUMINANT model (Herrero et al. 2013). For the present study, the supply side spatial resolution </w:t>
      </w:r>
      <w:proofErr w:type="gramStart"/>
      <w:r w:rsidRPr="008408C3">
        <w:rPr>
          <w:color w:val="000000"/>
          <w:highlight w:val="white"/>
        </w:rPr>
        <w:t>was aggregated</w:t>
      </w:r>
      <w:proofErr w:type="gramEnd"/>
      <w:r w:rsidRPr="008408C3">
        <w:rPr>
          <w:color w:val="000000"/>
          <w:highlight w:val="white"/>
        </w:rPr>
        <w:t xml:space="preserve"> to 2 degrees (about 200 x 200 km at the equator). Land and other resources are allocated to the different production and processing activities to maximize a social welfare function which consists of the sum of producer and consumer surplus. The model includes six land cover types: cropland, grassland, short rotation plantations, managed forests, unmanaged forests, and other natural vegetation land. Depending on the relative profitability of primary, by-, and final products production activities, the model can switch from one land cover type to another. Spatially explicit land conversion over the simulation period is endogenously determined within the available land resources and conversion costs that </w:t>
      </w:r>
      <w:proofErr w:type="gramStart"/>
      <w:r w:rsidRPr="008408C3">
        <w:rPr>
          <w:color w:val="000000"/>
          <w:highlight w:val="white"/>
        </w:rPr>
        <w:t>is taken</w:t>
      </w:r>
      <w:proofErr w:type="gramEnd"/>
      <w:r w:rsidRPr="008408C3">
        <w:rPr>
          <w:color w:val="000000"/>
          <w:highlight w:val="white"/>
        </w:rPr>
        <w:t xml:space="preserve"> into account in the producer optimization </w:t>
      </w:r>
      <w:proofErr w:type="spellStart"/>
      <w:r w:rsidRPr="008408C3">
        <w:rPr>
          <w:color w:val="000000"/>
          <w:highlight w:val="white"/>
        </w:rPr>
        <w:t>behavior</w:t>
      </w:r>
      <w:proofErr w:type="spellEnd"/>
      <w:r w:rsidRPr="008408C3">
        <w:rPr>
          <w:color w:val="000000"/>
          <w:highlight w:val="white"/>
        </w:rPr>
        <w:t>. Land conversion possibilities are further restricted through biophysical land suitability and production potentials, and through a matrix of potential land cover transitions. GLOBIOM covers major GHG emissions from agricultural production, forestry, and other land use including CO</w:t>
      </w:r>
      <w:r w:rsidRPr="008408C3">
        <w:rPr>
          <w:color w:val="000000"/>
          <w:highlight w:val="white"/>
          <w:vertAlign w:val="subscript"/>
        </w:rPr>
        <w:t>2</w:t>
      </w:r>
      <w:r w:rsidRPr="008408C3">
        <w:rPr>
          <w:color w:val="000000"/>
          <w:highlight w:val="white"/>
        </w:rPr>
        <w:t xml:space="preserve"> emissions from above- and belowground biomass changes, N</w:t>
      </w:r>
      <w:r w:rsidRPr="008408C3">
        <w:rPr>
          <w:color w:val="000000"/>
          <w:highlight w:val="white"/>
          <w:vertAlign w:val="subscript"/>
        </w:rPr>
        <w:t>2</w:t>
      </w:r>
      <w:r w:rsidRPr="008408C3">
        <w:rPr>
          <w:color w:val="000000"/>
          <w:highlight w:val="white"/>
        </w:rPr>
        <w:t>O from the application of synthetic fertilizer and manure to soils, N</w:t>
      </w:r>
      <w:r w:rsidRPr="008408C3">
        <w:rPr>
          <w:color w:val="000000"/>
          <w:highlight w:val="white"/>
          <w:vertAlign w:val="subscript"/>
        </w:rPr>
        <w:t>2</w:t>
      </w:r>
      <w:r w:rsidRPr="008408C3">
        <w:rPr>
          <w:color w:val="000000"/>
          <w:highlight w:val="white"/>
        </w:rPr>
        <w:t>O from manure dropped on pastures, CH</w:t>
      </w:r>
      <w:r w:rsidRPr="008408C3">
        <w:rPr>
          <w:color w:val="000000"/>
          <w:highlight w:val="white"/>
          <w:vertAlign w:val="subscript"/>
        </w:rPr>
        <w:t>4</w:t>
      </w:r>
      <w:r w:rsidRPr="008408C3">
        <w:rPr>
          <w:color w:val="000000"/>
          <w:highlight w:val="white"/>
        </w:rPr>
        <w:t xml:space="preserve"> from rice cultivation, N</w:t>
      </w:r>
      <w:r w:rsidRPr="008408C3">
        <w:rPr>
          <w:color w:val="000000"/>
          <w:highlight w:val="white"/>
          <w:vertAlign w:val="subscript"/>
        </w:rPr>
        <w:t>2</w:t>
      </w:r>
      <w:r w:rsidRPr="008408C3">
        <w:rPr>
          <w:color w:val="000000"/>
          <w:highlight w:val="white"/>
        </w:rPr>
        <w:t>O and CH</w:t>
      </w:r>
      <w:r w:rsidRPr="008408C3">
        <w:rPr>
          <w:color w:val="000000"/>
          <w:highlight w:val="white"/>
          <w:vertAlign w:val="subscript"/>
        </w:rPr>
        <w:t>4</w:t>
      </w:r>
      <w:r w:rsidRPr="008408C3">
        <w:rPr>
          <w:color w:val="000000"/>
          <w:highlight w:val="white"/>
        </w:rPr>
        <w:t xml:space="preserve"> from manure management, and CH</w:t>
      </w:r>
      <w:r w:rsidRPr="008408C3">
        <w:rPr>
          <w:color w:val="000000"/>
          <w:highlight w:val="white"/>
          <w:vertAlign w:val="subscript"/>
        </w:rPr>
        <w:t>4</w:t>
      </w:r>
      <w:r w:rsidRPr="008408C3">
        <w:rPr>
          <w:color w:val="000000"/>
          <w:highlight w:val="white"/>
        </w:rPr>
        <w:t xml:space="preserve"> from enteric fermentation. For this study, only results for non-CO</w:t>
      </w:r>
      <w:r w:rsidRPr="008408C3">
        <w:rPr>
          <w:color w:val="000000"/>
          <w:highlight w:val="white"/>
          <w:vertAlign w:val="subscript"/>
        </w:rPr>
        <w:t>2</w:t>
      </w:r>
      <w:r w:rsidRPr="008408C3">
        <w:rPr>
          <w:color w:val="000000"/>
          <w:highlight w:val="white"/>
        </w:rPr>
        <w:t xml:space="preserve"> emissions </w:t>
      </w:r>
      <w:proofErr w:type="gramStart"/>
      <w:r w:rsidRPr="008408C3">
        <w:rPr>
          <w:color w:val="000000"/>
          <w:highlight w:val="white"/>
        </w:rPr>
        <w:t>were reported</w:t>
      </w:r>
      <w:proofErr w:type="gramEnd"/>
      <w:r w:rsidRPr="008408C3">
        <w:rPr>
          <w:color w:val="000000"/>
          <w:highlight w:val="white"/>
        </w:rPr>
        <w:t xml:space="preserve">. </w:t>
      </w:r>
      <w:proofErr w:type="gramStart"/>
      <w:r w:rsidRPr="008408C3">
        <w:rPr>
          <w:color w:val="000000"/>
          <w:highlight w:val="white"/>
        </w:rPr>
        <w:t xml:space="preserve">The model explicitly covers different mitigation options for the agricultural sector: technical mitigation options such as anaerobic digesters, livestock feed supplements, nitrogen inhibitors etc. are based on Beach et al. (2015), structural adjustments are represented through a </w:t>
      </w:r>
      <w:r w:rsidRPr="008408C3">
        <w:rPr>
          <w:color w:val="000000"/>
          <w:highlight w:val="white"/>
        </w:rPr>
        <w:lastRenderedPageBreak/>
        <w:t>comprehensive set of crop- and livestock management systems parameterized using bio-physical models i.e. transition in management systems, reallocation of production within and across regions (</w:t>
      </w:r>
      <w:proofErr w:type="spellStart"/>
      <w:r w:rsidRPr="008408C3">
        <w:rPr>
          <w:color w:val="000000"/>
          <w:highlight w:val="white"/>
        </w:rPr>
        <w:t>Havlík</w:t>
      </w:r>
      <w:proofErr w:type="spellEnd"/>
      <w:r w:rsidRPr="008408C3">
        <w:rPr>
          <w:color w:val="000000"/>
          <w:highlight w:val="white"/>
        </w:rPr>
        <w:t xml:space="preserve">  et al. 2014), and consumers’ response to market signals (</w:t>
      </w:r>
      <w:proofErr w:type="spellStart"/>
      <w:r w:rsidRPr="008408C3">
        <w:rPr>
          <w:color w:val="000000"/>
          <w:highlight w:val="white"/>
        </w:rPr>
        <w:t>Valin</w:t>
      </w:r>
      <w:proofErr w:type="spellEnd"/>
      <w:r w:rsidRPr="008408C3">
        <w:rPr>
          <w:color w:val="000000"/>
          <w:highlight w:val="white"/>
        </w:rPr>
        <w:t xml:space="preserve"> et al. 2014).</w:t>
      </w:r>
      <w:proofErr w:type="gramEnd"/>
      <w:r w:rsidRPr="008408C3">
        <w:rPr>
          <w:color w:val="000000"/>
          <w:highlight w:val="white"/>
        </w:rPr>
        <w:t xml:space="preserve"> Detailed information on the parameterization of the different mitigation options for the agricultural sector </w:t>
      </w:r>
      <w:proofErr w:type="gramStart"/>
      <w:r w:rsidRPr="008408C3">
        <w:rPr>
          <w:color w:val="000000"/>
          <w:highlight w:val="white"/>
        </w:rPr>
        <w:t>are presented</w:t>
      </w:r>
      <w:proofErr w:type="gramEnd"/>
      <w:r w:rsidRPr="008408C3">
        <w:rPr>
          <w:color w:val="000000"/>
          <w:highlight w:val="white"/>
        </w:rPr>
        <w:t xml:space="preserve"> in Frank et al. (2018). For more information on the general model </w:t>
      </w:r>
      <w:proofErr w:type="gramStart"/>
      <w:r w:rsidRPr="008408C3">
        <w:rPr>
          <w:color w:val="000000"/>
          <w:highlight w:val="white"/>
        </w:rPr>
        <w:t>structure</w:t>
      </w:r>
      <w:proofErr w:type="gramEnd"/>
      <w:r w:rsidRPr="008408C3">
        <w:rPr>
          <w:color w:val="000000"/>
          <w:highlight w:val="white"/>
        </w:rPr>
        <w:t xml:space="preserve"> we refer to </w:t>
      </w:r>
      <w:proofErr w:type="spellStart"/>
      <w:r w:rsidRPr="008408C3">
        <w:rPr>
          <w:color w:val="000000"/>
          <w:highlight w:val="white"/>
        </w:rPr>
        <w:t>Havlík</w:t>
      </w:r>
      <w:proofErr w:type="spellEnd"/>
      <w:r w:rsidRPr="008408C3">
        <w:rPr>
          <w:color w:val="000000"/>
          <w:highlight w:val="white"/>
        </w:rPr>
        <w:t xml:space="preserve"> et al. (2011) and </w:t>
      </w:r>
      <w:proofErr w:type="spellStart"/>
      <w:r w:rsidRPr="008408C3">
        <w:rPr>
          <w:color w:val="000000"/>
          <w:highlight w:val="white"/>
        </w:rPr>
        <w:t>Havlík</w:t>
      </w:r>
      <w:proofErr w:type="spellEnd"/>
      <w:r w:rsidRPr="008408C3">
        <w:rPr>
          <w:color w:val="000000"/>
          <w:highlight w:val="white"/>
        </w:rPr>
        <w:t xml:space="preserve"> et al. (2014).</w:t>
      </w:r>
    </w:p>
    <w:p w14:paraId="2E822FA8" w14:textId="77777777" w:rsidR="00D2063E" w:rsidRPr="008408C3" w:rsidRDefault="00D2063E" w:rsidP="00D2063E">
      <w:pPr>
        <w:keepNext/>
        <w:jc w:val="both"/>
        <w:rPr>
          <w:color w:val="000000"/>
          <w:highlight w:val="white"/>
          <w:u w:val="single"/>
        </w:rPr>
      </w:pPr>
      <w:r w:rsidRPr="008408C3">
        <w:rPr>
          <w:color w:val="000000"/>
          <w:highlight w:val="white"/>
          <w:u w:val="single"/>
        </w:rPr>
        <w:t>References:</w:t>
      </w:r>
    </w:p>
    <w:p w14:paraId="536AFE39" w14:textId="5785A6A4" w:rsidR="00D2063E" w:rsidRPr="008408C3" w:rsidRDefault="00D2063E" w:rsidP="00D2063E">
      <w:pPr>
        <w:spacing w:after="120"/>
        <w:ind w:left="567" w:hanging="567"/>
        <w:jc w:val="both"/>
      </w:pPr>
      <w:r w:rsidRPr="008408C3">
        <w:t xml:space="preserve">Beach, R. H., </w:t>
      </w:r>
      <w:proofErr w:type="spellStart"/>
      <w:r w:rsidRPr="008408C3">
        <w:t>Creason</w:t>
      </w:r>
      <w:proofErr w:type="spellEnd"/>
      <w:r w:rsidRPr="008408C3">
        <w:t xml:space="preserve">, J., </w:t>
      </w:r>
      <w:proofErr w:type="spellStart"/>
      <w:r w:rsidRPr="008408C3">
        <w:t>Ohrel</w:t>
      </w:r>
      <w:proofErr w:type="spellEnd"/>
      <w:r w:rsidRPr="008408C3">
        <w:t xml:space="preserve">, S. B., </w:t>
      </w:r>
      <w:proofErr w:type="spellStart"/>
      <w:r w:rsidRPr="008408C3">
        <w:t>Ragnauth</w:t>
      </w:r>
      <w:proofErr w:type="spellEnd"/>
      <w:r w:rsidRPr="008408C3">
        <w:t>, S., Ogle, S., Li, C., Salas, W. (2015). Global mitigation potential and costs of reducing agricultural non-CO2 greenhouse gas emissions through 2030. Journal of Integrative Environmental Sciences, 12(sup1), 87-105. doi:10.1080/1943815X.2015.1110183</w:t>
      </w:r>
    </w:p>
    <w:p w14:paraId="4AA7A168" w14:textId="1E59AABF" w:rsidR="00D2063E" w:rsidRPr="008408C3" w:rsidRDefault="00D2063E" w:rsidP="00D2063E">
      <w:pPr>
        <w:spacing w:after="120"/>
        <w:ind w:left="567" w:hanging="567"/>
        <w:jc w:val="both"/>
      </w:pPr>
      <w:r w:rsidRPr="005348FA">
        <w:rPr>
          <w:lang w:val="de-DE"/>
        </w:rPr>
        <w:t xml:space="preserve">Frank, S., Beach, R., </w:t>
      </w:r>
      <w:proofErr w:type="spellStart"/>
      <w:r w:rsidRPr="005348FA">
        <w:rPr>
          <w:lang w:val="de-DE"/>
        </w:rPr>
        <w:t>Havlík</w:t>
      </w:r>
      <w:proofErr w:type="spellEnd"/>
      <w:r w:rsidRPr="005348FA">
        <w:rPr>
          <w:lang w:val="de-DE"/>
        </w:rPr>
        <w:t xml:space="preserve">, P., </w:t>
      </w:r>
      <w:proofErr w:type="spellStart"/>
      <w:r w:rsidRPr="005348FA">
        <w:rPr>
          <w:lang w:val="de-DE"/>
        </w:rPr>
        <w:t>Valin</w:t>
      </w:r>
      <w:proofErr w:type="spellEnd"/>
      <w:r w:rsidRPr="005348FA">
        <w:rPr>
          <w:lang w:val="de-DE"/>
        </w:rPr>
        <w:t xml:space="preserve">, H., Herrero, M., </w:t>
      </w:r>
      <w:proofErr w:type="spellStart"/>
      <w:r w:rsidRPr="005348FA">
        <w:rPr>
          <w:lang w:val="de-DE"/>
        </w:rPr>
        <w:t>Mosnier</w:t>
      </w:r>
      <w:proofErr w:type="spellEnd"/>
      <w:r w:rsidRPr="005348FA">
        <w:rPr>
          <w:lang w:val="de-DE"/>
        </w:rPr>
        <w:t xml:space="preserve">, A., Obersteiner, M. (2018). </w:t>
      </w:r>
      <w:r w:rsidRPr="008408C3">
        <w:t xml:space="preserve">Structural change as a key component for agricultural non-CO2 mitigation efforts. Nature Communications, 9(1), 1060. </w:t>
      </w:r>
      <w:proofErr w:type="gramStart"/>
      <w:r w:rsidRPr="008408C3">
        <w:t>doi:</w:t>
      </w:r>
      <w:proofErr w:type="gramEnd"/>
      <w:r w:rsidRPr="008408C3">
        <w:t>10.1038/s41467-018-03489-1</w:t>
      </w:r>
    </w:p>
    <w:p w14:paraId="1BE7DE50" w14:textId="77777777" w:rsidR="00D2063E" w:rsidRPr="008408C3" w:rsidRDefault="00D2063E" w:rsidP="00D2063E">
      <w:pPr>
        <w:spacing w:after="120"/>
        <w:ind w:left="567" w:hanging="567"/>
        <w:jc w:val="both"/>
        <w:rPr>
          <w:lang w:val="de-DE"/>
        </w:rPr>
      </w:pPr>
      <w:proofErr w:type="spellStart"/>
      <w:r w:rsidRPr="008408C3">
        <w:t>Gusti</w:t>
      </w:r>
      <w:proofErr w:type="spellEnd"/>
      <w:r w:rsidRPr="008408C3">
        <w:t xml:space="preserve">, M. (2010). An algorithm for simulation of forest management decisions in the global forest model. </w:t>
      </w:r>
      <w:proofErr w:type="spellStart"/>
      <w:r w:rsidRPr="008408C3">
        <w:rPr>
          <w:lang w:val="de-DE"/>
        </w:rPr>
        <w:t>Artificial</w:t>
      </w:r>
      <w:proofErr w:type="spellEnd"/>
      <w:r w:rsidRPr="008408C3">
        <w:rPr>
          <w:lang w:val="de-DE"/>
        </w:rPr>
        <w:t xml:space="preserve"> </w:t>
      </w:r>
      <w:proofErr w:type="spellStart"/>
      <w:r w:rsidRPr="008408C3">
        <w:rPr>
          <w:lang w:val="de-DE"/>
        </w:rPr>
        <w:t>Intelligence</w:t>
      </w:r>
      <w:proofErr w:type="spellEnd"/>
      <w:r w:rsidRPr="008408C3">
        <w:rPr>
          <w:lang w:val="de-DE"/>
        </w:rPr>
        <w:t>, N4, 45-49.</w:t>
      </w:r>
    </w:p>
    <w:p w14:paraId="29485A23" w14:textId="23A4643B" w:rsidR="00D2063E" w:rsidRPr="00616914" w:rsidRDefault="00D2063E" w:rsidP="00D2063E">
      <w:pPr>
        <w:spacing w:after="120"/>
        <w:ind w:left="567" w:hanging="567"/>
        <w:jc w:val="both"/>
      </w:pPr>
      <w:proofErr w:type="spellStart"/>
      <w:r w:rsidRPr="008408C3">
        <w:rPr>
          <w:lang w:val="de-DE"/>
        </w:rPr>
        <w:t>Havlík</w:t>
      </w:r>
      <w:proofErr w:type="spellEnd"/>
      <w:r w:rsidRPr="008408C3">
        <w:rPr>
          <w:lang w:val="de-DE"/>
        </w:rPr>
        <w:t xml:space="preserve">, P., Schneider, U. A., Schmid, E., Böttcher, H., Fritz, S., </w:t>
      </w:r>
      <w:proofErr w:type="spellStart"/>
      <w:r w:rsidRPr="008408C3">
        <w:rPr>
          <w:lang w:val="de-DE"/>
        </w:rPr>
        <w:t>Skalský</w:t>
      </w:r>
      <w:proofErr w:type="spellEnd"/>
      <w:r w:rsidRPr="008408C3">
        <w:rPr>
          <w:lang w:val="de-DE"/>
        </w:rPr>
        <w:t xml:space="preserve">, R., </w:t>
      </w:r>
      <w:r w:rsidRPr="00D82955">
        <w:rPr>
          <w:lang w:val="de-DE"/>
        </w:rPr>
        <w:t xml:space="preserve">Obersteiner, M. (2011). </w:t>
      </w:r>
      <w:r w:rsidRPr="008408C3">
        <w:t xml:space="preserve">Global land-use implications of first and </w:t>
      </w:r>
      <w:proofErr w:type="gramStart"/>
      <w:r w:rsidRPr="008408C3">
        <w:t>second generation</w:t>
      </w:r>
      <w:proofErr w:type="gramEnd"/>
      <w:r w:rsidRPr="008408C3">
        <w:t xml:space="preserve"> biofuel targets. </w:t>
      </w:r>
      <w:r w:rsidRPr="00616914">
        <w:t>Energy Policy, 39(10), 5690-5702. doi:10.1016/j.enpol.2010.03.030</w:t>
      </w:r>
    </w:p>
    <w:p w14:paraId="57B6B799" w14:textId="3922A76D" w:rsidR="00D2063E" w:rsidRPr="008408C3" w:rsidRDefault="00D2063E" w:rsidP="00D2063E">
      <w:pPr>
        <w:spacing w:after="120"/>
        <w:ind w:left="567" w:hanging="567"/>
        <w:jc w:val="both"/>
      </w:pPr>
      <w:proofErr w:type="spellStart"/>
      <w:r w:rsidRPr="00616914">
        <w:t>Havlík</w:t>
      </w:r>
      <w:proofErr w:type="spellEnd"/>
      <w:r w:rsidRPr="00616914">
        <w:t xml:space="preserve">, P., </w:t>
      </w:r>
      <w:proofErr w:type="spellStart"/>
      <w:r w:rsidRPr="00616914">
        <w:t>Valin</w:t>
      </w:r>
      <w:proofErr w:type="spellEnd"/>
      <w:r w:rsidRPr="00616914">
        <w:t xml:space="preserve">, H., Herrero, M., </w:t>
      </w:r>
      <w:proofErr w:type="spellStart"/>
      <w:r w:rsidRPr="00616914">
        <w:t>Obersteiner</w:t>
      </w:r>
      <w:proofErr w:type="spellEnd"/>
      <w:r w:rsidRPr="00616914">
        <w:t xml:space="preserve">, M., </w:t>
      </w:r>
      <w:proofErr w:type="spellStart"/>
      <w:r w:rsidRPr="00616914">
        <w:t>Schmid</w:t>
      </w:r>
      <w:proofErr w:type="spellEnd"/>
      <w:r w:rsidRPr="00616914">
        <w:t xml:space="preserve">, E., </w:t>
      </w:r>
      <w:proofErr w:type="spellStart"/>
      <w:r w:rsidRPr="00616914">
        <w:t>Rufino</w:t>
      </w:r>
      <w:proofErr w:type="spellEnd"/>
      <w:r w:rsidRPr="00616914">
        <w:t xml:space="preserve">, M. C., </w:t>
      </w:r>
      <w:proofErr w:type="spellStart"/>
      <w:r w:rsidRPr="00616914">
        <w:t>Notenbaert</w:t>
      </w:r>
      <w:proofErr w:type="spellEnd"/>
      <w:r w:rsidRPr="00616914">
        <w:t xml:space="preserve">, A. (2014). </w:t>
      </w:r>
      <w:r w:rsidRPr="008408C3">
        <w:t>Climate change mitigation through livestock system transitions. Proceedings of the National Academy of Sciences, 111(10), 3709-3714. doi:10.1073/pnas.1308044111</w:t>
      </w:r>
    </w:p>
    <w:p w14:paraId="17AE3BFB" w14:textId="61225435" w:rsidR="00D2063E" w:rsidRPr="008408C3" w:rsidRDefault="00D2063E" w:rsidP="00D2063E">
      <w:pPr>
        <w:spacing w:after="120"/>
        <w:ind w:left="567" w:hanging="567"/>
        <w:jc w:val="both"/>
      </w:pPr>
      <w:r w:rsidRPr="00D82955">
        <w:rPr>
          <w:lang w:val="de-DE"/>
        </w:rPr>
        <w:t xml:space="preserve">Herrero, M., </w:t>
      </w:r>
      <w:proofErr w:type="spellStart"/>
      <w:r w:rsidRPr="00D82955">
        <w:rPr>
          <w:lang w:val="de-DE"/>
        </w:rPr>
        <w:t>Havlík</w:t>
      </w:r>
      <w:proofErr w:type="spellEnd"/>
      <w:r w:rsidRPr="00D82955">
        <w:rPr>
          <w:lang w:val="de-DE"/>
        </w:rPr>
        <w:t xml:space="preserve">, P., </w:t>
      </w:r>
      <w:proofErr w:type="spellStart"/>
      <w:r w:rsidRPr="00D82955">
        <w:rPr>
          <w:lang w:val="de-DE"/>
        </w:rPr>
        <w:t>Valin</w:t>
      </w:r>
      <w:proofErr w:type="spellEnd"/>
      <w:r w:rsidRPr="00D82955">
        <w:rPr>
          <w:lang w:val="de-DE"/>
        </w:rPr>
        <w:t xml:space="preserve">, H., </w:t>
      </w:r>
      <w:proofErr w:type="spellStart"/>
      <w:r w:rsidRPr="00D82955">
        <w:rPr>
          <w:lang w:val="de-DE"/>
        </w:rPr>
        <w:t>Notenbaert</w:t>
      </w:r>
      <w:proofErr w:type="spellEnd"/>
      <w:r w:rsidRPr="00D82955">
        <w:rPr>
          <w:lang w:val="de-DE"/>
        </w:rPr>
        <w:t xml:space="preserve">, A., Rufino, M. C., Thornton, P. K., Obersteiner, M. (2013). </w:t>
      </w:r>
      <w:r w:rsidRPr="008408C3">
        <w:t xml:space="preserve">Biomass use, production, feed </w:t>
      </w:r>
      <w:proofErr w:type="gramStart"/>
      <w:r w:rsidRPr="008408C3">
        <w:t>efficiencies,</w:t>
      </w:r>
      <w:proofErr w:type="gramEnd"/>
      <w:r w:rsidRPr="008408C3">
        <w:t xml:space="preserve"> and greenhouse gas emissions from global livestock systems. Proceedings of the National Academy of Sciences, 110(52), 20888-20893. doi:10.1073/pnas.1308149110</w:t>
      </w:r>
    </w:p>
    <w:p w14:paraId="123FC608" w14:textId="77777777" w:rsidR="00D2063E" w:rsidRPr="008408C3" w:rsidRDefault="00D2063E" w:rsidP="00D2063E">
      <w:pPr>
        <w:spacing w:after="120"/>
        <w:ind w:left="567" w:hanging="567"/>
        <w:jc w:val="both"/>
      </w:pPr>
      <w:proofErr w:type="spellStart"/>
      <w:r w:rsidRPr="008408C3">
        <w:t>Kindermann</w:t>
      </w:r>
      <w:proofErr w:type="spellEnd"/>
      <w:r w:rsidRPr="008408C3">
        <w:t xml:space="preserve">, G. E., McCallum, I., Fritz, S., &amp; </w:t>
      </w:r>
      <w:proofErr w:type="spellStart"/>
      <w:r w:rsidRPr="008408C3">
        <w:t>Obersteiner</w:t>
      </w:r>
      <w:proofErr w:type="spellEnd"/>
      <w:r w:rsidRPr="008408C3">
        <w:t xml:space="preserve">, M. (2008). A global forest growing stock, biomass and carbon map based on FAO statistics. Silva </w:t>
      </w:r>
      <w:proofErr w:type="spellStart"/>
      <w:r w:rsidRPr="008408C3">
        <w:t>Fennica</w:t>
      </w:r>
      <w:proofErr w:type="spellEnd"/>
      <w:r w:rsidRPr="008408C3">
        <w:t>, 42(3), 387-396.</w:t>
      </w:r>
    </w:p>
    <w:p w14:paraId="339CDD13" w14:textId="28586C34" w:rsidR="00D2063E" w:rsidRPr="008408C3" w:rsidRDefault="00D2063E" w:rsidP="00D2063E">
      <w:pPr>
        <w:spacing w:after="120"/>
        <w:ind w:left="567" w:hanging="567"/>
        <w:jc w:val="both"/>
      </w:pPr>
      <w:proofErr w:type="spellStart"/>
      <w:r w:rsidRPr="008408C3">
        <w:t>Skalský</w:t>
      </w:r>
      <w:proofErr w:type="spellEnd"/>
      <w:r w:rsidRPr="008408C3">
        <w:t xml:space="preserve">, R., </w:t>
      </w:r>
      <w:proofErr w:type="spellStart"/>
      <w:r w:rsidRPr="008408C3">
        <w:t>Tarasovičová</w:t>
      </w:r>
      <w:proofErr w:type="spellEnd"/>
      <w:r w:rsidRPr="008408C3">
        <w:t xml:space="preserve">, Z., </w:t>
      </w:r>
      <w:proofErr w:type="spellStart"/>
      <w:r w:rsidRPr="008408C3">
        <w:t>Balkovič</w:t>
      </w:r>
      <w:proofErr w:type="spellEnd"/>
      <w:r w:rsidRPr="008408C3">
        <w:t xml:space="preserve">, J., </w:t>
      </w:r>
      <w:proofErr w:type="spellStart"/>
      <w:r w:rsidRPr="008408C3">
        <w:t>Schmid</w:t>
      </w:r>
      <w:proofErr w:type="spellEnd"/>
      <w:r w:rsidRPr="008408C3">
        <w:t xml:space="preserve">, E., Fuchs, M., </w:t>
      </w:r>
      <w:proofErr w:type="spellStart"/>
      <w:r w:rsidRPr="008408C3">
        <w:t>Moltchanova</w:t>
      </w:r>
      <w:proofErr w:type="spellEnd"/>
      <w:r w:rsidRPr="008408C3">
        <w:t xml:space="preserve">, E., </w:t>
      </w:r>
      <w:proofErr w:type="spellStart"/>
      <w:r w:rsidRPr="008408C3">
        <w:t>Scholtz</w:t>
      </w:r>
      <w:proofErr w:type="spellEnd"/>
      <w:r w:rsidRPr="008408C3">
        <w:t xml:space="preserve">, P. (2008). GEO-BENE global database for </w:t>
      </w:r>
      <w:proofErr w:type="gramStart"/>
      <w:r w:rsidRPr="008408C3">
        <w:t>bio-physical</w:t>
      </w:r>
      <w:proofErr w:type="gramEnd"/>
      <w:r w:rsidRPr="008408C3">
        <w:t xml:space="preserve"> </w:t>
      </w:r>
      <w:proofErr w:type="spellStart"/>
      <w:r w:rsidRPr="008408C3">
        <w:t>modeling</w:t>
      </w:r>
      <w:proofErr w:type="spellEnd"/>
      <w:r w:rsidRPr="008408C3">
        <w:t xml:space="preserve"> v. 1.0 - concepts, methodologies and data. The GEO-BENE database report. Retrieved from</w:t>
      </w:r>
    </w:p>
    <w:p w14:paraId="23D9F646" w14:textId="6AED5A15" w:rsidR="00D2063E" w:rsidRPr="008408C3" w:rsidRDefault="00D2063E" w:rsidP="00D2063E">
      <w:pPr>
        <w:spacing w:after="120"/>
        <w:ind w:left="567" w:hanging="567"/>
        <w:jc w:val="both"/>
      </w:pPr>
      <w:proofErr w:type="spellStart"/>
      <w:r w:rsidRPr="00616914">
        <w:t>Valin</w:t>
      </w:r>
      <w:proofErr w:type="spellEnd"/>
      <w:r w:rsidRPr="00616914">
        <w:t xml:space="preserve">, H., Sands, R. D., van der Mensbrugghe, D., Nelson, G. C., </w:t>
      </w:r>
      <w:proofErr w:type="spellStart"/>
      <w:r w:rsidRPr="00616914">
        <w:t>Ahammad</w:t>
      </w:r>
      <w:proofErr w:type="spellEnd"/>
      <w:r w:rsidRPr="00616914">
        <w:t xml:space="preserve">, H., Blanc, E., </w:t>
      </w:r>
      <w:proofErr w:type="spellStart"/>
      <w:r w:rsidRPr="00616914">
        <w:t>Willenbockel</w:t>
      </w:r>
      <w:proofErr w:type="spellEnd"/>
      <w:r w:rsidRPr="00616914">
        <w:t xml:space="preserve">, D. (2014). </w:t>
      </w:r>
      <w:r w:rsidRPr="008408C3">
        <w:t>The future of food demand: understanding differences in global economic models. Agricultural Economics, 45(1), 51-67. doi:10.1111/agec.12089</w:t>
      </w:r>
    </w:p>
    <w:p w14:paraId="7BC9A322" w14:textId="77777777" w:rsidR="00D2063E" w:rsidRPr="008408C3" w:rsidRDefault="00D2063E" w:rsidP="00D2063E">
      <w:pPr>
        <w:spacing w:after="120"/>
        <w:ind w:left="567" w:hanging="567"/>
        <w:jc w:val="both"/>
      </w:pPr>
      <w:r w:rsidRPr="008408C3">
        <w:t>Williams, J. R. (1995). The EPIC Model. In V. P. Singh (Ed.), Computer Models of Watershed Hydrology (pp. 909-1000): Water Resources Publications, Highlands Ranch, Colorado.</w:t>
      </w:r>
    </w:p>
    <w:p w14:paraId="0184490A" w14:textId="77777777" w:rsidR="00D2063E" w:rsidRDefault="00D2063E" w:rsidP="00D2063E">
      <w:pPr>
        <w:pStyle w:val="Heading1"/>
        <w:numPr>
          <w:ilvl w:val="1"/>
          <w:numId w:val="1"/>
        </w:numPr>
      </w:pPr>
      <w:r>
        <w:t>MAGNET</w:t>
      </w:r>
    </w:p>
    <w:p w14:paraId="4AF2B782" w14:textId="77777777" w:rsidR="00D2063E" w:rsidRPr="008408C3" w:rsidRDefault="00D2063E" w:rsidP="00D2063E">
      <w:pPr>
        <w:jc w:val="both"/>
        <w:rPr>
          <w:color w:val="000000"/>
          <w:highlight w:val="white"/>
        </w:rPr>
      </w:pPr>
      <w:r w:rsidRPr="008408C3">
        <w:rPr>
          <w:color w:val="000000"/>
          <w:highlight w:val="white"/>
        </w:rPr>
        <w:t xml:space="preserve">The Modular Applied </w:t>
      </w:r>
      <w:proofErr w:type="spellStart"/>
      <w:r w:rsidRPr="008408C3">
        <w:rPr>
          <w:color w:val="000000"/>
          <w:highlight w:val="white"/>
        </w:rPr>
        <w:t>GeNeral</w:t>
      </w:r>
      <w:proofErr w:type="spellEnd"/>
      <w:r w:rsidRPr="008408C3">
        <w:rPr>
          <w:color w:val="000000"/>
          <w:highlight w:val="white"/>
        </w:rPr>
        <w:t xml:space="preserve"> Equilibrium Tool (MAGNET) model is a multi-regional, multi-sectoral, applied general equilibrium model based on neo-classical microeconomic theory (</w:t>
      </w:r>
      <w:proofErr w:type="spellStart"/>
      <w:r w:rsidRPr="008408C3">
        <w:rPr>
          <w:color w:val="000000"/>
          <w:highlight w:val="white"/>
        </w:rPr>
        <w:t>Woltjer</w:t>
      </w:r>
      <w:proofErr w:type="spellEnd"/>
      <w:r w:rsidRPr="008408C3">
        <w:rPr>
          <w:color w:val="000000"/>
          <w:highlight w:val="white"/>
        </w:rPr>
        <w:t xml:space="preserve"> et al. </w:t>
      </w:r>
      <w:r w:rsidRPr="008408C3">
        <w:rPr>
          <w:color w:val="000000"/>
          <w:highlight w:val="white"/>
        </w:rPr>
        <w:lastRenderedPageBreak/>
        <w:t>2014, Van Meijl et al. 2006 &amp; 2018). It is an extended version of the standard GTAP model (</w:t>
      </w:r>
      <w:proofErr w:type="spellStart"/>
      <w:r w:rsidRPr="008408C3">
        <w:rPr>
          <w:color w:val="000000"/>
          <w:highlight w:val="white"/>
        </w:rPr>
        <w:t>Hertel</w:t>
      </w:r>
      <w:proofErr w:type="spellEnd"/>
      <w:r w:rsidRPr="008408C3">
        <w:rPr>
          <w:color w:val="000000"/>
          <w:highlight w:val="white"/>
        </w:rPr>
        <w:t xml:space="preserve"> et al. 1997). The core of MAGNET is an input–output model, which links industries in value added chains from primary goods, over continuously higher stages of intermediate processing, to the final assembly of goods and services for consumption. Primary production factors are employed within each economic region, and </w:t>
      </w:r>
      <w:proofErr w:type="gramStart"/>
      <w:r w:rsidRPr="008408C3">
        <w:rPr>
          <w:color w:val="000000"/>
          <w:highlight w:val="white"/>
        </w:rPr>
        <w:t>hence</w:t>
      </w:r>
      <w:proofErr w:type="gramEnd"/>
      <w:r w:rsidRPr="008408C3">
        <w:rPr>
          <w:color w:val="000000"/>
          <w:highlight w:val="white"/>
        </w:rPr>
        <w:t xml:space="preserve"> returns to land and capital are endogenously determined at equilibrium, i.e., the aggregate supply of each factor equals its demand. On the consumption side, the regional household </w:t>
      </w:r>
      <w:proofErr w:type="gramStart"/>
      <w:r w:rsidRPr="008408C3">
        <w:rPr>
          <w:color w:val="000000"/>
          <w:highlight w:val="white"/>
        </w:rPr>
        <w:t>is assumed</w:t>
      </w:r>
      <w:proofErr w:type="gramEnd"/>
      <w:r w:rsidRPr="008408C3">
        <w:rPr>
          <w:color w:val="000000"/>
          <w:highlight w:val="white"/>
        </w:rPr>
        <w:t xml:space="preserve"> to distribute income across savings and (government and private) consumption expenditures according to fixed budget shares. Private consumption expenditures </w:t>
      </w:r>
      <w:proofErr w:type="gramStart"/>
      <w:r w:rsidRPr="008408C3">
        <w:rPr>
          <w:color w:val="000000"/>
          <w:highlight w:val="white"/>
        </w:rPr>
        <w:t>are allocated</w:t>
      </w:r>
      <w:proofErr w:type="gramEnd"/>
      <w:r w:rsidRPr="008408C3">
        <w:rPr>
          <w:color w:val="000000"/>
          <w:highlight w:val="white"/>
        </w:rPr>
        <w:t xml:space="preserve"> across commodities according to a non-homothetic constant difference of elasticity (CDE) expenditure function and the government consumption according to Cobb-Douglas expenditure function.</w:t>
      </w:r>
    </w:p>
    <w:p w14:paraId="5C76DCE1" w14:textId="77777777" w:rsidR="00D2063E" w:rsidRPr="008408C3" w:rsidRDefault="00D2063E" w:rsidP="00D2063E">
      <w:pPr>
        <w:jc w:val="both"/>
        <w:rPr>
          <w:color w:val="000000"/>
          <w:highlight w:val="white"/>
        </w:rPr>
      </w:pPr>
      <w:r w:rsidRPr="008408C3">
        <w:rPr>
          <w:color w:val="000000"/>
          <w:highlight w:val="white"/>
        </w:rPr>
        <w:t xml:space="preserve">The MAGNET model, in comparison to GTAP, uses a more general multilevel sector specific nested CES (constant elasticity of substitution) production function, allowing for  substitution between primary production factors and (land, labour, capital and natural resources) and intermediate production factors and for  substitution between different intermediate input components (e.g. energy sources, and animal feed components). </w:t>
      </w:r>
      <w:proofErr w:type="gramStart"/>
      <w:r w:rsidRPr="008408C3">
        <w:rPr>
          <w:color w:val="000000"/>
          <w:highlight w:val="white"/>
        </w:rPr>
        <w:t xml:space="preserve">MAGNET includes an improved treatment of agricultural sectors (like various imperfectly substitutable types of land, the land use allocation structure, a land supply function, substitution between various animal feed components (Van Meijl et al. 2006, </w:t>
      </w:r>
      <w:proofErr w:type="spellStart"/>
      <w:r w:rsidRPr="008408C3">
        <w:rPr>
          <w:color w:val="000000"/>
          <w:highlight w:val="white"/>
        </w:rPr>
        <w:t>Eickhout</w:t>
      </w:r>
      <w:proofErr w:type="spellEnd"/>
      <w:r w:rsidRPr="008408C3">
        <w:rPr>
          <w:color w:val="000000"/>
          <w:highlight w:val="white"/>
        </w:rPr>
        <w:t xml:space="preserve"> et al. 2007), agricultural policy (like production quotas and different land related payments) and biofuel policy (capital-energy substitution, fossil fuels-biofuels substitution, (</w:t>
      </w:r>
      <w:proofErr w:type="spellStart"/>
      <w:r w:rsidRPr="008408C3">
        <w:rPr>
          <w:color w:val="000000"/>
          <w:highlight w:val="white"/>
        </w:rPr>
        <w:t>Banse</w:t>
      </w:r>
      <w:proofErr w:type="spellEnd"/>
      <w:r w:rsidRPr="008408C3">
        <w:rPr>
          <w:color w:val="000000"/>
          <w:highlight w:val="white"/>
        </w:rPr>
        <w:t xml:space="preserve"> et al. 2008 &amp; 2011, Van Meijl et al. 2018).</w:t>
      </w:r>
      <w:proofErr w:type="gramEnd"/>
      <w:r w:rsidRPr="008408C3">
        <w:rPr>
          <w:color w:val="000000"/>
          <w:highlight w:val="white"/>
        </w:rPr>
        <w:t xml:space="preserve"> On the consumption side, a dynamic CDE expenditure function is implemented which allows for changes in income elasticities when purchasing power parity (PPP)-corrected real GDP per capita changes. Segmentation and imperfect mobility between agriculture and non-agriculture labour and capital </w:t>
      </w:r>
      <w:proofErr w:type="gramStart"/>
      <w:r w:rsidRPr="008408C3">
        <w:rPr>
          <w:color w:val="000000"/>
          <w:highlight w:val="white"/>
        </w:rPr>
        <w:t>are introduced</w:t>
      </w:r>
      <w:proofErr w:type="gramEnd"/>
      <w:r w:rsidRPr="008408C3">
        <w:rPr>
          <w:color w:val="000000"/>
          <w:highlight w:val="white"/>
        </w:rPr>
        <w:t xml:space="preserve"> in the modelling of factors markets.</w:t>
      </w:r>
    </w:p>
    <w:p w14:paraId="57048332" w14:textId="77777777" w:rsidR="00D2063E" w:rsidRPr="008408C3" w:rsidRDefault="00D2063E" w:rsidP="00D2063E">
      <w:pPr>
        <w:jc w:val="both"/>
        <w:rPr>
          <w:color w:val="000000"/>
          <w:highlight w:val="white"/>
        </w:rPr>
      </w:pPr>
      <w:r w:rsidRPr="008408C3">
        <w:rPr>
          <w:color w:val="000000"/>
          <w:highlight w:val="white"/>
        </w:rPr>
        <w:t>MAGNET calculates absolute non-CO</w:t>
      </w:r>
      <w:r w:rsidRPr="008408C3">
        <w:rPr>
          <w:color w:val="000000"/>
          <w:highlight w:val="white"/>
          <w:vertAlign w:val="subscript"/>
        </w:rPr>
        <w:t>2</w:t>
      </w:r>
      <w:r w:rsidRPr="008408C3">
        <w:rPr>
          <w:color w:val="000000"/>
          <w:highlight w:val="white"/>
        </w:rPr>
        <w:t xml:space="preserve"> greenhouse gas emissions resulting from agricultural production. In all </w:t>
      </w:r>
      <w:proofErr w:type="gramStart"/>
      <w:r w:rsidRPr="008408C3">
        <w:rPr>
          <w:color w:val="000000"/>
          <w:highlight w:val="white"/>
        </w:rPr>
        <w:t>models</w:t>
      </w:r>
      <w:proofErr w:type="gramEnd"/>
      <w:r w:rsidRPr="008408C3">
        <w:rPr>
          <w:color w:val="000000"/>
          <w:highlight w:val="white"/>
        </w:rPr>
        <w:t xml:space="preserve"> absolute production depends on demand (GDP, population, diet and bioenergy use) as well as productivity. Emission intensities (i.e. emissions per unit of production) are determined through model-specific emission factors. </w:t>
      </w:r>
      <w:proofErr w:type="gramStart"/>
      <w:r w:rsidRPr="008408C3">
        <w:rPr>
          <w:color w:val="000000"/>
          <w:highlight w:val="white"/>
        </w:rPr>
        <w:t>In addition, emission intensities change in the SSP2 baseline scenario due to assumptions on technological improvements: (1) N fertilizer substitution with labour, capital and land, (2) Yield increases due to exogenous technological improvements (adopted from IMAGE) and endogenous improvements due to substitution of land with fertilizer and land-fertilizer bundle with labour and capital, (3) Exogenous feed use efficiency by livestock (adopted from IMAGE) and endogenous substitution between different feed components.</w:t>
      </w:r>
      <w:proofErr w:type="gramEnd"/>
    </w:p>
    <w:p w14:paraId="6329FEBC" w14:textId="1C11AF0D" w:rsidR="00D2063E" w:rsidRPr="008408C3" w:rsidRDefault="00D2063E" w:rsidP="00D2063E">
      <w:pPr>
        <w:jc w:val="both"/>
        <w:rPr>
          <w:color w:val="000000"/>
          <w:highlight w:val="white"/>
        </w:rPr>
      </w:pPr>
      <w:r w:rsidRPr="008408C3">
        <w:rPr>
          <w:color w:val="000000"/>
          <w:highlight w:val="white"/>
        </w:rPr>
        <w:t>In MAGNET most of the CH</w:t>
      </w:r>
      <w:r w:rsidRPr="008408C3">
        <w:rPr>
          <w:color w:val="000000"/>
          <w:highlight w:val="white"/>
          <w:vertAlign w:val="subscript"/>
        </w:rPr>
        <w:t>4</w:t>
      </w:r>
      <w:r w:rsidRPr="008408C3">
        <w:rPr>
          <w:color w:val="000000"/>
          <w:highlight w:val="white"/>
        </w:rPr>
        <w:t xml:space="preserve"> emissions scale with the output of the agricultural sector and so taxing the emissions is equivalent to a tax on output. This is also the case with N</w:t>
      </w:r>
      <w:r w:rsidRPr="008408C3">
        <w:rPr>
          <w:color w:val="000000"/>
          <w:highlight w:val="white"/>
          <w:vertAlign w:val="subscript"/>
        </w:rPr>
        <w:t>2</w:t>
      </w:r>
      <w:r w:rsidRPr="008408C3">
        <w:rPr>
          <w:color w:val="000000"/>
          <w:highlight w:val="white"/>
        </w:rPr>
        <w:t xml:space="preserve">0 emissions from the livestock sectors. For the crop </w:t>
      </w:r>
      <w:proofErr w:type="gramStart"/>
      <w:r w:rsidRPr="008408C3">
        <w:rPr>
          <w:color w:val="000000"/>
          <w:highlight w:val="white"/>
        </w:rPr>
        <w:t>sectors</w:t>
      </w:r>
      <w:proofErr w:type="gramEnd"/>
      <w:r w:rsidRPr="008408C3">
        <w:rPr>
          <w:color w:val="000000"/>
          <w:highlight w:val="white"/>
        </w:rPr>
        <w:t xml:space="preserve"> however N</w:t>
      </w:r>
      <w:r w:rsidRPr="008408C3">
        <w:rPr>
          <w:color w:val="000000"/>
          <w:highlight w:val="white"/>
          <w:vertAlign w:val="subscript"/>
        </w:rPr>
        <w:t>2</w:t>
      </w:r>
      <w:r w:rsidRPr="008408C3">
        <w:rPr>
          <w:color w:val="000000"/>
          <w:highlight w:val="white"/>
        </w:rPr>
        <w:t xml:space="preserve">0 emissions come mostly from the application of synthetic fertilizer which can be substituted for land. If the land price rises (declines) the crop sectors will have an increased incentive to apply more (less) fertilizer and use relatively less (more) land. </w:t>
      </w:r>
    </w:p>
    <w:p w14:paraId="5D1E6FE0" w14:textId="04F04D33" w:rsidR="00D2063E" w:rsidRPr="008408C3" w:rsidRDefault="00D2063E" w:rsidP="00D2063E">
      <w:pPr>
        <w:jc w:val="both"/>
        <w:rPr>
          <w:color w:val="000000"/>
          <w:highlight w:val="white"/>
        </w:rPr>
      </w:pPr>
      <w:r w:rsidRPr="008408C3">
        <w:rPr>
          <w:color w:val="000000"/>
          <w:highlight w:val="white"/>
        </w:rPr>
        <w:lastRenderedPageBreak/>
        <w:t xml:space="preserve">In MAGNET Marginal Abatement </w:t>
      </w:r>
      <w:proofErr w:type="gramStart"/>
      <w:r w:rsidRPr="008408C3">
        <w:rPr>
          <w:color w:val="000000"/>
          <w:highlight w:val="white"/>
        </w:rPr>
        <w:t>Cost</w:t>
      </w:r>
      <w:proofErr w:type="gramEnd"/>
      <w:r w:rsidRPr="008408C3">
        <w:rPr>
          <w:color w:val="000000"/>
          <w:highlight w:val="white"/>
        </w:rPr>
        <w:t xml:space="preserve"> curves were exogenously implemented based on calculations per sector and region from the IMAGE model. For every </w:t>
      </w:r>
      <w:proofErr w:type="gramStart"/>
      <w:r w:rsidRPr="008408C3">
        <w:rPr>
          <w:color w:val="000000"/>
          <w:highlight w:val="white"/>
        </w:rPr>
        <w:t>period</w:t>
      </w:r>
      <w:proofErr w:type="gramEnd"/>
      <w:r w:rsidRPr="008408C3">
        <w:rPr>
          <w:color w:val="000000"/>
          <w:highlight w:val="white"/>
        </w:rPr>
        <w:t xml:space="preserve"> the CO</w:t>
      </w:r>
      <w:r w:rsidRPr="008408C3">
        <w:rPr>
          <w:color w:val="000000"/>
          <w:highlight w:val="white"/>
          <w:vertAlign w:val="subscript"/>
        </w:rPr>
        <w:t>2</w:t>
      </w:r>
      <w:r w:rsidRPr="008408C3">
        <w:rPr>
          <w:color w:val="000000"/>
          <w:highlight w:val="white"/>
        </w:rPr>
        <w:t xml:space="preserve"> price would correspond to a particular level of emission abatement by technical means (i.e. farmers would have an incentive to invest in abatement technology) which would be reflected in a reduction of the emission coefficient for a particular agricultural sector. The additional cost of this abatement </w:t>
      </w:r>
      <w:proofErr w:type="gramStart"/>
      <w:r w:rsidRPr="008408C3">
        <w:rPr>
          <w:color w:val="000000"/>
          <w:highlight w:val="white"/>
        </w:rPr>
        <w:t>would be added</w:t>
      </w:r>
      <w:proofErr w:type="gramEnd"/>
      <w:r w:rsidRPr="008408C3">
        <w:rPr>
          <w:color w:val="000000"/>
          <w:highlight w:val="white"/>
        </w:rPr>
        <w:t xml:space="preserve"> to the effective carbon </w:t>
      </w:r>
      <w:r w:rsidR="004039DA">
        <w:rPr>
          <w:color w:val="000000"/>
          <w:highlight w:val="white"/>
        </w:rPr>
        <w:t>price</w:t>
      </w:r>
      <w:r w:rsidRPr="008408C3">
        <w:rPr>
          <w:color w:val="000000"/>
          <w:highlight w:val="white"/>
        </w:rPr>
        <w:t xml:space="preserve"> applied to the sector.</w:t>
      </w:r>
    </w:p>
    <w:p w14:paraId="73B6CEB2" w14:textId="45092C3C" w:rsidR="00D2063E" w:rsidRPr="00D82955" w:rsidRDefault="00D2063E" w:rsidP="00D2063E">
      <w:pPr>
        <w:jc w:val="both"/>
        <w:rPr>
          <w:highlight w:val="white"/>
        </w:rPr>
      </w:pPr>
      <w:r w:rsidRPr="008408C3">
        <w:rPr>
          <w:color w:val="000000"/>
          <w:highlight w:val="white"/>
        </w:rPr>
        <w:t xml:space="preserve">To implement the change in diet in MAGNET, the calories target from animal products (excluding waste) </w:t>
      </w:r>
      <w:proofErr w:type="gramStart"/>
      <w:r w:rsidRPr="008408C3">
        <w:rPr>
          <w:color w:val="000000"/>
          <w:highlight w:val="white"/>
        </w:rPr>
        <w:t>is achieved</w:t>
      </w:r>
      <w:proofErr w:type="gramEnd"/>
      <w:r w:rsidRPr="008408C3">
        <w:rPr>
          <w:color w:val="000000"/>
          <w:highlight w:val="white"/>
        </w:rPr>
        <w:t xml:space="preserve"> gradually by 2070, such that calorie </w:t>
      </w:r>
      <w:r w:rsidRPr="00D82955">
        <w:rPr>
          <w:highlight w:val="white"/>
        </w:rPr>
        <w:t xml:space="preserve">consumption from meat will decrease linearly from the 2020 level to 430 kcal per capita per day in 2070. In </w:t>
      </w:r>
      <w:proofErr w:type="gramStart"/>
      <w:r w:rsidRPr="00D82955">
        <w:rPr>
          <w:highlight w:val="white"/>
        </w:rPr>
        <w:t>MAGNET</w:t>
      </w:r>
      <w:proofErr w:type="gramEnd"/>
      <w:r w:rsidRPr="00D82955">
        <w:rPr>
          <w:highlight w:val="white"/>
        </w:rPr>
        <w:t xml:space="preserve"> </w:t>
      </w:r>
      <w:r w:rsidR="00EA7380" w:rsidRPr="00D82955">
        <w:t>less meat consumption means more expenditure on other goods which could include other food products</w:t>
      </w:r>
      <w:r w:rsidRPr="00D82955">
        <w:rPr>
          <w:highlight w:val="white"/>
        </w:rPr>
        <w:t>.</w:t>
      </w:r>
    </w:p>
    <w:p w14:paraId="47247933" w14:textId="77777777" w:rsidR="00D2063E" w:rsidRPr="008408C3" w:rsidRDefault="00D2063E" w:rsidP="00D2063E">
      <w:pPr>
        <w:spacing w:before="240" w:after="240"/>
        <w:rPr>
          <w:u w:val="single"/>
        </w:rPr>
      </w:pPr>
      <w:r w:rsidRPr="008408C3">
        <w:rPr>
          <w:u w:val="single"/>
        </w:rPr>
        <w:t>References:</w:t>
      </w:r>
    </w:p>
    <w:p w14:paraId="5D4A8127" w14:textId="77777777" w:rsidR="00D2063E" w:rsidRPr="008408C3" w:rsidRDefault="00D2063E" w:rsidP="00D2063E">
      <w:pPr>
        <w:spacing w:after="120"/>
        <w:ind w:left="567" w:hanging="567"/>
        <w:jc w:val="both"/>
      </w:pPr>
      <w:proofErr w:type="spellStart"/>
      <w:r w:rsidRPr="008408C3">
        <w:t>Woltjer</w:t>
      </w:r>
      <w:proofErr w:type="spellEnd"/>
      <w:r w:rsidRPr="008408C3">
        <w:t xml:space="preserve"> G, Kuiper M, A. Kavallari, H. van Meijl, J. Powell, M. Rutten, L. </w:t>
      </w:r>
      <w:proofErr w:type="spellStart"/>
      <w:r w:rsidRPr="008408C3">
        <w:t>Shutes</w:t>
      </w:r>
      <w:proofErr w:type="spellEnd"/>
      <w:r w:rsidRPr="008408C3">
        <w:t xml:space="preserve"> and A. Tabeau. The MAGNET model - Module description. LEI Report 14-057. The Hague: LEI - part of </w:t>
      </w:r>
      <w:proofErr w:type="spellStart"/>
      <w:r w:rsidRPr="008408C3">
        <w:t>Wageningen</w:t>
      </w:r>
      <w:proofErr w:type="spellEnd"/>
      <w:r w:rsidRPr="008408C3">
        <w:t xml:space="preserve"> UR (University &amp; Research centre). 2014.</w:t>
      </w:r>
    </w:p>
    <w:p w14:paraId="0E499707" w14:textId="77777777" w:rsidR="00D2063E" w:rsidRPr="00A84046" w:rsidRDefault="00D2063E" w:rsidP="00D2063E">
      <w:pPr>
        <w:spacing w:after="120"/>
        <w:ind w:left="567" w:hanging="567"/>
        <w:jc w:val="both"/>
        <w:rPr>
          <w:lang w:val="nl-NL"/>
        </w:rPr>
      </w:pPr>
      <w:r w:rsidRPr="008408C3">
        <w:t xml:space="preserve">Van Meijl, H., van </w:t>
      </w:r>
      <w:proofErr w:type="spellStart"/>
      <w:r w:rsidRPr="008408C3">
        <w:t>Rheenen</w:t>
      </w:r>
      <w:proofErr w:type="spellEnd"/>
      <w:r w:rsidRPr="008408C3">
        <w:t xml:space="preserve">, T., Tabeau, A. &amp; </w:t>
      </w:r>
      <w:proofErr w:type="spellStart"/>
      <w:r w:rsidRPr="008408C3">
        <w:t>Eickhout</w:t>
      </w:r>
      <w:proofErr w:type="spellEnd"/>
      <w:r w:rsidRPr="008408C3">
        <w:t xml:space="preserve">, B. The impact of different policy environments on agricultural land use in Europe. Agriculture, Ecosystems &amp; Environment 114, 21-38, </w:t>
      </w:r>
      <w:proofErr w:type="spellStart"/>
      <w:r w:rsidRPr="008408C3">
        <w:t>doi:http</w:t>
      </w:r>
      <w:proofErr w:type="spellEnd"/>
      <w:r w:rsidRPr="008408C3">
        <w:t xml:space="preserve">://dx.doi.org/10.1016/j.agee.2005.11.006. </w:t>
      </w:r>
      <w:r w:rsidRPr="00A84046">
        <w:rPr>
          <w:lang w:val="nl-NL"/>
        </w:rPr>
        <w:t>2006.</w:t>
      </w:r>
    </w:p>
    <w:p w14:paraId="3833A390" w14:textId="7564D981" w:rsidR="00D2063E" w:rsidRPr="008408C3" w:rsidRDefault="00D2063E" w:rsidP="00D2063E">
      <w:pPr>
        <w:spacing w:after="120"/>
        <w:ind w:left="567" w:hanging="567"/>
        <w:jc w:val="both"/>
      </w:pPr>
      <w:r w:rsidRPr="00A84046">
        <w:rPr>
          <w:lang w:val="nl-NL"/>
        </w:rPr>
        <w:t xml:space="preserve">Van Meijl, H., Y. </w:t>
      </w:r>
      <w:proofErr w:type="spellStart"/>
      <w:r w:rsidRPr="00A84046">
        <w:rPr>
          <w:lang w:val="nl-NL"/>
        </w:rPr>
        <w:t>Tsiropoulos</w:t>
      </w:r>
      <w:proofErr w:type="spellEnd"/>
      <w:r w:rsidRPr="00A84046">
        <w:rPr>
          <w:lang w:val="nl-NL"/>
        </w:rPr>
        <w:t xml:space="preserve">, H. Barteling, R. Hoefnagels, E. Smeets, A. Tabeau, A </w:t>
      </w:r>
      <w:proofErr w:type="spellStart"/>
      <w:r w:rsidRPr="00A84046">
        <w:rPr>
          <w:lang w:val="nl-NL"/>
        </w:rPr>
        <w:t>Faaij</w:t>
      </w:r>
      <w:proofErr w:type="spellEnd"/>
      <w:r w:rsidRPr="00A84046">
        <w:rPr>
          <w:lang w:val="nl-NL"/>
        </w:rPr>
        <w:t xml:space="preserve">. </w:t>
      </w:r>
      <w:r w:rsidRPr="008408C3">
        <w:t xml:space="preserve">On the macro-economic impact of bioenergy and </w:t>
      </w:r>
      <w:proofErr w:type="spellStart"/>
      <w:r w:rsidRPr="008408C3">
        <w:t>biochemicals</w:t>
      </w:r>
      <w:proofErr w:type="spellEnd"/>
      <w:r w:rsidRPr="008408C3">
        <w:t xml:space="preserve"> – Introducing advanced </w:t>
      </w:r>
      <w:proofErr w:type="spellStart"/>
      <w:r w:rsidRPr="008408C3">
        <w:t>bioeconomy</w:t>
      </w:r>
      <w:proofErr w:type="spellEnd"/>
      <w:r w:rsidRPr="008408C3">
        <w:t xml:space="preserve"> sectors into an economic modelling framework with a case study for the Netherlands, Biomass and Bioenergy, </w:t>
      </w:r>
      <w:proofErr w:type="gramStart"/>
      <w:r w:rsidRPr="008408C3">
        <w:t>108 .</w:t>
      </w:r>
      <w:proofErr w:type="gramEnd"/>
      <w:r w:rsidRPr="008408C3">
        <w:t xml:space="preserve"> - p. 381 - 397 (Impact factor 3.1). </w:t>
      </w:r>
      <w:hyperlink r:id="rId21">
        <w:r w:rsidRPr="008408C3">
          <w:t>https://doi.org/10.1016/j.biombioe.2017.10.040</w:t>
        </w:r>
      </w:hyperlink>
      <w:r w:rsidRPr="008408C3">
        <w:t>. 2018.</w:t>
      </w:r>
    </w:p>
    <w:p w14:paraId="301691BF" w14:textId="77777777" w:rsidR="00D2063E" w:rsidRPr="008408C3" w:rsidRDefault="00D2063E" w:rsidP="00D2063E">
      <w:pPr>
        <w:spacing w:after="120"/>
        <w:ind w:left="567" w:hanging="567"/>
        <w:jc w:val="both"/>
      </w:pPr>
      <w:proofErr w:type="spellStart"/>
      <w:r w:rsidRPr="008408C3">
        <w:t>Hertel</w:t>
      </w:r>
      <w:proofErr w:type="spellEnd"/>
      <w:r w:rsidRPr="008408C3">
        <w:t xml:space="preserve">, T. Global Trade Analysis: </w:t>
      </w:r>
      <w:proofErr w:type="spellStart"/>
      <w:r w:rsidRPr="008408C3">
        <w:t>Modeling</w:t>
      </w:r>
      <w:proofErr w:type="spellEnd"/>
      <w:r w:rsidRPr="008408C3">
        <w:t xml:space="preserve"> and Applications.  (Cambridge University Press, 1997).</w:t>
      </w:r>
    </w:p>
    <w:p w14:paraId="6CE21C55" w14:textId="4A5C7983" w:rsidR="00D2063E" w:rsidRPr="00A84046" w:rsidRDefault="00D2063E" w:rsidP="00D2063E">
      <w:pPr>
        <w:spacing w:after="120"/>
        <w:ind w:left="567" w:hanging="567"/>
        <w:jc w:val="both"/>
        <w:rPr>
          <w:lang w:val="nl-NL"/>
        </w:rPr>
      </w:pPr>
      <w:proofErr w:type="spellStart"/>
      <w:r w:rsidRPr="008408C3">
        <w:t>Eickhout</w:t>
      </w:r>
      <w:proofErr w:type="spellEnd"/>
      <w:r w:rsidRPr="008408C3">
        <w:t xml:space="preserve">, B., H. van Meijl, T. van </w:t>
      </w:r>
      <w:proofErr w:type="spellStart"/>
      <w:r w:rsidRPr="008408C3">
        <w:t>Rheenen</w:t>
      </w:r>
      <w:proofErr w:type="spellEnd"/>
      <w:r w:rsidRPr="008408C3">
        <w:t xml:space="preserve"> and A. Tabeau. Economic and ecological consequences of four European land-use scenarios, Land Use Policy, 24, 562–575.</w:t>
      </w:r>
      <w:hyperlink r:id="rId22">
        <w:r w:rsidRPr="008408C3">
          <w:t xml:space="preserve"> </w:t>
        </w:r>
      </w:hyperlink>
      <w:hyperlink r:id="rId23">
        <w:r w:rsidRPr="00A84046">
          <w:rPr>
            <w:lang w:val="nl-NL"/>
          </w:rPr>
          <w:t>https://doi.org/10.1016/j.landusepol.2006.01.004</w:t>
        </w:r>
      </w:hyperlink>
      <w:r w:rsidRPr="00A84046">
        <w:rPr>
          <w:lang w:val="nl-NL"/>
        </w:rPr>
        <w:t xml:space="preserve">. 2007. </w:t>
      </w:r>
    </w:p>
    <w:p w14:paraId="3965E1D0" w14:textId="77777777" w:rsidR="00D2063E" w:rsidRPr="008408C3" w:rsidRDefault="00D2063E" w:rsidP="00D2063E">
      <w:pPr>
        <w:spacing w:after="120"/>
        <w:ind w:left="567" w:hanging="567"/>
        <w:jc w:val="both"/>
      </w:pPr>
      <w:proofErr w:type="spellStart"/>
      <w:r w:rsidRPr="00A84046">
        <w:rPr>
          <w:lang w:val="nl-NL"/>
        </w:rPr>
        <w:t>Banse</w:t>
      </w:r>
      <w:proofErr w:type="spellEnd"/>
      <w:r w:rsidRPr="00A84046">
        <w:rPr>
          <w:lang w:val="nl-NL"/>
        </w:rPr>
        <w:t xml:space="preserve">, M., H. van Meijl, A. Tabeau </w:t>
      </w:r>
      <w:proofErr w:type="spellStart"/>
      <w:r w:rsidRPr="00A84046">
        <w:rPr>
          <w:lang w:val="nl-NL"/>
        </w:rPr>
        <w:t>and</w:t>
      </w:r>
      <w:proofErr w:type="spellEnd"/>
      <w:r w:rsidRPr="00A84046">
        <w:rPr>
          <w:lang w:val="nl-NL"/>
        </w:rPr>
        <w:t xml:space="preserve"> G. Woltjer, 2008. </w:t>
      </w:r>
      <w:r w:rsidRPr="008408C3">
        <w:t>Will EU Biofuel Policies affect Global Agricultural Markets? European Review of Agricultural Economics, 35: 117-141.</w:t>
      </w:r>
    </w:p>
    <w:p w14:paraId="1494C900" w14:textId="77777777" w:rsidR="00D2063E" w:rsidRPr="008408C3" w:rsidRDefault="00D2063E" w:rsidP="00D2063E">
      <w:pPr>
        <w:spacing w:after="120"/>
        <w:ind w:left="567" w:hanging="567"/>
        <w:jc w:val="both"/>
      </w:pPr>
      <w:proofErr w:type="spellStart"/>
      <w:r w:rsidRPr="008408C3">
        <w:t>Banse</w:t>
      </w:r>
      <w:proofErr w:type="spellEnd"/>
      <w:r w:rsidRPr="008408C3">
        <w:t>, M. et al. Impact of EU biofuel policies on world agricultural production and land use. Biomass and Bioenergy 35, 2385-2390, doi:10.1016/j.biombioe.2010.09.001. 2011.</w:t>
      </w:r>
    </w:p>
    <w:p w14:paraId="2AEFAFB6" w14:textId="77777777" w:rsidR="006D4F0B" w:rsidRPr="008408C3" w:rsidRDefault="006D4F0B">
      <w:pPr>
        <w:spacing w:before="240" w:after="240"/>
      </w:pPr>
    </w:p>
    <w:sectPr w:rsidR="006D4F0B" w:rsidRPr="008408C3" w:rsidSect="00C63CA7">
      <w:footerReference w:type="default" r:id="rId24"/>
      <w:pgSz w:w="11906" w:h="16838"/>
      <w:pgMar w:top="1440" w:right="1700" w:bottom="1440" w:left="1440" w:header="708" w:footer="708"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58E8D" w16cex:dateUtc="2021-02-03T20:05:00Z"/>
  <w16cex:commentExtensible w16cex:durableId="23C58F1D" w16cex:dateUtc="2021-02-03T20:07:00Z"/>
  <w16cex:commentExtensible w16cex:durableId="23C58F3F" w16cex:dateUtc="2021-02-03T20:08:00Z"/>
  <w16cex:commentExtensible w16cex:durableId="23C58F8E" w16cex:dateUtc="2021-02-03T20:09:00Z"/>
  <w16cex:commentExtensible w16cex:durableId="23C5923F" w16cex:dateUtc="2021-02-03T20:21:00Z"/>
  <w16cex:commentExtensible w16cex:durableId="23C5A0D4" w16cex:dateUtc="2021-02-03T21:23:00Z"/>
  <w16cex:commentExtensible w16cex:durableId="23C59406" w16cex:dateUtc="2021-02-03T20:28:00Z"/>
  <w16cex:commentExtensible w16cex:durableId="23C59974" w16cex:dateUtc="2021-02-03T20:51:00Z"/>
  <w16cex:commentExtensible w16cex:durableId="23C59A50" w16cex:dateUtc="2021-02-03T20:55:00Z"/>
  <w16cex:commentExtensible w16cex:durableId="23C59C71" w16cex:dateUtc="2021-02-03T21:04:00Z"/>
  <w16cex:commentExtensible w16cex:durableId="23C59EC6" w16cex:dateUtc="2021-02-03T21:14:00Z"/>
  <w16cex:commentExtensible w16cex:durableId="23BC0E0E" w16cex:dateUtc="2021-01-27T15:06:00Z"/>
  <w16cex:commentExtensible w16cex:durableId="23C59F7C" w16cex:dateUtc="2021-02-03T21:17:00Z"/>
  <w16cex:commentExtensible w16cex:durableId="23C5AAAC" w16cex:dateUtc="2021-02-03T22:05:00Z"/>
  <w16cex:commentExtensible w16cex:durableId="23C5A509" w16cex:dateUtc="2021-02-03T21:41:00Z"/>
  <w16cex:commentExtensible w16cex:durableId="23C5A518" w16cex:dateUtc="2021-02-03T21:41:00Z"/>
  <w16cex:commentExtensible w16cex:durableId="23C5A30E" w16cex:dateUtc="2021-02-03T21:32:00Z"/>
  <w16cex:commentExtensible w16cex:durableId="23C5A435" w16cex:dateUtc="2021-02-03T21:37:00Z"/>
  <w16cex:commentExtensible w16cex:durableId="23C5A714" w16cex:dateUtc="2021-02-03T21:49:00Z"/>
  <w16cex:commentExtensible w16cex:durableId="23C5A9D4" w16cex:dateUtc="2021-02-03T22:01:00Z"/>
  <w16cex:commentExtensible w16cex:durableId="23C5A055" w16cex:dateUtc="2021-02-03T21:21:00Z"/>
  <w16cex:commentExtensible w16cex:durableId="23C59FD1" w16cex:dateUtc="2021-02-03T21:18:00Z"/>
  <w16cex:commentExtensible w16cex:durableId="23C5A252" w16cex:dateUtc="2021-02-03T21: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B08CA78" w16cid:durableId="23C3BCD4"/>
  <w16cid:commentId w16cid:paraId="3337A229" w16cid:durableId="23C58E8D"/>
  <w16cid:commentId w16cid:paraId="47A3C8A8" w16cid:durableId="23C58F1D"/>
  <w16cid:commentId w16cid:paraId="6B1DCBFD" w16cid:durableId="23C58F3F"/>
  <w16cid:commentId w16cid:paraId="6AFA772D" w16cid:durableId="23C3BC16"/>
  <w16cid:commentId w16cid:paraId="2E7A0967" w16cid:durableId="23C58F8E"/>
  <w16cid:commentId w16cid:paraId="6B514467" w16cid:durableId="23C3BC17"/>
  <w16cid:commentId w16cid:paraId="51761CB1" w16cid:durableId="23BBA182"/>
  <w16cid:commentId w16cid:paraId="7E5E0F34" w16cid:durableId="23C3BCFB"/>
  <w16cid:commentId w16cid:paraId="3BE56A3A" w16cid:durableId="23C5533F"/>
  <w16cid:commentId w16cid:paraId="79C44FAC" w16cid:durableId="23C541DE"/>
  <w16cid:commentId w16cid:paraId="5C98FB9E" w16cid:durableId="23C56107"/>
  <w16cid:commentId w16cid:paraId="071005CF" w16cid:durableId="23C5923F"/>
  <w16cid:commentId w16cid:paraId="480F3D0F" w16cid:durableId="23C3BD19"/>
  <w16cid:commentId w16cid:paraId="61D6B280" w16cid:durableId="23C3BD69"/>
  <w16cid:commentId w16cid:paraId="1EA325F9" w16cid:durableId="23C53976"/>
  <w16cid:commentId w16cid:paraId="09B5E53F" w16cid:durableId="23C5A0D4"/>
  <w16cid:commentId w16cid:paraId="3AFB91A6" w16cid:durableId="23C59406"/>
  <w16cid:commentId w16cid:paraId="4289CF4B" w16cid:durableId="23C56173"/>
  <w16cid:commentId w16cid:paraId="7459EC75" w16cid:durableId="23C59974"/>
  <w16cid:commentId w16cid:paraId="1762F2BF" w16cid:durableId="23C540DE"/>
  <w16cid:commentId w16cid:paraId="2A45D551" w16cid:durableId="23C59A50"/>
  <w16cid:commentId w16cid:paraId="66C36EF5" w16cid:durableId="23C3BC19"/>
  <w16cid:commentId w16cid:paraId="069E582B" w16cid:durableId="23C54332"/>
  <w16cid:commentId w16cid:paraId="35F6FCBF" w16cid:durableId="23C59C71"/>
  <w16cid:commentId w16cid:paraId="77BBBA97" w16cid:durableId="23C3BC1A"/>
  <w16cid:commentId w16cid:paraId="0A5E8E56" w16cid:durableId="23C543BE"/>
  <w16cid:commentId w16cid:paraId="5043B0BF" w16cid:durableId="23C59EC6"/>
  <w16cid:commentId w16cid:paraId="5DCEAF85" w16cid:durableId="23C562A1"/>
  <w16cid:commentId w16cid:paraId="62E42720" w16cid:durableId="23C3BC1B"/>
  <w16cid:commentId w16cid:paraId="18C30337" w16cid:durableId="23C54ABB"/>
  <w16cid:commentId w16cid:paraId="7B20F37B" w16cid:durableId="23C54497"/>
  <w16cid:commentId w16cid:paraId="11BC521B" w16cid:durableId="23C545A3"/>
  <w16cid:commentId w16cid:paraId="641892FB" w16cid:durableId="23BC0E0E"/>
  <w16cid:commentId w16cid:paraId="16D61722" w16cid:durableId="23C54B35"/>
  <w16cid:commentId w16cid:paraId="4C80A41F" w16cid:durableId="23C563A4"/>
  <w16cid:commentId w16cid:paraId="4833CBBB" w16cid:durableId="23C59F7C"/>
  <w16cid:commentId w16cid:paraId="2D1057B2" w16cid:durableId="23C56438"/>
  <w16cid:commentId w16cid:paraId="752F591F" w16cid:durableId="23C5AAAC"/>
  <w16cid:commentId w16cid:paraId="6C2C7FB8" w16cid:durableId="23C5A509"/>
  <w16cid:commentId w16cid:paraId="76F55B79" w16cid:durableId="23C5A518"/>
  <w16cid:commentId w16cid:paraId="27F3322E" w16cid:durableId="23C5A30E"/>
  <w16cid:commentId w16cid:paraId="2C2AD2D6" w16cid:durableId="23C3BE84"/>
  <w16cid:commentId w16cid:paraId="3D046EDB" w16cid:durableId="23C3BEBB"/>
  <w16cid:commentId w16cid:paraId="0E7A6340" w16cid:durableId="23BBA189"/>
  <w16cid:commentId w16cid:paraId="61C37E1E" w16cid:durableId="23C5A435"/>
  <w16cid:commentId w16cid:paraId="248D92BC" w16cid:durableId="23C3BC1E"/>
  <w16cid:commentId w16cid:paraId="5823A61F" w16cid:durableId="23C3BEEF"/>
  <w16cid:commentId w16cid:paraId="083E4D45" w16cid:durableId="23BBA18A"/>
  <w16cid:commentId w16cid:paraId="118C0CBD" w16cid:durableId="23C3BC20"/>
  <w16cid:commentId w16cid:paraId="5926FA53" w16cid:durableId="23BBA18B"/>
  <w16cid:commentId w16cid:paraId="64C96D57" w16cid:durableId="23C5A714"/>
  <w16cid:commentId w16cid:paraId="475E2D13" w16cid:durableId="23BBA18C"/>
  <w16cid:commentId w16cid:paraId="1F80A58A" w16cid:durableId="23C3BC23"/>
  <w16cid:commentId w16cid:paraId="772BC549" w16cid:durableId="23C5A9D4"/>
  <w16cid:commentId w16cid:paraId="26A3D4B4" w16cid:durableId="23C5A055"/>
  <w16cid:commentId w16cid:paraId="661475B1" w16cid:durableId="23C54C07"/>
  <w16cid:commentId w16cid:paraId="70082F41" w16cid:durableId="23C561DF"/>
  <w16cid:commentId w16cid:paraId="0B505059" w16cid:durableId="23C3BC24"/>
  <w16cid:commentId w16cid:paraId="68844B7E" w16cid:durableId="23C59FD1"/>
  <w16cid:commentId w16cid:paraId="198DFDED" w16cid:durableId="23C5A252"/>
  <w16cid:commentId w16cid:paraId="1506F2AF" w16cid:durableId="23C54EB3"/>
  <w16cid:commentId w16cid:paraId="58935146" w16cid:durableId="23C54F7E"/>
  <w16cid:commentId w16cid:paraId="02F41377" w16cid:durableId="23BBA18D"/>
  <w16cid:commentId w16cid:paraId="49555AE6" w16cid:durableId="23C551D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73540F" w14:textId="77777777" w:rsidR="008642CC" w:rsidRDefault="008642CC">
      <w:pPr>
        <w:spacing w:after="0" w:line="240" w:lineRule="auto"/>
      </w:pPr>
      <w:r>
        <w:separator/>
      </w:r>
    </w:p>
  </w:endnote>
  <w:endnote w:type="continuationSeparator" w:id="0">
    <w:p w14:paraId="3A374470" w14:textId="77777777" w:rsidR="008642CC" w:rsidRDefault="00864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241760"/>
      <w:docPartObj>
        <w:docPartGallery w:val="Page Numbers (Bottom of Page)"/>
        <w:docPartUnique/>
      </w:docPartObj>
    </w:sdtPr>
    <w:sdtEndPr>
      <w:rPr>
        <w:noProof/>
      </w:rPr>
    </w:sdtEndPr>
    <w:sdtContent>
      <w:p w14:paraId="0C41F86B" w14:textId="7F29E3DB" w:rsidR="00DA6EA7" w:rsidRDefault="00DA6EA7">
        <w:pPr>
          <w:pStyle w:val="Footer"/>
          <w:jc w:val="center"/>
        </w:pPr>
        <w:r>
          <w:fldChar w:fldCharType="begin"/>
        </w:r>
        <w:r>
          <w:instrText xml:space="preserve"> PAGE   \* MERGEFORMAT </w:instrText>
        </w:r>
        <w:r>
          <w:fldChar w:fldCharType="separate"/>
        </w:r>
        <w:r w:rsidR="00006241">
          <w:rPr>
            <w:noProof/>
          </w:rPr>
          <w:t>13</w:t>
        </w:r>
        <w:r>
          <w:rPr>
            <w:noProof/>
          </w:rPr>
          <w:fldChar w:fldCharType="end"/>
        </w:r>
      </w:p>
    </w:sdtContent>
  </w:sdt>
  <w:p w14:paraId="5946CAA5" w14:textId="77777777" w:rsidR="00DA6EA7" w:rsidRDefault="00DA6E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9E34C" w14:textId="77777777" w:rsidR="008642CC" w:rsidRDefault="008642CC">
      <w:pPr>
        <w:spacing w:after="0" w:line="240" w:lineRule="auto"/>
      </w:pPr>
      <w:r>
        <w:separator/>
      </w:r>
    </w:p>
  </w:footnote>
  <w:footnote w:type="continuationSeparator" w:id="0">
    <w:p w14:paraId="16F17260" w14:textId="77777777" w:rsidR="008642CC" w:rsidRDefault="008642CC">
      <w:pPr>
        <w:spacing w:after="0" w:line="240" w:lineRule="auto"/>
      </w:pPr>
      <w:r>
        <w:continuationSeparator/>
      </w:r>
    </w:p>
  </w:footnote>
  <w:footnote w:id="1">
    <w:p w14:paraId="36A46B73" w14:textId="77777777" w:rsidR="008642CC" w:rsidRDefault="008642CC" w:rsidP="00E04D30">
      <w:pPr>
        <w:pStyle w:val="FootnoteText"/>
      </w:pPr>
      <w:r>
        <w:rPr>
          <w:rStyle w:val="FootnoteReference"/>
        </w:rPr>
        <w:footnoteRef/>
      </w:r>
      <w:r>
        <w:t xml:space="preserve"> A time span of 20 years is suggested in </w:t>
      </w:r>
      <w:sdt>
        <w:sdtPr>
          <w:id w:val="-373166801"/>
          <w:citation/>
        </w:sdtPr>
        <w:sdtEndPr/>
        <w:sdtContent>
          <w:r>
            <w:fldChar w:fldCharType="begin"/>
          </w:r>
          <w:r>
            <w:instrText xml:space="preserve"> CITATION Allen2018 \l 2057 </w:instrText>
          </w:r>
          <w:r>
            <w:fldChar w:fldCharType="separate"/>
          </w:r>
          <w:r w:rsidRPr="00E04D30">
            <w:rPr>
              <w:noProof/>
            </w:rPr>
            <w:t>[12]</w:t>
          </w:r>
          <w:r>
            <w:fldChar w:fldCharType="end"/>
          </w:r>
        </w:sdtContent>
      </w:sdt>
      <w:r>
        <w:t>, which has the effect of reducing the volatility in CO</w:t>
      </w:r>
      <w:r w:rsidRPr="00E04D30">
        <w:rPr>
          <w:vertAlign w:val="subscript"/>
        </w:rPr>
        <w:t>2</w:t>
      </w:r>
      <w:r w:rsidRPr="00E04D30">
        <w:rPr>
          <w:vertAlign w:val="superscript"/>
        </w:rPr>
        <w:t>we</w:t>
      </w:r>
      <w:r>
        <w:t xml:space="preserve"> emissions and improving the correspondence with temperature response."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A451C"/>
    <w:multiLevelType w:val="multilevel"/>
    <w:tmpl w:val="30B61A3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303416B"/>
    <w:multiLevelType w:val="hybridMultilevel"/>
    <w:tmpl w:val="7CBA75D8"/>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 w15:restartNumberingAfterBreak="0">
    <w:nsid w:val="644027D0"/>
    <w:multiLevelType w:val="hybridMultilevel"/>
    <w:tmpl w:val="2B1C58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7"/>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F0B"/>
    <w:rsid w:val="00002B5B"/>
    <w:rsid w:val="00003CE2"/>
    <w:rsid w:val="00004AE7"/>
    <w:rsid w:val="00006241"/>
    <w:rsid w:val="000128E1"/>
    <w:rsid w:val="000157A3"/>
    <w:rsid w:val="00017D77"/>
    <w:rsid w:val="0002292B"/>
    <w:rsid w:val="00022CFA"/>
    <w:rsid w:val="00027940"/>
    <w:rsid w:val="000320FF"/>
    <w:rsid w:val="00032D50"/>
    <w:rsid w:val="00033BF6"/>
    <w:rsid w:val="00035136"/>
    <w:rsid w:val="00037AB1"/>
    <w:rsid w:val="0004021F"/>
    <w:rsid w:val="00040CF8"/>
    <w:rsid w:val="00041BDA"/>
    <w:rsid w:val="00041E7F"/>
    <w:rsid w:val="000517F4"/>
    <w:rsid w:val="0005182A"/>
    <w:rsid w:val="000617DF"/>
    <w:rsid w:val="00062304"/>
    <w:rsid w:val="00065A4A"/>
    <w:rsid w:val="000740CE"/>
    <w:rsid w:val="00074D0C"/>
    <w:rsid w:val="000757F1"/>
    <w:rsid w:val="00075CF5"/>
    <w:rsid w:val="000775C5"/>
    <w:rsid w:val="000812F2"/>
    <w:rsid w:val="00084524"/>
    <w:rsid w:val="00086FC1"/>
    <w:rsid w:val="00092542"/>
    <w:rsid w:val="0009269D"/>
    <w:rsid w:val="000A0A26"/>
    <w:rsid w:val="000A4DDE"/>
    <w:rsid w:val="000A64CA"/>
    <w:rsid w:val="000B2E28"/>
    <w:rsid w:val="000B40FA"/>
    <w:rsid w:val="000B68D5"/>
    <w:rsid w:val="000B7039"/>
    <w:rsid w:val="000B7FC9"/>
    <w:rsid w:val="000C0E76"/>
    <w:rsid w:val="000C22B2"/>
    <w:rsid w:val="000C2FDE"/>
    <w:rsid w:val="000C4126"/>
    <w:rsid w:val="000C58CE"/>
    <w:rsid w:val="000C76D2"/>
    <w:rsid w:val="000D0914"/>
    <w:rsid w:val="000D122B"/>
    <w:rsid w:val="000D4AFF"/>
    <w:rsid w:val="000F1DAE"/>
    <w:rsid w:val="000F4420"/>
    <w:rsid w:val="000F5CA1"/>
    <w:rsid w:val="000F740E"/>
    <w:rsid w:val="00105D1D"/>
    <w:rsid w:val="00112F0A"/>
    <w:rsid w:val="00117D51"/>
    <w:rsid w:val="00120796"/>
    <w:rsid w:val="001228C5"/>
    <w:rsid w:val="00122CDC"/>
    <w:rsid w:val="00124FC4"/>
    <w:rsid w:val="0012722A"/>
    <w:rsid w:val="00132154"/>
    <w:rsid w:val="00135FBA"/>
    <w:rsid w:val="0013640C"/>
    <w:rsid w:val="00140BB1"/>
    <w:rsid w:val="00140C8B"/>
    <w:rsid w:val="001412B0"/>
    <w:rsid w:val="00146433"/>
    <w:rsid w:val="0014760C"/>
    <w:rsid w:val="00147C29"/>
    <w:rsid w:val="0015244A"/>
    <w:rsid w:val="00152481"/>
    <w:rsid w:val="001528F2"/>
    <w:rsid w:val="00152A13"/>
    <w:rsid w:val="00155D2D"/>
    <w:rsid w:val="00157119"/>
    <w:rsid w:val="001622F2"/>
    <w:rsid w:val="0016720C"/>
    <w:rsid w:val="00170573"/>
    <w:rsid w:val="00173066"/>
    <w:rsid w:val="001757C1"/>
    <w:rsid w:val="00175DA7"/>
    <w:rsid w:val="00181DF8"/>
    <w:rsid w:val="001820A6"/>
    <w:rsid w:val="00182D81"/>
    <w:rsid w:val="0019466E"/>
    <w:rsid w:val="00195081"/>
    <w:rsid w:val="0019648A"/>
    <w:rsid w:val="001A21EA"/>
    <w:rsid w:val="001A32D3"/>
    <w:rsid w:val="001B2396"/>
    <w:rsid w:val="001B2F3B"/>
    <w:rsid w:val="001B57A7"/>
    <w:rsid w:val="001B5E72"/>
    <w:rsid w:val="001B5E77"/>
    <w:rsid w:val="001B69B8"/>
    <w:rsid w:val="001C070F"/>
    <w:rsid w:val="001C39D4"/>
    <w:rsid w:val="001D372F"/>
    <w:rsid w:val="001D432C"/>
    <w:rsid w:val="001D433B"/>
    <w:rsid w:val="001E0DAC"/>
    <w:rsid w:val="001E1E6F"/>
    <w:rsid w:val="001E33EF"/>
    <w:rsid w:val="001E5DC5"/>
    <w:rsid w:val="001E6517"/>
    <w:rsid w:val="001E711F"/>
    <w:rsid w:val="001E784E"/>
    <w:rsid w:val="001F02D8"/>
    <w:rsid w:val="001F40A2"/>
    <w:rsid w:val="002008F3"/>
    <w:rsid w:val="00201ABC"/>
    <w:rsid w:val="0020600F"/>
    <w:rsid w:val="00210DC5"/>
    <w:rsid w:val="00211263"/>
    <w:rsid w:val="00220966"/>
    <w:rsid w:val="00222060"/>
    <w:rsid w:val="002264A3"/>
    <w:rsid w:val="0023028E"/>
    <w:rsid w:val="00233FFA"/>
    <w:rsid w:val="00235815"/>
    <w:rsid w:val="002375C8"/>
    <w:rsid w:val="00241488"/>
    <w:rsid w:val="00241516"/>
    <w:rsid w:val="002419EA"/>
    <w:rsid w:val="0024516C"/>
    <w:rsid w:val="0024545A"/>
    <w:rsid w:val="0024673A"/>
    <w:rsid w:val="00246D08"/>
    <w:rsid w:val="002471F9"/>
    <w:rsid w:val="002474A6"/>
    <w:rsid w:val="0025014B"/>
    <w:rsid w:val="00250C2F"/>
    <w:rsid w:val="002521A1"/>
    <w:rsid w:val="0025232A"/>
    <w:rsid w:val="00253A5F"/>
    <w:rsid w:val="00256FC6"/>
    <w:rsid w:val="00257917"/>
    <w:rsid w:val="002641E7"/>
    <w:rsid w:val="002645C7"/>
    <w:rsid w:val="00266752"/>
    <w:rsid w:val="00266DB1"/>
    <w:rsid w:val="002670DF"/>
    <w:rsid w:val="0026746A"/>
    <w:rsid w:val="002703C0"/>
    <w:rsid w:val="002728EF"/>
    <w:rsid w:val="00272980"/>
    <w:rsid w:val="0027323F"/>
    <w:rsid w:val="00275148"/>
    <w:rsid w:val="0027575F"/>
    <w:rsid w:val="0027738A"/>
    <w:rsid w:val="00281265"/>
    <w:rsid w:val="002812E2"/>
    <w:rsid w:val="00282105"/>
    <w:rsid w:val="00283A03"/>
    <w:rsid w:val="00295607"/>
    <w:rsid w:val="00295E26"/>
    <w:rsid w:val="00297ACB"/>
    <w:rsid w:val="002A0C61"/>
    <w:rsid w:val="002A1CD9"/>
    <w:rsid w:val="002A4E56"/>
    <w:rsid w:val="002A52FD"/>
    <w:rsid w:val="002A7D72"/>
    <w:rsid w:val="002B0519"/>
    <w:rsid w:val="002B128F"/>
    <w:rsid w:val="002B665B"/>
    <w:rsid w:val="002C0C99"/>
    <w:rsid w:val="002C50F0"/>
    <w:rsid w:val="002C581A"/>
    <w:rsid w:val="002C6089"/>
    <w:rsid w:val="002C6FF9"/>
    <w:rsid w:val="002D2199"/>
    <w:rsid w:val="002D2D21"/>
    <w:rsid w:val="002D474B"/>
    <w:rsid w:val="002E17BC"/>
    <w:rsid w:val="002E2B63"/>
    <w:rsid w:val="002E30DD"/>
    <w:rsid w:val="002E4206"/>
    <w:rsid w:val="002E5073"/>
    <w:rsid w:val="002E6B85"/>
    <w:rsid w:val="002E6F13"/>
    <w:rsid w:val="002F0626"/>
    <w:rsid w:val="002F255C"/>
    <w:rsid w:val="002F3403"/>
    <w:rsid w:val="002F55C3"/>
    <w:rsid w:val="002F735B"/>
    <w:rsid w:val="00300438"/>
    <w:rsid w:val="003022DF"/>
    <w:rsid w:val="00333387"/>
    <w:rsid w:val="00341473"/>
    <w:rsid w:val="003415D8"/>
    <w:rsid w:val="00357C70"/>
    <w:rsid w:val="00360110"/>
    <w:rsid w:val="003609BF"/>
    <w:rsid w:val="00362047"/>
    <w:rsid w:val="00366C81"/>
    <w:rsid w:val="00372AF1"/>
    <w:rsid w:val="00372F89"/>
    <w:rsid w:val="00374BAC"/>
    <w:rsid w:val="003766CC"/>
    <w:rsid w:val="003876D9"/>
    <w:rsid w:val="00387CD9"/>
    <w:rsid w:val="00391326"/>
    <w:rsid w:val="00392C7D"/>
    <w:rsid w:val="003953AF"/>
    <w:rsid w:val="003961DA"/>
    <w:rsid w:val="00397A43"/>
    <w:rsid w:val="003A0F70"/>
    <w:rsid w:val="003A14E5"/>
    <w:rsid w:val="003A6589"/>
    <w:rsid w:val="003A7596"/>
    <w:rsid w:val="003B1FAF"/>
    <w:rsid w:val="003B251C"/>
    <w:rsid w:val="003C20E7"/>
    <w:rsid w:val="003C2E30"/>
    <w:rsid w:val="003C446C"/>
    <w:rsid w:val="003D0DB5"/>
    <w:rsid w:val="003D2C11"/>
    <w:rsid w:val="003D2C7A"/>
    <w:rsid w:val="003D41DC"/>
    <w:rsid w:val="003E068D"/>
    <w:rsid w:val="003E3528"/>
    <w:rsid w:val="003F05EF"/>
    <w:rsid w:val="003F0F06"/>
    <w:rsid w:val="003F2926"/>
    <w:rsid w:val="003F2A44"/>
    <w:rsid w:val="003F3335"/>
    <w:rsid w:val="003F3CC4"/>
    <w:rsid w:val="003F6313"/>
    <w:rsid w:val="003F7494"/>
    <w:rsid w:val="004039DA"/>
    <w:rsid w:val="004058FE"/>
    <w:rsid w:val="00406C2A"/>
    <w:rsid w:val="004125C2"/>
    <w:rsid w:val="0041277D"/>
    <w:rsid w:val="00412AB4"/>
    <w:rsid w:val="00413781"/>
    <w:rsid w:val="004149DC"/>
    <w:rsid w:val="00415B7C"/>
    <w:rsid w:val="004175A2"/>
    <w:rsid w:val="00423336"/>
    <w:rsid w:val="00425E09"/>
    <w:rsid w:val="00430E6E"/>
    <w:rsid w:val="004323FE"/>
    <w:rsid w:val="0043248D"/>
    <w:rsid w:val="004324C4"/>
    <w:rsid w:val="00434BDD"/>
    <w:rsid w:val="0043674F"/>
    <w:rsid w:val="00436B49"/>
    <w:rsid w:val="00441FAD"/>
    <w:rsid w:val="00445B7C"/>
    <w:rsid w:val="00446F15"/>
    <w:rsid w:val="0045221D"/>
    <w:rsid w:val="004546FB"/>
    <w:rsid w:val="00454DCA"/>
    <w:rsid w:val="00454ED1"/>
    <w:rsid w:val="00455D5A"/>
    <w:rsid w:val="004579DD"/>
    <w:rsid w:val="00460663"/>
    <w:rsid w:val="0046285B"/>
    <w:rsid w:val="00462B3B"/>
    <w:rsid w:val="00462C83"/>
    <w:rsid w:val="00462FFB"/>
    <w:rsid w:val="0046324F"/>
    <w:rsid w:val="00465A51"/>
    <w:rsid w:val="00466304"/>
    <w:rsid w:val="00467643"/>
    <w:rsid w:val="00470DEF"/>
    <w:rsid w:val="004734EF"/>
    <w:rsid w:val="00473795"/>
    <w:rsid w:val="00473B09"/>
    <w:rsid w:val="00474933"/>
    <w:rsid w:val="004750B8"/>
    <w:rsid w:val="00476418"/>
    <w:rsid w:val="00480965"/>
    <w:rsid w:val="0048191B"/>
    <w:rsid w:val="004849CC"/>
    <w:rsid w:val="00486154"/>
    <w:rsid w:val="00486A80"/>
    <w:rsid w:val="004924FA"/>
    <w:rsid w:val="00492D28"/>
    <w:rsid w:val="00493456"/>
    <w:rsid w:val="00493F5E"/>
    <w:rsid w:val="004A11CD"/>
    <w:rsid w:val="004A19DD"/>
    <w:rsid w:val="004A2DE3"/>
    <w:rsid w:val="004A764A"/>
    <w:rsid w:val="004B2256"/>
    <w:rsid w:val="004B6431"/>
    <w:rsid w:val="004B6538"/>
    <w:rsid w:val="004B6966"/>
    <w:rsid w:val="004B751E"/>
    <w:rsid w:val="004B77DA"/>
    <w:rsid w:val="004C3A35"/>
    <w:rsid w:val="004C40B6"/>
    <w:rsid w:val="004C5ED2"/>
    <w:rsid w:val="004C6DF2"/>
    <w:rsid w:val="004D391B"/>
    <w:rsid w:val="004D7FDD"/>
    <w:rsid w:val="004E1828"/>
    <w:rsid w:val="004E2433"/>
    <w:rsid w:val="004E42C9"/>
    <w:rsid w:val="004F2951"/>
    <w:rsid w:val="004F29E0"/>
    <w:rsid w:val="004F2C19"/>
    <w:rsid w:val="005066FB"/>
    <w:rsid w:val="005132EB"/>
    <w:rsid w:val="00513E90"/>
    <w:rsid w:val="0051593C"/>
    <w:rsid w:val="005261C5"/>
    <w:rsid w:val="005273B6"/>
    <w:rsid w:val="005348FA"/>
    <w:rsid w:val="00535C01"/>
    <w:rsid w:val="00541359"/>
    <w:rsid w:val="0054482E"/>
    <w:rsid w:val="005456DC"/>
    <w:rsid w:val="005475AC"/>
    <w:rsid w:val="00547A15"/>
    <w:rsid w:val="00551548"/>
    <w:rsid w:val="00554575"/>
    <w:rsid w:val="00554ADF"/>
    <w:rsid w:val="005560D9"/>
    <w:rsid w:val="00556F70"/>
    <w:rsid w:val="005606B3"/>
    <w:rsid w:val="00571523"/>
    <w:rsid w:val="00577AC8"/>
    <w:rsid w:val="005811A2"/>
    <w:rsid w:val="00581545"/>
    <w:rsid w:val="00585CD2"/>
    <w:rsid w:val="00585CF1"/>
    <w:rsid w:val="005906B5"/>
    <w:rsid w:val="005931A8"/>
    <w:rsid w:val="005A01C0"/>
    <w:rsid w:val="005A090F"/>
    <w:rsid w:val="005A1C4D"/>
    <w:rsid w:val="005A3129"/>
    <w:rsid w:val="005A359A"/>
    <w:rsid w:val="005A360C"/>
    <w:rsid w:val="005B4EA0"/>
    <w:rsid w:val="005B72A0"/>
    <w:rsid w:val="005B7346"/>
    <w:rsid w:val="005C08D5"/>
    <w:rsid w:val="005C1122"/>
    <w:rsid w:val="005C4E08"/>
    <w:rsid w:val="005C5C05"/>
    <w:rsid w:val="005C658C"/>
    <w:rsid w:val="005D2034"/>
    <w:rsid w:val="005D2832"/>
    <w:rsid w:val="005D2E2F"/>
    <w:rsid w:val="005D6BC3"/>
    <w:rsid w:val="005D6CC8"/>
    <w:rsid w:val="005D6CFB"/>
    <w:rsid w:val="005D745C"/>
    <w:rsid w:val="005E100D"/>
    <w:rsid w:val="005E24DE"/>
    <w:rsid w:val="005E2C3F"/>
    <w:rsid w:val="005E56CB"/>
    <w:rsid w:val="005E5FA6"/>
    <w:rsid w:val="005F1837"/>
    <w:rsid w:val="005F2BE5"/>
    <w:rsid w:val="005F548A"/>
    <w:rsid w:val="00601D9E"/>
    <w:rsid w:val="0060603E"/>
    <w:rsid w:val="006065B8"/>
    <w:rsid w:val="00610A88"/>
    <w:rsid w:val="00615837"/>
    <w:rsid w:val="00616914"/>
    <w:rsid w:val="00621F8B"/>
    <w:rsid w:val="00627133"/>
    <w:rsid w:val="00627F16"/>
    <w:rsid w:val="00630AF6"/>
    <w:rsid w:val="00631719"/>
    <w:rsid w:val="00643786"/>
    <w:rsid w:val="00644EBA"/>
    <w:rsid w:val="00645E9F"/>
    <w:rsid w:val="00647292"/>
    <w:rsid w:val="00655448"/>
    <w:rsid w:val="00655FD3"/>
    <w:rsid w:val="00657627"/>
    <w:rsid w:val="00657DB9"/>
    <w:rsid w:val="006620CA"/>
    <w:rsid w:val="0066335C"/>
    <w:rsid w:val="00664E1C"/>
    <w:rsid w:val="00671260"/>
    <w:rsid w:val="00672267"/>
    <w:rsid w:val="00675971"/>
    <w:rsid w:val="00676067"/>
    <w:rsid w:val="0067788D"/>
    <w:rsid w:val="00682D3F"/>
    <w:rsid w:val="00690B9D"/>
    <w:rsid w:val="006A20B3"/>
    <w:rsid w:val="006A337B"/>
    <w:rsid w:val="006A3E8C"/>
    <w:rsid w:val="006A6981"/>
    <w:rsid w:val="006A6B96"/>
    <w:rsid w:val="006B311F"/>
    <w:rsid w:val="006B52E7"/>
    <w:rsid w:val="006B5E18"/>
    <w:rsid w:val="006C0905"/>
    <w:rsid w:val="006C1162"/>
    <w:rsid w:val="006C1226"/>
    <w:rsid w:val="006C2A1E"/>
    <w:rsid w:val="006C3254"/>
    <w:rsid w:val="006C528B"/>
    <w:rsid w:val="006C5CEC"/>
    <w:rsid w:val="006C7D5A"/>
    <w:rsid w:val="006D3E6B"/>
    <w:rsid w:val="006D4F0B"/>
    <w:rsid w:val="006D5E9E"/>
    <w:rsid w:val="006E6F92"/>
    <w:rsid w:val="006F0231"/>
    <w:rsid w:val="006F1CF1"/>
    <w:rsid w:val="006F23D7"/>
    <w:rsid w:val="006F7406"/>
    <w:rsid w:val="0070638C"/>
    <w:rsid w:val="00707E0D"/>
    <w:rsid w:val="00710B0D"/>
    <w:rsid w:val="0071121D"/>
    <w:rsid w:val="0071186F"/>
    <w:rsid w:val="00712DCB"/>
    <w:rsid w:val="00713315"/>
    <w:rsid w:val="00714E50"/>
    <w:rsid w:val="00715B88"/>
    <w:rsid w:val="007209F9"/>
    <w:rsid w:val="0072303F"/>
    <w:rsid w:val="00723DBA"/>
    <w:rsid w:val="00723E71"/>
    <w:rsid w:val="00731243"/>
    <w:rsid w:val="007319CA"/>
    <w:rsid w:val="00732288"/>
    <w:rsid w:val="00742D02"/>
    <w:rsid w:val="00742DF2"/>
    <w:rsid w:val="00744F97"/>
    <w:rsid w:val="007451EE"/>
    <w:rsid w:val="0075176B"/>
    <w:rsid w:val="007525EA"/>
    <w:rsid w:val="007542A1"/>
    <w:rsid w:val="00755930"/>
    <w:rsid w:val="00755F36"/>
    <w:rsid w:val="00760CC9"/>
    <w:rsid w:val="00761AFA"/>
    <w:rsid w:val="007632AB"/>
    <w:rsid w:val="00765FAF"/>
    <w:rsid w:val="00766FA1"/>
    <w:rsid w:val="00771DBF"/>
    <w:rsid w:val="007721D1"/>
    <w:rsid w:val="00772219"/>
    <w:rsid w:val="00772693"/>
    <w:rsid w:val="00773C47"/>
    <w:rsid w:val="00774C7C"/>
    <w:rsid w:val="0077518C"/>
    <w:rsid w:val="007775A0"/>
    <w:rsid w:val="00777E18"/>
    <w:rsid w:val="00781059"/>
    <w:rsid w:val="00783B88"/>
    <w:rsid w:val="0078449B"/>
    <w:rsid w:val="007852E3"/>
    <w:rsid w:val="00786EF2"/>
    <w:rsid w:val="00790772"/>
    <w:rsid w:val="00790F4D"/>
    <w:rsid w:val="00792D4C"/>
    <w:rsid w:val="007950E6"/>
    <w:rsid w:val="0079541A"/>
    <w:rsid w:val="007964E4"/>
    <w:rsid w:val="007A0F15"/>
    <w:rsid w:val="007A1718"/>
    <w:rsid w:val="007A5437"/>
    <w:rsid w:val="007A5D40"/>
    <w:rsid w:val="007B0A8C"/>
    <w:rsid w:val="007B153D"/>
    <w:rsid w:val="007B7AF9"/>
    <w:rsid w:val="007C4144"/>
    <w:rsid w:val="007C69F9"/>
    <w:rsid w:val="007C7AA3"/>
    <w:rsid w:val="007D1486"/>
    <w:rsid w:val="007D2995"/>
    <w:rsid w:val="007D46EB"/>
    <w:rsid w:val="007D4E33"/>
    <w:rsid w:val="007E7FB7"/>
    <w:rsid w:val="007F1C76"/>
    <w:rsid w:val="007F3587"/>
    <w:rsid w:val="00800501"/>
    <w:rsid w:val="008116A3"/>
    <w:rsid w:val="00815229"/>
    <w:rsid w:val="00816FEF"/>
    <w:rsid w:val="00820D87"/>
    <w:rsid w:val="00822092"/>
    <w:rsid w:val="00824832"/>
    <w:rsid w:val="0083396E"/>
    <w:rsid w:val="00833E32"/>
    <w:rsid w:val="00833EDA"/>
    <w:rsid w:val="0084040D"/>
    <w:rsid w:val="008408C3"/>
    <w:rsid w:val="008442E9"/>
    <w:rsid w:val="00854082"/>
    <w:rsid w:val="0085718A"/>
    <w:rsid w:val="00857FDF"/>
    <w:rsid w:val="008642CC"/>
    <w:rsid w:val="0086453F"/>
    <w:rsid w:val="008670AE"/>
    <w:rsid w:val="00870292"/>
    <w:rsid w:val="00870599"/>
    <w:rsid w:val="00871011"/>
    <w:rsid w:val="00872E60"/>
    <w:rsid w:val="008838F3"/>
    <w:rsid w:val="00887538"/>
    <w:rsid w:val="00887805"/>
    <w:rsid w:val="008900E0"/>
    <w:rsid w:val="00890154"/>
    <w:rsid w:val="00890663"/>
    <w:rsid w:val="008927B3"/>
    <w:rsid w:val="00892FD1"/>
    <w:rsid w:val="00895C9C"/>
    <w:rsid w:val="00896D79"/>
    <w:rsid w:val="008A1534"/>
    <w:rsid w:val="008A15DD"/>
    <w:rsid w:val="008A1DF0"/>
    <w:rsid w:val="008A4F55"/>
    <w:rsid w:val="008A7797"/>
    <w:rsid w:val="008B2744"/>
    <w:rsid w:val="008B27BC"/>
    <w:rsid w:val="008B29A2"/>
    <w:rsid w:val="008B2E42"/>
    <w:rsid w:val="008B3C5A"/>
    <w:rsid w:val="008B63A3"/>
    <w:rsid w:val="008C16C6"/>
    <w:rsid w:val="008C1BBC"/>
    <w:rsid w:val="008C234A"/>
    <w:rsid w:val="008C6BEC"/>
    <w:rsid w:val="008D4BDF"/>
    <w:rsid w:val="008D59FD"/>
    <w:rsid w:val="008E339D"/>
    <w:rsid w:val="008F058F"/>
    <w:rsid w:val="008F1C51"/>
    <w:rsid w:val="008F1F1D"/>
    <w:rsid w:val="008F31A7"/>
    <w:rsid w:val="008F6788"/>
    <w:rsid w:val="009020AA"/>
    <w:rsid w:val="00902AA6"/>
    <w:rsid w:val="009032B3"/>
    <w:rsid w:val="00904DBE"/>
    <w:rsid w:val="009052DB"/>
    <w:rsid w:val="00905AD0"/>
    <w:rsid w:val="009158E0"/>
    <w:rsid w:val="00915C72"/>
    <w:rsid w:val="00920F9C"/>
    <w:rsid w:val="00921276"/>
    <w:rsid w:val="00921A62"/>
    <w:rsid w:val="009244AF"/>
    <w:rsid w:val="00926231"/>
    <w:rsid w:val="00930EAE"/>
    <w:rsid w:val="009316E5"/>
    <w:rsid w:val="009355BE"/>
    <w:rsid w:val="00936F9D"/>
    <w:rsid w:val="00941EAD"/>
    <w:rsid w:val="009463D7"/>
    <w:rsid w:val="0095214B"/>
    <w:rsid w:val="00952272"/>
    <w:rsid w:val="00953720"/>
    <w:rsid w:val="0095441B"/>
    <w:rsid w:val="009557E4"/>
    <w:rsid w:val="00963002"/>
    <w:rsid w:val="0096304F"/>
    <w:rsid w:val="0096341B"/>
    <w:rsid w:val="00964248"/>
    <w:rsid w:val="009742B0"/>
    <w:rsid w:val="00977DC3"/>
    <w:rsid w:val="00984AA2"/>
    <w:rsid w:val="00985E82"/>
    <w:rsid w:val="0098790B"/>
    <w:rsid w:val="009879E8"/>
    <w:rsid w:val="0099119F"/>
    <w:rsid w:val="00991261"/>
    <w:rsid w:val="00991921"/>
    <w:rsid w:val="00991CFA"/>
    <w:rsid w:val="009A384E"/>
    <w:rsid w:val="009A46AE"/>
    <w:rsid w:val="009B36F0"/>
    <w:rsid w:val="009B554E"/>
    <w:rsid w:val="009B56A2"/>
    <w:rsid w:val="009B7E16"/>
    <w:rsid w:val="009C0647"/>
    <w:rsid w:val="009C20D1"/>
    <w:rsid w:val="009C251E"/>
    <w:rsid w:val="009C3ECA"/>
    <w:rsid w:val="009C4010"/>
    <w:rsid w:val="009C50B0"/>
    <w:rsid w:val="009C540A"/>
    <w:rsid w:val="009C554E"/>
    <w:rsid w:val="009C6204"/>
    <w:rsid w:val="009E0185"/>
    <w:rsid w:val="009E118D"/>
    <w:rsid w:val="009E1A82"/>
    <w:rsid w:val="009E1D46"/>
    <w:rsid w:val="009E5CCB"/>
    <w:rsid w:val="009E682A"/>
    <w:rsid w:val="009F2547"/>
    <w:rsid w:val="009F6561"/>
    <w:rsid w:val="009F75F3"/>
    <w:rsid w:val="00A019E0"/>
    <w:rsid w:val="00A02A6F"/>
    <w:rsid w:val="00A051B1"/>
    <w:rsid w:val="00A0737A"/>
    <w:rsid w:val="00A07BA4"/>
    <w:rsid w:val="00A16680"/>
    <w:rsid w:val="00A1733E"/>
    <w:rsid w:val="00A20AB1"/>
    <w:rsid w:val="00A22999"/>
    <w:rsid w:val="00A247FA"/>
    <w:rsid w:val="00A265B1"/>
    <w:rsid w:val="00A27BB1"/>
    <w:rsid w:val="00A30B1F"/>
    <w:rsid w:val="00A32140"/>
    <w:rsid w:val="00A325A5"/>
    <w:rsid w:val="00A32612"/>
    <w:rsid w:val="00A352E6"/>
    <w:rsid w:val="00A358B8"/>
    <w:rsid w:val="00A35FB9"/>
    <w:rsid w:val="00A36268"/>
    <w:rsid w:val="00A36F5F"/>
    <w:rsid w:val="00A37A3C"/>
    <w:rsid w:val="00A37CD0"/>
    <w:rsid w:val="00A408E7"/>
    <w:rsid w:val="00A4134E"/>
    <w:rsid w:val="00A43BD9"/>
    <w:rsid w:val="00A504AD"/>
    <w:rsid w:val="00A50730"/>
    <w:rsid w:val="00A57E77"/>
    <w:rsid w:val="00A64C81"/>
    <w:rsid w:val="00A7126B"/>
    <w:rsid w:val="00A72957"/>
    <w:rsid w:val="00A75890"/>
    <w:rsid w:val="00A767B9"/>
    <w:rsid w:val="00A80903"/>
    <w:rsid w:val="00A84046"/>
    <w:rsid w:val="00A84AA8"/>
    <w:rsid w:val="00A928AC"/>
    <w:rsid w:val="00A92B0A"/>
    <w:rsid w:val="00A96419"/>
    <w:rsid w:val="00AA0641"/>
    <w:rsid w:val="00AA4F7A"/>
    <w:rsid w:val="00AA5AFD"/>
    <w:rsid w:val="00AA6316"/>
    <w:rsid w:val="00AB007C"/>
    <w:rsid w:val="00AB00DD"/>
    <w:rsid w:val="00AB0BD1"/>
    <w:rsid w:val="00AB2B03"/>
    <w:rsid w:val="00AB405C"/>
    <w:rsid w:val="00AB4AD9"/>
    <w:rsid w:val="00AB4B63"/>
    <w:rsid w:val="00AB4CB9"/>
    <w:rsid w:val="00AB5391"/>
    <w:rsid w:val="00AB5AB5"/>
    <w:rsid w:val="00AB6ED1"/>
    <w:rsid w:val="00AC05A5"/>
    <w:rsid w:val="00AC15FC"/>
    <w:rsid w:val="00AC16B0"/>
    <w:rsid w:val="00AC54BC"/>
    <w:rsid w:val="00AC54D2"/>
    <w:rsid w:val="00AC641A"/>
    <w:rsid w:val="00AC6AFF"/>
    <w:rsid w:val="00AD1961"/>
    <w:rsid w:val="00AD3567"/>
    <w:rsid w:val="00AD3714"/>
    <w:rsid w:val="00AD5FF0"/>
    <w:rsid w:val="00AE08BA"/>
    <w:rsid w:val="00AE2BA1"/>
    <w:rsid w:val="00AE2C62"/>
    <w:rsid w:val="00AF1800"/>
    <w:rsid w:val="00AF392C"/>
    <w:rsid w:val="00AF4D8A"/>
    <w:rsid w:val="00AF534A"/>
    <w:rsid w:val="00AF677A"/>
    <w:rsid w:val="00B033D2"/>
    <w:rsid w:val="00B03AEA"/>
    <w:rsid w:val="00B049B7"/>
    <w:rsid w:val="00B04AE6"/>
    <w:rsid w:val="00B05108"/>
    <w:rsid w:val="00B16F7A"/>
    <w:rsid w:val="00B178EF"/>
    <w:rsid w:val="00B20CC5"/>
    <w:rsid w:val="00B21BD4"/>
    <w:rsid w:val="00B2243B"/>
    <w:rsid w:val="00B308FB"/>
    <w:rsid w:val="00B3137F"/>
    <w:rsid w:val="00B323A5"/>
    <w:rsid w:val="00B33110"/>
    <w:rsid w:val="00B3388A"/>
    <w:rsid w:val="00B37519"/>
    <w:rsid w:val="00B41062"/>
    <w:rsid w:val="00B414F1"/>
    <w:rsid w:val="00B42283"/>
    <w:rsid w:val="00B42904"/>
    <w:rsid w:val="00B50530"/>
    <w:rsid w:val="00B50543"/>
    <w:rsid w:val="00B624AC"/>
    <w:rsid w:val="00B62900"/>
    <w:rsid w:val="00B662E3"/>
    <w:rsid w:val="00B71790"/>
    <w:rsid w:val="00B72591"/>
    <w:rsid w:val="00B731D9"/>
    <w:rsid w:val="00B7563A"/>
    <w:rsid w:val="00B816A6"/>
    <w:rsid w:val="00B853B3"/>
    <w:rsid w:val="00B86C43"/>
    <w:rsid w:val="00B936B3"/>
    <w:rsid w:val="00BA028D"/>
    <w:rsid w:val="00BA03E8"/>
    <w:rsid w:val="00BA2024"/>
    <w:rsid w:val="00BA28DD"/>
    <w:rsid w:val="00BA68E9"/>
    <w:rsid w:val="00BA7AE0"/>
    <w:rsid w:val="00BA7FA8"/>
    <w:rsid w:val="00BB01F5"/>
    <w:rsid w:val="00BB2568"/>
    <w:rsid w:val="00BB7062"/>
    <w:rsid w:val="00BC1BEC"/>
    <w:rsid w:val="00BC1E4F"/>
    <w:rsid w:val="00BC297D"/>
    <w:rsid w:val="00BC6B68"/>
    <w:rsid w:val="00BC7CCD"/>
    <w:rsid w:val="00BD1F3E"/>
    <w:rsid w:val="00BD2951"/>
    <w:rsid w:val="00BD55F5"/>
    <w:rsid w:val="00BD5BF4"/>
    <w:rsid w:val="00BD70BA"/>
    <w:rsid w:val="00BE2166"/>
    <w:rsid w:val="00BE3759"/>
    <w:rsid w:val="00BE3DD7"/>
    <w:rsid w:val="00BE4F75"/>
    <w:rsid w:val="00BF53A7"/>
    <w:rsid w:val="00BF6CBE"/>
    <w:rsid w:val="00C005E1"/>
    <w:rsid w:val="00C01D28"/>
    <w:rsid w:val="00C042E3"/>
    <w:rsid w:val="00C05CFF"/>
    <w:rsid w:val="00C05EF2"/>
    <w:rsid w:val="00C10411"/>
    <w:rsid w:val="00C1177D"/>
    <w:rsid w:val="00C207DD"/>
    <w:rsid w:val="00C228BE"/>
    <w:rsid w:val="00C23A5C"/>
    <w:rsid w:val="00C3003C"/>
    <w:rsid w:val="00C30983"/>
    <w:rsid w:val="00C3268E"/>
    <w:rsid w:val="00C33E95"/>
    <w:rsid w:val="00C34C73"/>
    <w:rsid w:val="00C353F0"/>
    <w:rsid w:val="00C36449"/>
    <w:rsid w:val="00C36E2D"/>
    <w:rsid w:val="00C37C7F"/>
    <w:rsid w:val="00C4384A"/>
    <w:rsid w:val="00C477DE"/>
    <w:rsid w:val="00C478A6"/>
    <w:rsid w:val="00C51B05"/>
    <w:rsid w:val="00C63CA7"/>
    <w:rsid w:val="00C64466"/>
    <w:rsid w:val="00C64795"/>
    <w:rsid w:val="00C66A1D"/>
    <w:rsid w:val="00C66F2A"/>
    <w:rsid w:val="00C71183"/>
    <w:rsid w:val="00C718A4"/>
    <w:rsid w:val="00C74414"/>
    <w:rsid w:val="00C745D5"/>
    <w:rsid w:val="00C74D95"/>
    <w:rsid w:val="00C75E30"/>
    <w:rsid w:val="00C81D88"/>
    <w:rsid w:val="00C8290C"/>
    <w:rsid w:val="00C8315F"/>
    <w:rsid w:val="00C87CA9"/>
    <w:rsid w:val="00C927E6"/>
    <w:rsid w:val="00C928DF"/>
    <w:rsid w:val="00C97C71"/>
    <w:rsid w:val="00CA4656"/>
    <w:rsid w:val="00CB0B27"/>
    <w:rsid w:val="00CB2864"/>
    <w:rsid w:val="00CB6513"/>
    <w:rsid w:val="00CC326E"/>
    <w:rsid w:val="00CC4230"/>
    <w:rsid w:val="00CC6372"/>
    <w:rsid w:val="00CD2BF3"/>
    <w:rsid w:val="00CE16B3"/>
    <w:rsid w:val="00CF7CD6"/>
    <w:rsid w:val="00D053DA"/>
    <w:rsid w:val="00D15D39"/>
    <w:rsid w:val="00D2063E"/>
    <w:rsid w:val="00D23B53"/>
    <w:rsid w:val="00D31175"/>
    <w:rsid w:val="00D35845"/>
    <w:rsid w:val="00D417FB"/>
    <w:rsid w:val="00D42A8F"/>
    <w:rsid w:val="00D4449A"/>
    <w:rsid w:val="00D44D9C"/>
    <w:rsid w:val="00D462B5"/>
    <w:rsid w:val="00D4740D"/>
    <w:rsid w:val="00D535B5"/>
    <w:rsid w:val="00D64516"/>
    <w:rsid w:val="00D661FD"/>
    <w:rsid w:val="00D70D47"/>
    <w:rsid w:val="00D71C1A"/>
    <w:rsid w:val="00D74858"/>
    <w:rsid w:val="00D7594E"/>
    <w:rsid w:val="00D7628B"/>
    <w:rsid w:val="00D7722E"/>
    <w:rsid w:val="00D82018"/>
    <w:rsid w:val="00D82955"/>
    <w:rsid w:val="00D83F9E"/>
    <w:rsid w:val="00D8498F"/>
    <w:rsid w:val="00D86166"/>
    <w:rsid w:val="00D96AF6"/>
    <w:rsid w:val="00DA0513"/>
    <w:rsid w:val="00DA37EC"/>
    <w:rsid w:val="00DA5C7A"/>
    <w:rsid w:val="00DA6E83"/>
    <w:rsid w:val="00DA6EA7"/>
    <w:rsid w:val="00DA7C34"/>
    <w:rsid w:val="00DA7E7D"/>
    <w:rsid w:val="00DB171F"/>
    <w:rsid w:val="00DB60D4"/>
    <w:rsid w:val="00DC0534"/>
    <w:rsid w:val="00DC5AF8"/>
    <w:rsid w:val="00DC6E43"/>
    <w:rsid w:val="00DD36FA"/>
    <w:rsid w:val="00DD7027"/>
    <w:rsid w:val="00DE0854"/>
    <w:rsid w:val="00DE235A"/>
    <w:rsid w:val="00DE736C"/>
    <w:rsid w:val="00DE73F8"/>
    <w:rsid w:val="00DF0281"/>
    <w:rsid w:val="00DF03AF"/>
    <w:rsid w:val="00DF5CE4"/>
    <w:rsid w:val="00DF6C35"/>
    <w:rsid w:val="00DF72FF"/>
    <w:rsid w:val="00E03365"/>
    <w:rsid w:val="00E04D30"/>
    <w:rsid w:val="00E1072A"/>
    <w:rsid w:val="00E12E3B"/>
    <w:rsid w:val="00E14695"/>
    <w:rsid w:val="00E20EA7"/>
    <w:rsid w:val="00E22A2C"/>
    <w:rsid w:val="00E23E11"/>
    <w:rsid w:val="00E23FD4"/>
    <w:rsid w:val="00E262D1"/>
    <w:rsid w:val="00E430A6"/>
    <w:rsid w:val="00E4546A"/>
    <w:rsid w:val="00E47F09"/>
    <w:rsid w:val="00E50119"/>
    <w:rsid w:val="00E51CDB"/>
    <w:rsid w:val="00E52BFA"/>
    <w:rsid w:val="00E54380"/>
    <w:rsid w:val="00E5509B"/>
    <w:rsid w:val="00E600FF"/>
    <w:rsid w:val="00E65704"/>
    <w:rsid w:val="00E74946"/>
    <w:rsid w:val="00E77333"/>
    <w:rsid w:val="00E816A9"/>
    <w:rsid w:val="00E81C39"/>
    <w:rsid w:val="00E938DB"/>
    <w:rsid w:val="00EA09C2"/>
    <w:rsid w:val="00EA59C5"/>
    <w:rsid w:val="00EA62C6"/>
    <w:rsid w:val="00EA7380"/>
    <w:rsid w:val="00EA7D43"/>
    <w:rsid w:val="00EB285C"/>
    <w:rsid w:val="00EB2A0F"/>
    <w:rsid w:val="00EB7FDE"/>
    <w:rsid w:val="00EB7FEA"/>
    <w:rsid w:val="00EC22AF"/>
    <w:rsid w:val="00EC7438"/>
    <w:rsid w:val="00ED01C9"/>
    <w:rsid w:val="00ED070E"/>
    <w:rsid w:val="00ED274F"/>
    <w:rsid w:val="00ED38EE"/>
    <w:rsid w:val="00ED4416"/>
    <w:rsid w:val="00EE0D9A"/>
    <w:rsid w:val="00EE1A34"/>
    <w:rsid w:val="00EE1E46"/>
    <w:rsid w:val="00EE3F03"/>
    <w:rsid w:val="00EE5695"/>
    <w:rsid w:val="00EF1704"/>
    <w:rsid w:val="00EF4BE8"/>
    <w:rsid w:val="00EF5749"/>
    <w:rsid w:val="00EF5B2E"/>
    <w:rsid w:val="00EF6D84"/>
    <w:rsid w:val="00EF7671"/>
    <w:rsid w:val="00F016C8"/>
    <w:rsid w:val="00F043C9"/>
    <w:rsid w:val="00F068FD"/>
    <w:rsid w:val="00F06DB3"/>
    <w:rsid w:val="00F10936"/>
    <w:rsid w:val="00F12D1A"/>
    <w:rsid w:val="00F2291B"/>
    <w:rsid w:val="00F23675"/>
    <w:rsid w:val="00F240CA"/>
    <w:rsid w:val="00F24691"/>
    <w:rsid w:val="00F25635"/>
    <w:rsid w:val="00F31963"/>
    <w:rsid w:val="00F320A5"/>
    <w:rsid w:val="00F33A3B"/>
    <w:rsid w:val="00F351FB"/>
    <w:rsid w:val="00F36CE0"/>
    <w:rsid w:val="00F43F10"/>
    <w:rsid w:val="00F45AA7"/>
    <w:rsid w:val="00F5018D"/>
    <w:rsid w:val="00F50CDF"/>
    <w:rsid w:val="00F51048"/>
    <w:rsid w:val="00F51C94"/>
    <w:rsid w:val="00F51EC1"/>
    <w:rsid w:val="00F55E01"/>
    <w:rsid w:val="00F56C08"/>
    <w:rsid w:val="00F57E56"/>
    <w:rsid w:val="00F64A7C"/>
    <w:rsid w:val="00F656B7"/>
    <w:rsid w:val="00F65ACF"/>
    <w:rsid w:val="00F65AFF"/>
    <w:rsid w:val="00F65F3C"/>
    <w:rsid w:val="00F71F9C"/>
    <w:rsid w:val="00F73BC0"/>
    <w:rsid w:val="00F7543B"/>
    <w:rsid w:val="00F82E33"/>
    <w:rsid w:val="00F82F39"/>
    <w:rsid w:val="00F93FDC"/>
    <w:rsid w:val="00F95BA8"/>
    <w:rsid w:val="00F97911"/>
    <w:rsid w:val="00FA32F4"/>
    <w:rsid w:val="00FA3BD5"/>
    <w:rsid w:val="00FA6758"/>
    <w:rsid w:val="00FB1D99"/>
    <w:rsid w:val="00FB4182"/>
    <w:rsid w:val="00FB7C8D"/>
    <w:rsid w:val="00FC21D4"/>
    <w:rsid w:val="00FD1F8E"/>
    <w:rsid w:val="00FD304D"/>
    <w:rsid w:val="00FD592E"/>
    <w:rsid w:val="00FE0931"/>
    <w:rsid w:val="00FE25F9"/>
    <w:rsid w:val="00FE3CE5"/>
    <w:rsid w:val="00FE6175"/>
    <w:rsid w:val="00FF6E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B2190E"/>
  <w15:docId w15:val="{4225849F-DFD7-402C-8FAD-8DF061032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240" w:after="0"/>
      <w:jc w:val="both"/>
      <w:outlineLvl w:val="0"/>
    </w:pPr>
    <w:rPr>
      <w:rFonts w:ascii="Cambria" w:eastAsia="Cambria" w:hAnsi="Cambria" w:cs="Cambria"/>
      <w:color w:val="366091"/>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Cambria" w:eastAsia="Cambria" w:hAnsi="Cambria" w:cs="Cambria"/>
    </w:rPr>
    <w:tblPr>
      <w:tblStyleRowBandSize w:val="1"/>
      <w:tblStyleColBandSize w:val="1"/>
      <w:tblCellMar>
        <w:left w:w="115" w:type="dxa"/>
        <w:right w:w="115" w:type="dxa"/>
      </w:tblCellMar>
    </w:tblPr>
    <w:tcPr>
      <w:shd w:val="clear" w:color="auto" w:fill="CCCCCC"/>
    </w:tcPr>
  </w:style>
  <w:style w:type="table" w:customStyle="1" w:styleId="a0">
    <w:basedOn w:val="TableNormal"/>
    <w:pPr>
      <w:spacing w:after="0" w:line="240" w:lineRule="auto"/>
    </w:pPr>
    <w:rPr>
      <w:rFonts w:ascii="Cambria" w:eastAsia="Cambria" w:hAnsi="Cambria" w:cs="Cambria"/>
    </w:rPr>
    <w:tblPr>
      <w:tblStyleRowBandSize w:val="1"/>
      <w:tblStyleColBandSize w:val="1"/>
      <w:tblCellMar>
        <w:left w:w="115" w:type="dxa"/>
        <w:right w:w="115" w:type="dxa"/>
      </w:tblCellMar>
    </w:tblPr>
    <w:tcPr>
      <w:shd w:val="clear" w:color="auto" w:fill="CCCCCC"/>
    </w:tc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93F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3F5E"/>
    <w:rPr>
      <w:rFonts w:ascii="Segoe UI" w:hAnsi="Segoe UI" w:cs="Segoe UI"/>
      <w:sz w:val="18"/>
      <w:szCs w:val="18"/>
    </w:rPr>
  </w:style>
  <w:style w:type="character" w:customStyle="1" w:styleId="Heading1Char">
    <w:name w:val="Heading 1 Char"/>
    <w:basedOn w:val="DefaultParagraphFont"/>
    <w:link w:val="Heading1"/>
    <w:uiPriority w:val="9"/>
    <w:rsid w:val="004058FE"/>
    <w:rPr>
      <w:rFonts w:ascii="Cambria" w:eastAsia="Cambria" w:hAnsi="Cambria" w:cs="Cambria"/>
      <w:color w:val="366091"/>
      <w:sz w:val="32"/>
      <w:szCs w:val="32"/>
    </w:rPr>
  </w:style>
  <w:style w:type="paragraph" w:styleId="Bibliography">
    <w:name w:val="Bibliography"/>
    <w:basedOn w:val="Normal"/>
    <w:next w:val="Normal"/>
    <w:uiPriority w:val="37"/>
    <w:unhideWhenUsed/>
    <w:rsid w:val="004058FE"/>
  </w:style>
  <w:style w:type="paragraph" w:styleId="FootnoteText">
    <w:name w:val="footnote text"/>
    <w:basedOn w:val="Normal"/>
    <w:link w:val="FootnoteTextChar"/>
    <w:uiPriority w:val="99"/>
    <w:semiHidden/>
    <w:unhideWhenUsed/>
    <w:rsid w:val="006C5C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5CEC"/>
    <w:rPr>
      <w:sz w:val="20"/>
      <w:szCs w:val="20"/>
    </w:rPr>
  </w:style>
  <w:style w:type="character" w:styleId="FootnoteReference">
    <w:name w:val="footnote reference"/>
    <w:basedOn w:val="DefaultParagraphFont"/>
    <w:uiPriority w:val="99"/>
    <w:semiHidden/>
    <w:unhideWhenUsed/>
    <w:rsid w:val="006C5CEC"/>
    <w:rPr>
      <w:vertAlign w:val="superscript"/>
    </w:rPr>
  </w:style>
  <w:style w:type="paragraph" w:styleId="CommentSubject">
    <w:name w:val="annotation subject"/>
    <w:basedOn w:val="CommentText"/>
    <w:next w:val="CommentText"/>
    <w:link w:val="CommentSubjectChar"/>
    <w:uiPriority w:val="99"/>
    <w:semiHidden/>
    <w:unhideWhenUsed/>
    <w:rsid w:val="00AB6ED1"/>
    <w:rPr>
      <w:b/>
      <w:bCs/>
    </w:rPr>
  </w:style>
  <w:style w:type="character" w:customStyle="1" w:styleId="CommentSubjectChar">
    <w:name w:val="Comment Subject Char"/>
    <w:basedOn w:val="CommentTextChar"/>
    <w:link w:val="CommentSubject"/>
    <w:uiPriority w:val="99"/>
    <w:semiHidden/>
    <w:rsid w:val="00AB6ED1"/>
    <w:rPr>
      <w:b/>
      <w:bCs/>
      <w:sz w:val="20"/>
      <w:szCs w:val="20"/>
    </w:rPr>
  </w:style>
  <w:style w:type="table" w:styleId="TableGrid">
    <w:name w:val="Table Grid"/>
    <w:basedOn w:val="TableNormal"/>
    <w:uiPriority w:val="39"/>
    <w:rsid w:val="00BD29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5108"/>
    <w:pPr>
      <w:ind w:left="720"/>
      <w:contextualSpacing/>
    </w:pPr>
  </w:style>
  <w:style w:type="paragraph" w:styleId="Revision">
    <w:name w:val="Revision"/>
    <w:hidden/>
    <w:uiPriority w:val="99"/>
    <w:semiHidden/>
    <w:rsid w:val="007451EE"/>
    <w:pPr>
      <w:spacing w:after="0" w:line="240" w:lineRule="auto"/>
    </w:pPr>
  </w:style>
  <w:style w:type="table" w:styleId="GridTable1Light-Accent3">
    <w:name w:val="Grid Table 1 Light Accent 3"/>
    <w:basedOn w:val="TableNormal"/>
    <w:uiPriority w:val="46"/>
    <w:rsid w:val="000F740E"/>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character" w:styleId="Hyperlink">
    <w:name w:val="Hyperlink"/>
    <w:basedOn w:val="DefaultParagraphFont"/>
    <w:uiPriority w:val="99"/>
    <w:semiHidden/>
    <w:unhideWhenUsed/>
    <w:rsid w:val="00A84046"/>
    <w:rPr>
      <w:color w:val="0000FF"/>
      <w:u w:val="single"/>
    </w:rPr>
  </w:style>
  <w:style w:type="character" w:styleId="Strong">
    <w:name w:val="Strong"/>
    <w:basedOn w:val="DefaultParagraphFont"/>
    <w:uiPriority w:val="22"/>
    <w:qFormat/>
    <w:rsid w:val="00A84046"/>
    <w:rPr>
      <w:b/>
      <w:bCs/>
    </w:rPr>
  </w:style>
  <w:style w:type="paragraph" w:styleId="Header">
    <w:name w:val="header"/>
    <w:basedOn w:val="Normal"/>
    <w:link w:val="HeaderChar"/>
    <w:uiPriority w:val="99"/>
    <w:unhideWhenUsed/>
    <w:rsid w:val="00DA6E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6EA7"/>
  </w:style>
  <w:style w:type="paragraph" w:styleId="Footer">
    <w:name w:val="footer"/>
    <w:basedOn w:val="Normal"/>
    <w:link w:val="FooterChar"/>
    <w:uiPriority w:val="99"/>
    <w:unhideWhenUsed/>
    <w:rsid w:val="00DA6E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6E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9979">
      <w:bodyDiv w:val="1"/>
      <w:marLeft w:val="0"/>
      <w:marRight w:val="0"/>
      <w:marTop w:val="0"/>
      <w:marBottom w:val="0"/>
      <w:divBdr>
        <w:top w:val="none" w:sz="0" w:space="0" w:color="auto"/>
        <w:left w:val="none" w:sz="0" w:space="0" w:color="auto"/>
        <w:bottom w:val="none" w:sz="0" w:space="0" w:color="auto"/>
        <w:right w:val="none" w:sz="0" w:space="0" w:color="auto"/>
      </w:divBdr>
    </w:div>
    <w:div w:id="7684885">
      <w:bodyDiv w:val="1"/>
      <w:marLeft w:val="0"/>
      <w:marRight w:val="0"/>
      <w:marTop w:val="0"/>
      <w:marBottom w:val="0"/>
      <w:divBdr>
        <w:top w:val="none" w:sz="0" w:space="0" w:color="auto"/>
        <w:left w:val="none" w:sz="0" w:space="0" w:color="auto"/>
        <w:bottom w:val="none" w:sz="0" w:space="0" w:color="auto"/>
        <w:right w:val="none" w:sz="0" w:space="0" w:color="auto"/>
      </w:divBdr>
    </w:div>
    <w:div w:id="9071991">
      <w:bodyDiv w:val="1"/>
      <w:marLeft w:val="0"/>
      <w:marRight w:val="0"/>
      <w:marTop w:val="0"/>
      <w:marBottom w:val="0"/>
      <w:divBdr>
        <w:top w:val="none" w:sz="0" w:space="0" w:color="auto"/>
        <w:left w:val="none" w:sz="0" w:space="0" w:color="auto"/>
        <w:bottom w:val="none" w:sz="0" w:space="0" w:color="auto"/>
        <w:right w:val="none" w:sz="0" w:space="0" w:color="auto"/>
      </w:divBdr>
    </w:div>
    <w:div w:id="10423541">
      <w:bodyDiv w:val="1"/>
      <w:marLeft w:val="0"/>
      <w:marRight w:val="0"/>
      <w:marTop w:val="0"/>
      <w:marBottom w:val="0"/>
      <w:divBdr>
        <w:top w:val="none" w:sz="0" w:space="0" w:color="auto"/>
        <w:left w:val="none" w:sz="0" w:space="0" w:color="auto"/>
        <w:bottom w:val="none" w:sz="0" w:space="0" w:color="auto"/>
        <w:right w:val="none" w:sz="0" w:space="0" w:color="auto"/>
      </w:divBdr>
    </w:div>
    <w:div w:id="13191690">
      <w:bodyDiv w:val="1"/>
      <w:marLeft w:val="0"/>
      <w:marRight w:val="0"/>
      <w:marTop w:val="0"/>
      <w:marBottom w:val="0"/>
      <w:divBdr>
        <w:top w:val="none" w:sz="0" w:space="0" w:color="auto"/>
        <w:left w:val="none" w:sz="0" w:space="0" w:color="auto"/>
        <w:bottom w:val="none" w:sz="0" w:space="0" w:color="auto"/>
        <w:right w:val="none" w:sz="0" w:space="0" w:color="auto"/>
      </w:divBdr>
    </w:div>
    <w:div w:id="13848440">
      <w:bodyDiv w:val="1"/>
      <w:marLeft w:val="0"/>
      <w:marRight w:val="0"/>
      <w:marTop w:val="0"/>
      <w:marBottom w:val="0"/>
      <w:divBdr>
        <w:top w:val="none" w:sz="0" w:space="0" w:color="auto"/>
        <w:left w:val="none" w:sz="0" w:space="0" w:color="auto"/>
        <w:bottom w:val="none" w:sz="0" w:space="0" w:color="auto"/>
        <w:right w:val="none" w:sz="0" w:space="0" w:color="auto"/>
      </w:divBdr>
    </w:div>
    <w:div w:id="16125772">
      <w:bodyDiv w:val="1"/>
      <w:marLeft w:val="0"/>
      <w:marRight w:val="0"/>
      <w:marTop w:val="0"/>
      <w:marBottom w:val="0"/>
      <w:divBdr>
        <w:top w:val="none" w:sz="0" w:space="0" w:color="auto"/>
        <w:left w:val="none" w:sz="0" w:space="0" w:color="auto"/>
        <w:bottom w:val="none" w:sz="0" w:space="0" w:color="auto"/>
        <w:right w:val="none" w:sz="0" w:space="0" w:color="auto"/>
      </w:divBdr>
    </w:div>
    <w:div w:id="17513284">
      <w:bodyDiv w:val="1"/>
      <w:marLeft w:val="0"/>
      <w:marRight w:val="0"/>
      <w:marTop w:val="0"/>
      <w:marBottom w:val="0"/>
      <w:divBdr>
        <w:top w:val="none" w:sz="0" w:space="0" w:color="auto"/>
        <w:left w:val="none" w:sz="0" w:space="0" w:color="auto"/>
        <w:bottom w:val="none" w:sz="0" w:space="0" w:color="auto"/>
        <w:right w:val="none" w:sz="0" w:space="0" w:color="auto"/>
      </w:divBdr>
    </w:div>
    <w:div w:id="24991677">
      <w:bodyDiv w:val="1"/>
      <w:marLeft w:val="0"/>
      <w:marRight w:val="0"/>
      <w:marTop w:val="0"/>
      <w:marBottom w:val="0"/>
      <w:divBdr>
        <w:top w:val="none" w:sz="0" w:space="0" w:color="auto"/>
        <w:left w:val="none" w:sz="0" w:space="0" w:color="auto"/>
        <w:bottom w:val="none" w:sz="0" w:space="0" w:color="auto"/>
        <w:right w:val="none" w:sz="0" w:space="0" w:color="auto"/>
      </w:divBdr>
    </w:div>
    <w:div w:id="31804076">
      <w:bodyDiv w:val="1"/>
      <w:marLeft w:val="0"/>
      <w:marRight w:val="0"/>
      <w:marTop w:val="0"/>
      <w:marBottom w:val="0"/>
      <w:divBdr>
        <w:top w:val="none" w:sz="0" w:space="0" w:color="auto"/>
        <w:left w:val="none" w:sz="0" w:space="0" w:color="auto"/>
        <w:bottom w:val="none" w:sz="0" w:space="0" w:color="auto"/>
        <w:right w:val="none" w:sz="0" w:space="0" w:color="auto"/>
      </w:divBdr>
    </w:div>
    <w:div w:id="33964705">
      <w:bodyDiv w:val="1"/>
      <w:marLeft w:val="0"/>
      <w:marRight w:val="0"/>
      <w:marTop w:val="0"/>
      <w:marBottom w:val="0"/>
      <w:divBdr>
        <w:top w:val="none" w:sz="0" w:space="0" w:color="auto"/>
        <w:left w:val="none" w:sz="0" w:space="0" w:color="auto"/>
        <w:bottom w:val="none" w:sz="0" w:space="0" w:color="auto"/>
        <w:right w:val="none" w:sz="0" w:space="0" w:color="auto"/>
      </w:divBdr>
    </w:div>
    <w:div w:id="38361484">
      <w:bodyDiv w:val="1"/>
      <w:marLeft w:val="0"/>
      <w:marRight w:val="0"/>
      <w:marTop w:val="0"/>
      <w:marBottom w:val="0"/>
      <w:divBdr>
        <w:top w:val="none" w:sz="0" w:space="0" w:color="auto"/>
        <w:left w:val="none" w:sz="0" w:space="0" w:color="auto"/>
        <w:bottom w:val="none" w:sz="0" w:space="0" w:color="auto"/>
        <w:right w:val="none" w:sz="0" w:space="0" w:color="auto"/>
      </w:divBdr>
    </w:div>
    <w:div w:id="42295805">
      <w:bodyDiv w:val="1"/>
      <w:marLeft w:val="0"/>
      <w:marRight w:val="0"/>
      <w:marTop w:val="0"/>
      <w:marBottom w:val="0"/>
      <w:divBdr>
        <w:top w:val="none" w:sz="0" w:space="0" w:color="auto"/>
        <w:left w:val="none" w:sz="0" w:space="0" w:color="auto"/>
        <w:bottom w:val="none" w:sz="0" w:space="0" w:color="auto"/>
        <w:right w:val="none" w:sz="0" w:space="0" w:color="auto"/>
      </w:divBdr>
    </w:div>
    <w:div w:id="44959218">
      <w:bodyDiv w:val="1"/>
      <w:marLeft w:val="0"/>
      <w:marRight w:val="0"/>
      <w:marTop w:val="0"/>
      <w:marBottom w:val="0"/>
      <w:divBdr>
        <w:top w:val="none" w:sz="0" w:space="0" w:color="auto"/>
        <w:left w:val="none" w:sz="0" w:space="0" w:color="auto"/>
        <w:bottom w:val="none" w:sz="0" w:space="0" w:color="auto"/>
        <w:right w:val="none" w:sz="0" w:space="0" w:color="auto"/>
      </w:divBdr>
    </w:div>
    <w:div w:id="46611994">
      <w:bodyDiv w:val="1"/>
      <w:marLeft w:val="0"/>
      <w:marRight w:val="0"/>
      <w:marTop w:val="0"/>
      <w:marBottom w:val="0"/>
      <w:divBdr>
        <w:top w:val="none" w:sz="0" w:space="0" w:color="auto"/>
        <w:left w:val="none" w:sz="0" w:space="0" w:color="auto"/>
        <w:bottom w:val="none" w:sz="0" w:space="0" w:color="auto"/>
        <w:right w:val="none" w:sz="0" w:space="0" w:color="auto"/>
      </w:divBdr>
    </w:div>
    <w:div w:id="48497276">
      <w:bodyDiv w:val="1"/>
      <w:marLeft w:val="0"/>
      <w:marRight w:val="0"/>
      <w:marTop w:val="0"/>
      <w:marBottom w:val="0"/>
      <w:divBdr>
        <w:top w:val="none" w:sz="0" w:space="0" w:color="auto"/>
        <w:left w:val="none" w:sz="0" w:space="0" w:color="auto"/>
        <w:bottom w:val="none" w:sz="0" w:space="0" w:color="auto"/>
        <w:right w:val="none" w:sz="0" w:space="0" w:color="auto"/>
      </w:divBdr>
    </w:div>
    <w:div w:id="50857855">
      <w:bodyDiv w:val="1"/>
      <w:marLeft w:val="0"/>
      <w:marRight w:val="0"/>
      <w:marTop w:val="0"/>
      <w:marBottom w:val="0"/>
      <w:divBdr>
        <w:top w:val="none" w:sz="0" w:space="0" w:color="auto"/>
        <w:left w:val="none" w:sz="0" w:space="0" w:color="auto"/>
        <w:bottom w:val="none" w:sz="0" w:space="0" w:color="auto"/>
        <w:right w:val="none" w:sz="0" w:space="0" w:color="auto"/>
      </w:divBdr>
    </w:div>
    <w:div w:id="52625573">
      <w:bodyDiv w:val="1"/>
      <w:marLeft w:val="0"/>
      <w:marRight w:val="0"/>
      <w:marTop w:val="0"/>
      <w:marBottom w:val="0"/>
      <w:divBdr>
        <w:top w:val="none" w:sz="0" w:space="0" w:color="auto"/>
        <w:left w:val="none" w:sz="0" w:space="0" w:color="auto"/>
        <w:bottom w:val="none" w:sz="0" w:space="0" w:color="auto"/>
        <w:right w:val="none" w:sz="0" w:space="0" w:color="auto"/>
      </w:divBdr>
    </w:div>
    <w:div w:id="56828889">
      <w:bodyDiv w:val="1"/>
      <w:marLeft w:val="0"/>
      <w:marRight w:val="0"/>
      <w:marTop w:val="0"/>
      <w:marBottom w:val="0"/>
      <w:divBdr>
        <w:top w:val="none" w:sz="0" w:space="0" w:color="auto"/>
        <w:left w:val="none" w:sz="0" w:space="0" w:color="auto"/>
        <w:bottom w:val="none" w:sz="0" w:space="0" w:color="auto"/>
        <w:right w:val="none" w:sz="0" w:space="0" w:color="auto"/>
      </w:divBdr>
    </w:div>
    <w:div w:id="61566776">
      <w:bodyDiv w:val="1"/>
      <w:marLeft w:val="0"/>
      <w:marRight w:val="0"/>
      <w:marTop w:val="0"/>
      <w:marBottom w:val="0"/>
      <w:divBdr>
        <w:top w:val="none" w:sz="0" w:space="0" w:color="auto"/>
        <w:left w:val="none" w:sz="0" w:space="0" w:color="auto"/>
        <w:bottom w:val="none" w:sz="0" w:space="0" w:color="auto"/>
        <w:right w:val="none" w:sz="0" w:space="0" w:color="auto"/>
      </w:divBdr>
    </w:div>
    <w:div w:id="61605401">
      <w:bodyDiv w:val="1"/>
      <w:marLeft w:val="0"/>
      <w:marRight w:val="0"/>
      <w:marTop w:val="0"/>
      <w:marBottom w:val="0"/>
      <w:divBdr>
        <w:top w:val="none" w:sz="0" w:space="0" w:color="auto"/>
        <w:left w:val="none" w:sz="0" w:space="0" w:color="auto"/>
        <w:bottom w:val="none" w:sz="0" w:space="0" w:color="auto"/>
        <w:right w:val="none" w:sz="0" w:space="0" w:color="auto"/>
      </w:divBdr>
    </w:div>
    <w:div w:id="64037985">
      <w:bodyDiv w:val="1"/>
      <w:marLeft w:val="0"/>
      <w:marRight w:val="0"/>
      <w:marTop w:val="0"/>
      <w:marBottom w:val="0"/>
      <w:divBdr>
        <w:top w:val="none" w:sz="0" w:space="0" w:color="auto"/>
        <w:left w:val="none" w:sz="0" w:space="0" w:color="auto"/>
        <w:bottom w:val="none" w:sz="0" w:space="0" w:color="auto"/>
        <w:right w:val="none" w:sz="0" w:space="0" w:color="auto"/>
      </w:divBdr>
    </w:div>
    <w:div w:id="65491593">
      <w:bodyDiv w:val="1"/>
      <w:marLeft w:val="0"/>
      <w:marRight w:val="0"/>
      <w:marTop w:val="0"/>
      <w:marBottom w:val="0"/>
      <w:divBdr>
        <w:top w:val="none" w:sz="0" w:space="0" w:color="auto"/>
        <w:left w:val="none" w:sz="0" w:space="0" w:color="auto"/>
        <w:bottom w:val="none" w:sz="0" w:space="0" w:color="auto"/>
        <w:right w:val="none" w:sz="0" w:space="0" w:color="auto"/>
      </w:divBdr>
    </w:div>
    <w:div w:id="70277079">
      <w:bodyDiv w:val="1"/>
      <w:marLeft w:val="0"/>
      <w:marRight w:val="0"/>
      <w:marTop w:val="0"/>
      <w:marBottom w:val="0"/>
      <w:divBdr>
        <w:top w:val="none" w:sz="0" w:space="0" w:color="auto"/>
        <w:left w:val="none" w:sz="0" w:space="0" w:color="auto"/>
        <w:bottom w:val="none" w:sz="0" w:space="0" w:color="auto"/>
        <w:right w:val="none" w:sz="0" w:space="0" w:color="auto"/>
      </w:divBdr>
    </w:div>
    <w:div w:id="73091380">
      <w:bodyDiv w:val="1"/>
      <w:marLeft w:val="0"/>
      <w:marRight w:val="0"/>
      <w:marTop w:val="0"/>
      <w:marBottom w:val="0"/>
      <w:divBdr>
        <w:top w:val="none" w:sz="0" w:space="0" w:color="auto"/>
        <w:left w:val="none" w:sz="0" w:space="0" w:color="auto"/>
        <w:bottom w:val="none" w:sz="0" w:space="0" w:color="auto"/>
        <w:right w:val="none" w:sz="0" w:space="0" w:color="auto"/>
      </w:divBdr>
    </w:div>
    <w:div w:id="73816511">
      <w:bodyDiv w:val="1"/>
      <w:marLeft w:val="0"/>
      <w:marRight w:val="0"/>
      <w:marTop w:val="0"/>
      <w:marBottom w:val="0"/>
      <w:divBdr>
        <w:top w:val="none" w:sz="0" w:space="0" w:color="auto"/>
        <w:left w:val="none" w:sz="0" w:space="0" w:color="auto"/>
        <w:bottom w:val="none" w:sz="0" w:space="0" w:color="auto"/>
        <w:right w:val="none" w:sz="0" w:space="0" w:color="auto"/>
      </w:divBdr>
    </w:div>
    <w:div w:id="85351732">
      <w:bodyDiv w:val="1"/>
      <w:marLeft w:val="0"/>
      <w:marRight w:val="0"/>
      <w:marTop w:val="0"/>
      <w:marBottom w:val="0"/>
      <w:divBdr>
        <w:top w:val="none" w:sz="0" w:space="0" w:color="auto"/>
        <w:left w:val="none" w:sz="0" w:space="0" w:color="auto"/>
        <w:bottom w:val="none" w:sz="0" w:space="0" w:color="auto"/>
        <w:right w:val="none" w:sz="0" w:space="0" w:color="auto"/>
      </w:divBdr>
    </w:div>
    <w:div w:id="85540661">
      <w:bodyDiv w:val="1"/>
      <w:marLeft w:val="0"/>
      <w:marRight w:val="0"/>
      <w:marTop w:val="0"/>
      <w:marBottom w:val="0"/>
      <w:divBdr>
        <w:top w:val="none" w:sz="0" w:space="0" w:color="auto"/>
        <w:left w:val="none" w:sz="0" w:space="0" w:color="auto"/>
        <w:bottom w:val="none" w:sz="0" w:space="0" w:color="auto"/>
        <w:right w:val="none" w:sz="0" w:space="0" w:color="auto"/>
      </w:divBdr>
    </w:div>
    <w:div w:id="89202603">
      <w:bodyDiv w:val="1"/>
      <w:marLeft w:val="0"/>
      <w:marRight w:val="0"/>
      <w:marTop w:val="0"/>
      <w:marBottom w:val="0"/>
      <w:divBdr>
        <w:top w:val="none" w:sz="0" w:space="0" w:color="auto"/>
        <w:left w:val="none" w:sz="0" w:space="0" w:color="auto"/>
        <w:bottom w:val="none" w:sz="0" w:space="0" w:color="auto"/>
        <w:right w:val="none" w:sz="0" w:space="0" w:color="auto"/>
      </w:divBdr>
    </w:div>
    <w:div w:id="89588581">
      <w:bodyDiv w:val="1"/>
      <w:marLeft w:val="0"/>
      <w:marRight w:val="0"/>
      <w:marTop w:val="0"/>
      <w:marBottom w:val="0"/>
      <w:divBdr>
        <w:top w:val="none" w:sz="0" w:space="0" w:color="auto"/>
        <w:left w:val="none" w:sz="0" w:space="0" w:color="auto"/>
        <w:bottom w:val="none" w:sz="0" w:space="0" w:color="auto"/>
        <w:right w:val="none" w:sz="0" w:space="0" w:color="auto"/>
      </w:divBdr>
    </w:div>
    <w:div w:id="92435321">
      <w:bodyDiv w:val="1"/>
      <w:marLeft w:val="0"/>
      <w:marRight w:val="0"/>
      <w:marTop w:val="0"/>
      <w:marBottom w:val="0"/>
      <w:divBdr>
        <w:top w:val="none" w:sz="0" w:space="0" w:color="auto"/>
        <w:left w:val="none" w:sz="0" w:space="0" w:color="auto"/>
        <w:bottom w:val="none" w:sz="0" w:space="0" w:color="auto"/>
        <w:right w:val="none" w:sz="0" w:space="0" w:color="auto"/>
      </w:divBdr>
    </w:div>
    <w:div w:id="93406870">
      <w:bodyDiv w:val="1"/>
      <w:marLeft w:val="0"/>
      <w:marRight w:val="0"/>
      <w:marTop w:val="0"/>
      <w:marBottom w:val="0"/>
      <w:divBdr>
        <w:top w:val="none" w:sz="0" w:space="0" w:color="auto"/>
        <w:left w:val="none" w:sz="0" w:space="0" w:color="auto"/>
        <w:bottom w:val="none" w:sz="0" w:space="0" w:color="auto"/>
        <w:right w:val="none" w:sz="0" w:space="0" w:color="auto"/>
      </w:divBdr>
    </w:div>
    <w:div w:id="94600972">
      <w:bodyDiv w:val="1"/>
      <w:marLeft w:val="0"/>
      <w:marRight w:val="0"/>
      <w:marTop w:val="0"/>
      <w:marBottom w:val="0"/>
      <w:divBdr>
        <w:top w:val="none" w:sz="0" w:space="0" w:color="auto"/>
        <w:left w:val="none" w:sz="0" w:space="0" w:color="auto"/>
        <w:bottom w:val="none" w:sz="0" w:space="0" w:color="auto"/>
        <w:right w:val="none" w:sz="0" w:space="0" w:color="auto"/>
      </w:divBdr>
    </w:div>
    <w:div w:id="96414704">
      <w:bodyDiv w:val="1"/>
      <w:marLeft w:val="0"/>
      <w:marRight w:val="0"/>
      <w:marTop w:val="0"/>
      <w:marBottom w:val="0"/>
      <w:divBdr>
        <w:top w:val="none" w:sz="0" w:space="0" w:color="auto"/>
        <w:left w:val="none" w:sz="0" w:space="0" w:color="auto"/>
        <w:bottom w:val="none" w:sz="0" w:space="0" w:color="auto"/>
        <w:right w:val="none" w:sz="0" w:space="0" w:color="auto"/>
      </w:divBdr>
    </w:div>
    <w:div w:id="97142626">
      <w:bodyDiv w:val="1"/>
      <w:marLeft w:val="0"/>
      <w:marRight w:val="0"/>
      <w:marTop w:val="0"/>
      <w:marBottom w:val="0"/>
      <w:divBdr>
        <w:top w:val="none" w:sz="0" w:space="0" w:color="auto"/>
        <w:left w:val="none" w:sz="0" w:space="0" w:color="auto"/>
        <w:bottom w:val="none" w:sz="0" w:space="0" w:color="auto"/>
        <w:right w:val="none" w:sz="0" w:space="0" w:color="auto"/>
      </w:divBdr>
    </w:div>
    <w:div w:id="99572009">
      <w:bodyDiv w:val="1"/>
      <w:marLeft w:val="0"/>
      <w:marRight w:val="0"/>
      <w:marTop w:val="0"/>
      <w:marBottom w:val="0"/>
      <w:divBdr>
        <w:top w:val="none" w:sz="0" w:space="0" w:color="auto"/>
        <w:left w:val="none" w:sz="0" w:space="0" w:color="auto"/>
        <w:bottom w:val="none" w:sz="0" w:space="0" w:color="auto"/>
        <w:right w:val="none" w:sz="0" w:space="0" w:color="auto"/>
      </w:divBdr>
    </w:div>
    <w:div w:id="114099610">
      <w:bodyDiv w:val="1"/>
      <w:marLeft w:val="0"/>
      <w:marRight w:val="0"/>
      <w:marTop w:val="0"/>
      <w:marBottom w:val="0"/>
      <w:divBdr>
        <w:top w:val="none" w:sz="0" w:space="0" w:color="auto"/>
        <w:left w:val="none" w:sz="0" w:space="0" w:color="auto"/>
        <w:bottom w:val="none" w:sz="0" w:space="0" w:color="auto"/>
        <w:right w:val="none" w:sz="0" w:space="0" w:color="auto"/>
      </w:divBdr>
    </w:div>
    <w:div w:id="114443921">
      <w:bodyDiv w:val="1"/>
      <w:marLeft w:val="0"/>
      <w:marRight w:val="0"/>
      <w:marTop w:val="0"/>
      <w:marBottom w:val="0"/>
      <w:divBdr>
        <w:top w:val="none" w:sz="0" w:space="0" w:color="auto"/>
        <w:left w:val="none" w:sz="0" w:space="0" w:color="auto"/>
        <w:bottom w:val="none" w:sz="0" w:space="0" w:color="auto"/>
        <w:right w:val="none" w:sz="0" w:space="0" w:color="auto"/>
      </w:divBdr>
    </w:div>
    <w:div w:id="120543503">
      <w:bodyDiv w:val="1"/>
      <w:marLeft w:val="0"/>
      <w:marRight w:val="0"/>
      <w:marTop w:val="0"/>
      <w:marBottom w:val="0"/>
      <w:divBdr>
        <w:top w:val="none" w:sz="0" w:space="0" w:color="auto"/>
        <w:left w:val="none" w:sz="0" w:space="0" w:color="auto"/>
        <w:bottom w:val="none" w:sz="0" w:space="0" w:color="auto"/>
        <w:right w:val="none" w:sz="0" w:space="0" w:color="auto"/>
      </w:divBdr>
    </w:div>
    <w:div w:id="122579465">
      <w:bodyDiv w:val="1"/>
      <w:marLeft w:val="0"/>
      <w:marRight w:val="0"/>
      <w:marTop w:val="0"/>
      <w:marBottom w:val="0"/>
      <w:divBdr>
        <w:top w:val="none" w:sz="0" w:space="0" w:color="auto"/>
        <w:left w:val="none" w:sz="0" w:space="0" w:color="auto"/>
        <w:bottom w:val="none" w:sz="0" w:space="0" w:color="auto"/>
        <w:right w:val="none" w:sz="0" w:space="0" w:color="auto"/>
      </w:divBdr>
    </w:div>
    <w:div w:id="125438122">
      <w:bodyDiv w:val="1"/>
      <w:marLeft w:val="0"/>
      <w:marRight w:val="0"/>
      <w:marTop w:val="0"/>
      <w:marBottom w:val="0"/>
      <w:divBdr>
        <w:top w:val="none" w:sz="0" w:space="0" w:color="auto"/>
        <w:left w:val="none" w:sz="0" w:space="0" w:color="auto"/>
        <w:bottom w:val="none" w:sz="0" w:space="0" w:color="auto"/>
        <w:right w:val="none" w:sz="0" w:space="0" w:color="auto"/>
      </w:divBdr>
    </w:div>
    <w:div w:id="125706272">
      <w:bodyDiv w:val="1"/>
      <w:marLeft w:val="0"/>
      <w:marRight w:val="0"/>
      <w:marTop w:val="0"/>
      <w:marBottom w:val="0"/>
      <w:divBdr>
        <w:top w:val="none" w:sz="0" w:space="0" w:color="auto"/>
        <w:left w:val="none" w:sz="0" w:space="0" w:color="auto"/>
        <w:bottom w:val="none" w:sz="0" w:space="0" w:color="auto"/>
        <w:right w:val="none" w:sz="0" w:space="0" w:color="auto"/>
      </w:divBdr>
    </w:div>
    <w:div w:id="132135679">
      <w:bodyDiv w:val="1"/>
      <w:marLeft w:val="0"/>
      <w:marRight w:val="0"/>
      <w:marTop w:val="0"/>
      <w:marBottom w:val="0"/>
      <w:divBdr>
        <w:top w:val="none" w:sz="0" w:space="0" w:color="auto"/>
        <w:left w:val="none" w:sz="0" w:space="0" w:color="auto"/>
        <w:bottom w:val="none" w:sz="0" w:space="0" w:color="auto"/>
        <w:right w:val="none" w:sz="0" w:space="0" w:color="auto"/>
      </w:divBdr>
    </w:div>
    <w:div w:id="138503866">
      <w:bodyDiv w:val="1"/>
      <w:marLeft w:val="0"/>
      <w:marRight w:val="0"/>
      <w:marTop w:val="0"/>
      <w:marBottom w:val="0"/>
      <w:divBdr>
        <w:top w:val="none" w:sz="0" w:space="0" w:color="auto"/>
        <w:left w:val="none" w:sz="0" w:space="0" w:color="auto"/>
        <w:bottom w:val="none" w:sz="0" w:space="0" w:color="auto"/>
        <w:right w:val="none" w:sz="0" w:space="0" w:color="auto"/>
      </w:divBdr>
    </w:div>
    <w:div w:id="141193326">
      <w:bodyDiv w:val="1"/>
      <w:marLeft w:val="0"/>
      <w:marRight w:val="0"/>
      <w:marTop w:val="0"/>
      <w:marBottom w:val="0"/>
      <w:divBdr>
        <w:top w:val="none" w:sz="0" w:space="0" w:color="auto"/>
        <w:left w:val="none" w:sz="0" w:space="0" w:color="auto"/>
        <w:bottom w:val="none" w:sz="0" w:space="0" w:color="auto"/>
        <w:right w:val="none" w:sz="0" w:space="0" w:color="auto"/>
      </w:divBdr>
    </w:div>
    <w:div w:id="142047156">
      <w:bodyDiv w:val="1"/>
      <w:marLeft w:val="0"/>
      <w:marRight w:val="0"/>
      <w:marTop w:val="0"/>
      <w:marBottom w:val="0"/>
      <w:divBdr>
        <w:top w:val="none" w:sz="0" w:space="0" w:color="auto"/>
        <w:left w:val="none" w:sz="0" w:space="0" w:color="auto"/>
        <w:bottom w:val="none" w:sz="0" w:space="0" w:color="auto"/>
        <w:right w:val="none" w:sz="0" w:space="0" w:color="auto"/>
      </w:divBdr>
    </w:div>
    <w:div w:id="153225602">
      <w:bodyDiv w:val="1"/>
      <w:marLeft w:val="0"/>
      <w:marRight w:val="0"/>
      <w:marTop w:val="0"/>
      <w:marBottom w:val="0"/>
      <w:divBdr>
        <w:top w:val="none" w:sz="0" w:space="0" w:color="auto"/>
        <w:left w:val="none" w:sz="0" w:space="0" w:color="auto"/>
        <w:bottom w:val="none" w:sz="0" w:space="0" w:color="auto"/>
        <w:right w:val="none" w:sz="0" w:space="0" w:color="auto"/>
      </w:divBdr>
    </w:div>
    <w:div w:id="156843751">
      <w:bodyDiv w:val="1"/>
      <w:marLeft w:val="0"/>
      <w:marRight w:val="0"/>
      <w:marTop w:val="0"/>
      <w:marBottom w:val="0"/>
      <w:divBdr>
        <w:top w:val="none" w:sz="0" w:space="0" w:color="auto"/>
        <w:left w:val="none" w:sz="0" w:space="0" w:color="auto"/>
        <w:bottom w:val="none" w:sz="0" w:space="0" w:color="auto"/>
        <w:right w:val="none" w:sz="0" w:space="0" w:color="auto"/>
      </w:divBdr>
    </w:div>
    <w:div w:id="158153338">
      <w:bodyDiv w:val="1"/>
      <w:marLeft w:val="0"/>
      <w:marRight w:val="0"/>
      <w:marTop w:val="0"/>
      <w:marBottom w:val="0"/>
      <w:divBdr>
        <w:top w:val="none" w:sz="0" w:space="0" w:color="auto"/>
        <w:left w:val="none" w:sz="0" w:space="0" w:color="auto"/>
        <w:bottom w:val="none" w:sz="0" w:space="0" w:color="auto"/>
        <w:right w:val="none" w:sz="0" w:space="0" w:color="auto"/>
      </w:divBdr>
    </w:div>
    <w:div w:id="166478821">
      <w:bodyDiv w:val="1"/>
      <w:marLeft w:val="0"/>
      <w:marRight w:val="0"/>
      <w:marTop w:val="0"/>
      <w:marBottom w:val="0"/>
      <w:divBdr>
        <w:top w:val="none" w:sz="0" w:space="0" w:color="auto"/>
        <w:left w:val="none" w:sz="0" w:space="0" w:color="auto"/>
        <w:bottom w:val="none" w:sz="0" w:space="0" w:color="auto"/>
        <w:right w:val="none" w:sz="0" w:space="0" w:color="auto"/>
      </w:divBdr>
    </w:div>
    <w:div w:id="168452691">
      <w:bodyDiv w:val="1"/>
      <w:marLeft w:val="0"/>
      <w:marRight w:val="0"/>
      <w:marTop w:val="0"/>
      <w:marBottom w:val="0"/>
      <w:divBdr>
        <w:top w:val="none" w:sz="0" w:space="0" w:color="auto"/>
        <w:left w:val="none" w:sz="0" w:space="0" w:color="auto"/>
        <w:bottom w:val="none" w:sz="0" w:space="0" w:color="auto"/>
        <w:right w:val="none" w:sz="0" w:space="0" w:color="auto"/>
      </w:divBdr>
    </w:div>
    <w:div w:id="174224002">
      <w:bodyDiv w:val="1"/>
      <w:marLeft w:val="0"/>
      <w:marRight w:val="0"/>
      <w:marTop w:val="0"/>
      <w:marBottom w:val="0"/>
      <w:divBdr>
        <w:top w:val="none" w:sz="0" w:space="0" w:color="auto"/>
        <w:left w:val="none" w:sz="0" w:space="0" w:color="auto"/>
        <w:bottom w:val="none" w:sz="0" w:space="0" w:color="auto"/>
        <w:right w:val="none" w:sz="0" w:space="0" w:color="auto"/>
      </w:divBdr>
    </w:div>
    <w:div w:id="175198690">
      <w:bodyDiv w:val="1"/>
      <w:marLeft w:val="0"/>
      <w:marRight w:val="0"/>
      <w:marTop w:val="0"/>
      <w:marBottom w:val="0"/>
      <w:divBdr>
        <w:top w:val="none" w:sz="0" w:space="0" w:color="auto"/>
        <w:left w:val="none" w:sz="0" w:space="0" w:color="auto"/>
        <w:bottom w:val="none" w:sz="0" w:space="0" w:color="auto"/>
        <w:right w:val="none" w:sz="0" w:space="0" w:color="auto"/>
      </w:divBdr>
    </w:div>
    <w:div w:id="181479809">
      <w:bodyDiv w:val="1"/>
      <w:marLeft w:val="0"/>
      <w:marRight w:val="0"/>
      <w:marTop w:val="0"/>
      <w:marBottom w:val="0"/>
      <w:divBdr>
        <w:top w:val="none" w:sz="0" w:space="0" w:color="auto"/>
        <w:left w:val="none" w:sz="0" w:space="0" w:color="auto"/>
        <w:bottom w:val="none" w:sz="0" w:space="0" w:color="auto"/>
        <w:right w:val="none" w:sz="0" w:space="0" w:color="auto"/>
      </w:divBdr>
    </w:div>
    <w:div w:id="182324848">
      <w:bodyDiv w:val="1"/>
      <w:marLeft w:val="0"/>
      <w:marRight w:val="0"/>
      <w:marTop w:val="0"/>
      <w:marBottom w:val="0"/>
      <w:divBdr>
        <w:top w:val="none" w:sz="0" w:space="0" w:color="auto"/>
        <w:left w:val="none" w:sz="0" w:space="0" w:color="auto"/>
        <w:bottom w:val="none" w:sz="0" w:space="0" w:color="auto"/>
        <w:right w:val="none" w:sz="0" w:space="0" w:color="auto"/>
      </w:divBdr>
    </w:div>
    <w:div w:id="197016495">
      <w:bodyDiv w:val="1"/>
      <w:marLeft w:val="0"/>
      <w:marRight w:val="0"/>
      <w:marTop w:val="0"/>
      <w:marBottom w:val="0"/>
      <w:divBdr>
        <w:top w:val="none" w:sz="0" w:space="0" w:color="auto"/>
        <w:left w:val="none" w:sz="0" w:space="0" w:color="auto"/>
        <w:bottom w:val="none" w:sz="0" w:space="0" w:color="auto"/>
        <w:right w:val="none" w:sz="0" w:space="0" w:color="auto"/>
      </w:divBdr>
    </w:div>
    <w:div w:id="202401793">
      <w:bodyDiv w:val="1"/>
      <w:marLeft w:val="0"/>
      <w:marRight w:val="0"/>
      <w:marTop w:val="0"/>
      <w:marBottom w:val="0"/>
      <w:divBdr>
        <w:top w:val="none" w:sz="0" w:space="0" w:color="auto"/>
        <w:left w:val="none" w:sz="0" w:space="0" w:color="auto"/>
        <w:bottom w:val="none" w:sz="0" w:space="0" w:color="auto"/>
        <w:right w:val="none" w:sz="0" w:space="0" w:color="auto"/>
      </w:divBdr>
    </w:div>
    <w:div w:id="203032060">
      <w:bodyDiv w:val="1"/>
      <w:marLeft w:val="0"/>
      <w:marRight w:val="0"/>
      <w:marTop w:val="0"/>
      <w:marBottom w:val="0"/>
      <w:divBdr>
        <w:top w:val="none" w:sz="0" w:space="0" w:color="auto"/>
        <w:left w:val="none" w:sz="0" w:space="0" w:color="auto"/>
        <w:bottom w:val="none" w:sz="0" w:space="0" w:color="auto"/>
        <w:right w:val="none" w:sz="0" w:space="0" w:color="auto"/>
      </w:divBdr>
    </w:div>
    <w:div w:id="206726672">
      <w:bodyDiv w:val="1"/>
      <w:marLeft w:val="0"/>
      <w:marRight w:val="0"/>
      <w:marTop w:val="0"/>
      <w:marBottom w:val="0"/>
      <w:divBdr>
        <w:top w:val="none" w:sz="0" w:space="0" w:color="auto"/>
        <w:left w:val="none" w:sz="0" w:space="0" w:color="auto"/>
        <w:bottom w:val="none" w:sz="0" w:space="0" w:color="auto"/>
        <w:right w:val="none" w:sz="0" w:space="0" w:color="auto"/>
      </w:divBdr>
    </w:div>
    <w:div w:id="206839736">
      <w:bodyDiv w:val="1"/>
      <w:marLeft w:val="0"/>
      <w:marRight w:val="0"/>
      <w:marTop w:val="0"/>
      <w:marBottom w:val="0"/>
      <w:divBdr>
        <w:top w:val="none" w:sz="0" w:space="0" w:color="auto"/>
        <w:left w:val="none" w:sz="0" w:space="0" w:color="auto"/>
        <w:bottom w:val="none" w:sz="0" w:space="0" w:color="auto"/>
        <w:right w:val="none" w:sz="0" w:space="0" w:color="auto"/>
      </w:divBdr>
    </w:div>
    <w:div w:id="212543595">
      <w:bodyDiv w:val="1"/>
      <w:marLeft w:val="0"/>
      <w:marRight w:val="0"/>
      <w:marTop w:val="0"/>
      <w:marBottom w:val="0"/>
      <w:divBdr>
        <w:top w:val="none" w:sz="0" w:space="0" w:color="auto"/>
        <w:left w:val="none" w:sz="0" w:space="0" w:color="auto"/>
        <w:bottom w:val="none" w:sz="0" w:space="0" w:color="auto"/>
        <w:right w:val="none" w:sz="0" w:space="0" w:color="auto"/>
      </w:divBdr>
    </w:div>
    <w:div w:id="213975131">
      <w:bodyDiv w:val="1"/>
      <w:marLeft w:val="0"/>
      <w:marRight w:val="0"/>
      <w:marTop w:val="0"/>
      <w:marBottom w:val="0"/>
      <w:divBdr>
        <w:top w:val="none" w:sz="0" w:space="0" w:color="auto"/>
        <w:left w:val="none" w:sz="0" w:space="0" w:color="auto"/>
        <w:bottom w:val="none" w:sz="0" w:space="0" w:color="auto"/>
        <w:right w:val="none" w:sz="0" w:space="0" w:color="auto"/>
      </w:divBdr>
    </w:div>
    <w:div w:id="215091700">
      <w:bodyDiv w:val="1"/>
      <w:marLeft w:val="0"/>
      <w:marRight w:val="0"/>
      <w:marTop w:val="0"/>
      <w:marBottom w:val="0"/>
      <w:divBdr>
        <w:top w:val="none" w:sz="0" w:space="0" w:color="auto"/>
        <w:left w:val="none" w:sz="0" w:space="0" w:color="auto"/>
        <w:bottom w:val="none" w:sz="0" w:space="0" w:color="auto"/>
        <w:right w:val="none" w:sz="0" w:space="0" w:color="auto"/>
      </w:divBdr>
    </w:div>
    <w:div w:id="216748505">
      <w:bodyDiv w:val="1"/>
      <w:marLeft w:val="0"/>
      <w:marRight w:val="0"/>
      <w:marTop w:val="0"/>
      <w:marBottom w:val="0"/>
      <w:divBdr>
        <w:top w:val="none" w:sz="0" w:space="0" w:color="auto"/>
        <w:left w:val="none" w:sz="0" w:space="0" w:color="auto"/>
        <w:bottom w:val="none" w:sz="0" w:space="0" w:color="auto"/>
        <w:right w:val="none" w:sz="0" w:space="0" w:color="auto"/>
      </w:divBdr>
    </w:div>
    <w:div w:id="218127896">
      <w:bodyDiv w:val="1"/>
      <w:marLeft w:val="0"/>
      <w:marRight w:val="0"/>
      <w:marTop w:val="0"/>
      <w:marBottom w:val="0"/>
      <w:divBdr>
        <w:top w:val="none" w:sz="0" w:space="0" w:color="auto"/>
        <w:left w:val="none" w:sz="0" w:space="0" w:color="auto"/>
        <w:bottom w:val="none" w:sz="0" w:space="0" w:color="auto"/>
        <w:right w:val="none" w:sz="0" w:space="0" w:color="auto"/>
      </w:divBdr>
    </w:div>
    <w:div w:id="220679903">
      <w:bodyDiv w:val="1"/>
      <w:marLeft w:val="0"/>
      <w:marRight w:val="0"/>
      <w:marTop w:val="0"/>
      <w:marBottom w:val="0"/>
      <w:divBdr>
        <w:top w:val="none" w:sz="0" w:space="0" w:color="auto"/>
        <w:left w:val="none" w:sz="0" w:space="0" w:color="auto"/>
        <w:bottom w:val="none" w:sz="0" w:space="0" w:color="auto"/>
        <w:right w:val="none" w:sz="0" w:space="0" w:color="auto"/>
      </w:divBdr>
    </w:div>
    <w:div w:id="230703631">
      <w:bodyDiv w:val="1"/>
      <w:marLeft w:val="0"/>
      <w:marRight w:val="0"/>
      <w:marTop w:val="0"/>
      <w:marBottom w:val="0"/>
      <w:divBdr>
        <w:top w:val="none" w:sz="0" w:space="0" w:color="auto"/>
        <w:left w:val="none" w:sz="0" w:space="0" w:color="auto"/>
        <w:bottom w:val="none" w:sz="0" w:space="0" w:color="auto"/>
        <w:right w:val="none" w:sz="0" w:space="0" w:color="auto"/>
      </w:divBdr>
    </w:div>
    <w:div w:id="234437968">
      <w:bodyDiv w:val="1"/>
      <w:marLeft w:val="0"/>
      <w:marRight w:val="0"/>
      <w:marTop w:val="0"/>
      <w:marBottom w:val="0"/>
      <w:divBdr>
        <w:top w:val="none" w:sz="0" w:space="0" w:color="auto"/>
        <w:left w:val="none" w:sz="0" w:space="0" w:color="auto"/>
        <w:bottom w:val="none" w:sz="0" w:space="0" w:color="auto"/>
        <w:right w:val="none" w:sz="0" w:space="0" w:color="auto"/>
      </w:divBdr>
    </w:div>
    <w:div w:id="235556040">
      <w:bodyDiv w:val="1"/>
      <w:marLeft w:val="0"/>
      <w:marRight w:val="0"/>
      <w:marTop w:val="0"/>
      <w:marBottom w:val="0"/>
      <w:divBdr>
        <w:top w:val="none" w:sz="0" w:space="0" w:color="auto"/>
        <w:left w:val="none" w:sz="0" w:space="0" w:color="auto"/>
        <w:bottom w:val="none" w:sz="0" w:space="0" w:color="auto"/>
        <w:right w:val="none" w:sz="0" w:space="0" w:color="auto"/>
      </w:divBdr>
    </w:div>
    <w:div w:id="235750685">
      <w:bodyDiv w:val="1"/>
      <w:marLeft w:val="0"/>
      <w:marRight w:val="0"/>
      <w:marTop w:val="0"/>
      <w:marBottom w:val="0"/>
      <w:divBdr>
        <w:top w:val="none" w:sz="0" w:space="0" w:color="auto"/>
        <w:left w:val="none" w:sz="0" w:space="0" w:color="auto"/>
        <w:bottom w:val="none" w:sz="0" w:space="0" w:color="auto"/>
        <w:right w:val="none" w:sz="0" w:space="0" w:color="auto"/>
      </w:divBdr>
    </w:div>
    <w:div w:id="238292361">
      <w:bodyDiv w:val="1"/>
      <w:marLeft w:val="0"/>
      <w:marRight w:val="0"/>
      <w:marTop w:val="0"/>
      <w:marBottom w:val="0"/>
      <w:divBdr>
        <w:top w:val="none" w:sz="0" w:space="0" w:color="auto"/>
        <w:left w:val="none" w:sz="0" w:space="0" w:color="auto"/>
        <w:bottom w:val="none" w:sz="0" w:space="0" w:color="auto"/>
        <w:right w:val="none" w:sz="0" w:space="0" w:color="auto"/>
      </w:divBdr>
    </w:div>
    <w:div w:id="246579193">
      <w:bodyDiv w:val="1"/>
      <w:marLeft w:val="0"/>
      <w:marRight w:val="0"/>
      <w:marTop w:val="0"/>
      <w:marBottom w:val="0"/>
      <w:divBdr>
        <w:top w:val="none" w:sz="0" w:space="0" w:color="auto"/>
        <w:left w:val="none" w:sz="0" w:space="0" w:color="auto"/>
        <w:bottom w:val="none" w:sz="0" w:space="0" w:color="auto"/>
        <w:right w:val="none" w:sz="0" w:space="0" w:color="auto"/>
      </w:divBdr>
    </w:div>
    <w:div w:id="246891856">
      <w:bodyDiv w:val="1"/>
      <w:marLeft w:val="0"/>
      <w:marRight w:val="0"/>
      <w:marTop w:val="0"/>
      <w:marBottom w:val="0"/>
      <w:divBdr>
        <w:top w:val="none" w:sz="0" w:space="0" w:color="auto"/>
        <w:left w:val="none" w:sz="0" w:space="0" w:color="auto"/>
        <w:bottom w:val="none" w:sz="0" w:space="0" w:color="auto"/>
        <w:right w:val="none" w:sz="0" w:space="0" w:color="auto"/>
      </w:divBdr>
    </w:div>
    <w:div w:id="253897642">
      <w:bodyDiv w:val="1"/>
      <w:marLeft w:val="0"/>
      <w:marRight w:val="0"/>
      <w:marTop w:val="0"/>
      <w:marBottom w:val="0"/>
      <w:divBdr>
        <w:top w:val="none" w:sz="0" w:space="0" w:color="auto"/>
        <w:left w:val="none" w:sz="0" w:space="0" w:color="auto"/>
        <w:bottom w:val="none" w:sz="0" w:space="0" w:color="auto"/>
        <w:right w:val="none" w:sz="0" w:space="0" w:color="auto"/>
      </w:divBdr>
    </w:div>
    <w:div w:id="255021658">
      <w:bodyDiv w:val="1"/>
      <w:marLeft w:val="0"/>
      <w:marRight w:val="0"/>
      <w:marTop w:val="0"/>
      <w:marBottom w:val="0"/>
      <w:divBdr>
        <w:top w:val="none" w:sz="0" w:space="0" w:color="auto"/>
        <w:left w:val="none" w:sz="0" w:space="0" w:color="auto"/>
        <w:bottom w:val="none" w:sz="0" w:space="0" w:color="auto"/>
        <w:right w:val="none" w:sz="0" w:space="0" w:color="auto"/>
      </w:divBdr>
    </w:div>
    <w:div w:id="257832662">
      <w:bodyDiv w:val="1"/>
      <w:marLeft w:val="0"/>
      <w:marRight w:val="0"/>
      <w:marTop w:val="0"/>
      <w:marBottom w:val="0"/>
      <w:divBdr>
        <w:top w:val="none" w:sz="0" w:space="0" w:color="auto"/>
        <w:left w:val="none" w:sz="0" w:space="0" w:color="auto"/>
        <w:bottom w:val="none" w:sz="0" w:space="0" w:color="auto"/>
        <w:right w:val="none" w:sz="0" w:space="0" w:color="auto"/>
      </w:divBdr>
    </w:div>
    <w:div w:id="264920333">
      <w:bodyDiv w:val="1"/>
      <w:marLeft w:val="0"/>
      <w:marRight w:val="0"/>
      <w:marTop w:val="0"/>
      <w:marBottom w:val="0"/>
      <w:divBdr>
        <w:top w:val="none" w:sz="0" w:space="0" w:color="auto"/>
        <w:left w:val="none" w:sz="0" w:space="0" w:color="auto"/>
        <w:bottom w:val="none" w:sz="0" w:space="0" w:color="auto"/>
        <w:right w:val="none" w:sz="0" w:space="0" w:color="auto"/>
      </w:divBdr>
    </w:div>
    <w:div w:id="264928090">
      <w:bodyDiv w:val="1"/>
      <w:marLeft w:val="0"/>
      <w:marRight w:val="0"/>
      <w:marTop w:val="0"/>
      <w:marBottom w:val="0"/>
      <w:divBdr>
        <w:top w:val="none" w:sz="0" w:space="0" w:color="auto"/>
        <w:left w:val="none" w:sz="0" w:space="0" w:color="auto"/>
        <w:bottom w:val="none" w:sz="0" w:space="0" w:color="auto"/>
        <w:right w:val="none" w:sz="0" w:space="0" w:color="auto"/>
      </w:divBdr>
    </w:div>
    <w:div w:id="265695383">
      <w:bodyDiv w:val="1"/>
      <w:marLeft w:val="0"/>
      <w:marRight w:val="0"/>
      <w:marTop w:val="0"/>
      <w:marBottom w:val="0"/>
      <w:divBdr>
        <w:top w:val="none" w:sz="0" w:space="0" w:color="auto"/>
        <w:left w:val="none" w:sz="0" w:space="0" w:color="auto"/>
        <w:bottom w:val="none" w:sz="0" w:space="0" w:color="auto"/>
        <w:right w:val="none" w:sz="0" w:space="0" w:color="auto"/>
      </w:divBdr>
    </w:div>
    <w:div w:id="266548568">
      <w:bodyDiv w:val="1"/>
      <w:marLeft w:val="0"/>
      <w:marRight w:val="0"/>
      <w:marTop w:val="0"/>
      <w:marBottom w:val="0"/>
      <w:divBdr>
        <w:top w:val="none" w:sz="0" w:space="0" w:color="auto"/>
        <w:left w:val="none" w:sz="0" w:space="0" w:color="auto"/>
        <w:bottom w:val="none" w:sz="0" w:space="0" w:color="auto"/>
        <w:right w:val="none" w:sz="0" w:space="0" w:color="auto"/>
      </w:divBdr>
    </w:div>
    <w:div w:id="267202080">
      <w:bodyDiv w:val="1"/>
      <w:marLeft w:val="0"/>
      <w:marRight w:val="0"/>
      <w:marTop w:val="0"/>
      <w:marBottom w:val="0"/>
      <w:divBdr>
        <w:top w:val="none" w:sz="0" w:space="0" w:color="auto"/>
        <w:left w:val="none" w:sz="0" w:space="0" w:color="auto"/>
        <w:bottom w:val="none" w:sz="0" w:space="0" w:color="auto"/>
        <w:right w:val="none" w:sz="0" w:space="0" w:color="auto"/>
      </w:divBdr>
    </w:div>
    <w:div w:id="267659416">
      <w:bodyDiv w:val="1"/>
      <w:marLeft w:val="0"/>
      <w:marRight w:val="0"/>
      <w:marTop w:val="0"/>
      <w:marBottom w:val="0"/>
      <w:divBdr>
        <w:top w:val="none" w:sz="0" w:space="0" w:color="auto"/>
        <w:left w:val="none" w:sz="0" w:space="0" w:color="auto"/>
        <w:bottom w:val="none" w:sz="0" w:space="0" w:color="auto"/>
        <w:right w:val="none" w:sz="0" w:space="0" w:color="auto"/>
      </w:divBdr>
    </w:div>
    <w:div w:id="272592440">
      <w:bodyDiv w:val="1"/>
      <w:marLeft w:val="0"/>
      <w:marRight w:val="0"/>
      <w:marTop w:val="0"/>
      <w:marBottom w:val="0"/>
      <w:divBdr>
        <w:top w:val="none" w:sz="0" w:space="0" w:color="auto"/>
        <w:left w:val="none" w:sz="0" w:space="0" w:color="auto"/>
        <w:bottom w:val="none" w:sz="0" w:space="0" w:color="auto"/>
        <w:right w:val="none" w:sz="0" w:space="0" w:color="auto"/>
      </w:divBdr>
    </w:div>
    <w:div w:id="274407960">
      <w:bodyDiv w:val="1"/>
      <w:marLeft w:val="0"/>
      <w:marRight w:val="0"/>
      <w:marTop w:val="0"/>
      <w:marBottom w:val="0"/>
      <w:divBdr>
        <w:top w:val="none" w:sz="0" w:space="0" w:color="auto"/>
        <w:left w:val="none" w:sz="0" w:space="0" w:color="auto"/>
        <w:bottom w:val="none" w:sz="0" w:space="0" w:color="auto"/>
        <w:right w:val="none" w:sz="0" w:space="0" w:color="auto"/>
      </w:divBdr>
    </w:div>
    <w:div w:id="275186085">
      <w:bodyDiv w:val="1"/>
      <w:marLeft w:val="0"/>
      <w:marRight w:val="0"/>
      <w:marTop w:val="0"/>
      <w:marBottom w:val="0"/>
      <w:divBdr>
        <w:top w:val="none" w:sz="0" w:space="0" w:color="auto"/>
        <w:left w:val="none" w:sz="0" w:space="0" w:color="auto"/>
        <w:bottom w:val="none" w:sz="0" w:space="0" w:color="auto"/>
        <w:right w:val="none" w:sz="0" w:space="0" w:color="auto"/>
      </w:divBdr>
    </w:div>
    <w:div w:id="288511132">
      <w:bodyDiv w:val="1"/>
      <w:marLeft w:val="0"/>
      <w:marRight w:val="0"/>
      <w:marTop w:val="0"/>
      <w:marBottom w:val="0"/>
      <w:divBdr>
        <w:top w:val="none" w:sz="0" w:space="0" w:color="auto"/>
        <w:left w:val="none" w:sz="0" w:space="0" w:color="auto"/>
        <w:bottom w:val="none" w:sz="0" w:space="0" w:color="auto"/>
        <w:right w:val="none" w:sz="0" w:space="0" w:color="auto"/>
      </w:divBdr>
    </w:div>
    <w:div w:id="293409026">
      <w:bodyDiv w:val="1"/>
      <w:marLeft w:val="0"/>
      <w:marRight w:val="0"/>
      <w:marTop w:val="0"/>
      <w:marBottom w:val="0"/>
      <w:divBdr>
        <w:top w:val="none" w:sz="0" w:space="0" w:color="auto"/>
        <w:left w:val="none" w:sz="0" w:space="0" w:color="auto"/>
        <w:bottom w:val="none" w:sz="0" w:space="0" w:color="auto"/>
        <w:right w:val="none" w:sz="0" w:space="0" w:color="auto"/>
      </w:divBdr>
    </w:div>
    <w:div w:id="296181780">
      <w:bodyDiv w:val="1"/>
      <w:marLeft w:val="0"/>
      <w:marRight w:val="0"/>
      <w:marTop w:val="0"/>
      <w:marBottom w:val="0"/>
      <w:divBdr>
        <w:top w:val="none" w:sz="0" w:space="0" w:color="auto"/>
        <w:left w:val="none" w:sz="0" w:space="0" w:color="auto"/>
        <w:bottom w:val="none" w:sz="0" w:space="0" w:color="auto"/>
        <w:right w:val="none" w:sz="0" w:space="0" w:color="auto"/>
      </w:divBdr>
    </w:div>
    <w:div w:id="298802107">
      <w:bodyDiv w:val="1"/>
      <w:marLeft w:val="0"/>
      <w:marRight w:val="0"/>
      <w:marTop w:val="0"/>
      <w:marBottom w:val="0"/>
      <w:divBdr>
        <w:top w:val="none" w:sz="0" w:space="0" w:color="auto"/>
        <w:left w:val="none" w:sz="0" w:space="0" w:color="auto"/>
        <w:bottom w:val="none" w:sz="0" w:space="0" w:color="auto"/>
        <w:right w:val="none" w:sz="0" w:space="0" w:color="auto"/>
      </w:divBdr>
    </w:div>
    <w:div w:id="299962532">
      <w:bodyDiv w:val="1"/>
      <w:marLeft w:val="0"/>
      <w:marRight w:val="0"/>
      <w:marTop w:val="0"/>
      <w:marBottom w:val="0"/>
      <w:divBdr>
        <w:top w:val="none" w:sz="0" w:space="0" w:color="auto"/>
        <w:left w:val="none" w:sz="0" w:space="0" w:color="auto"/>
        <w:bottom w:val="none" w:sz="0" w:space="0" w:color="auto"/>
        <w:right w:val="none" w:sz="0" w:space="0" w:color="auto"/>
      </w:divBdr>
    </w:div>
    <w:div w:id="302128296">
      <w:bodyDiv w:val="1"/>
      <w:marLeft w:val="0"/>
      <w:marRight w:val="0"/>
      <w:marTop w:val="0"/>
      <w:marBottom w:val="0"/>
      <w:divBdr>
        <w:top w:val="none" w:sz="0" w:space="0" w:color="auto"/>
        <w:left w:val="none" w:sz="0" w:space="0" w:color="auto"/>
        <w:bottom w:val="none" w:sz="0" w:space="0" w:color="auto"/>
        <w:right w:val="none" w:sz="0" w:space="0" w:color="auto"/>
      </w:divBdr>
    </w:div>
    <w:div w:id="302781996">
      <w:bodyDiv w:val="1"/>
      <w:marLeft w:val="0"/>
      <w:marRight w:val="0"/>
      <w:marTop w:val="0"/>
      <w:marBottom w:val="0"/>
      <w:divBdr>
        <w:top w:val="none" w:sz="0" w:space="0" w:color="auto"/>
        <w:left w:val="none" w:sz="0" w:space="0" w:color="auto"/>
        <w:bottom w:val="none" w:sz="0" w:space="0" w:color="auto"/>
        <w:right w:val="none" w:sz="0" w:space="0" w:color="auto"/>
      </w:divBdr>
    </w:div>
    <w:div w:id="304969255">
      <w:bodyDiv w:val="1"/>
      <w:marLeft w:val="0"/>
      <w:marRight w:val="0"/>
      <w:marTop w:val="0"/>
      <w:marBottom w:val="0"/>
      <w:divBdr>
        <w:top w:val="none" w:sz="0" w:space="0" w:color="auto"/>
        <w:left w:val="none" w:sz="0" w:space="0" w:color="auto"/>
        <w:bottom w:val="none" w:sz="0" w:space="0" w:color="auto"/>
        <w:right w:val="none" w:sz="0" w:space="0" w:color="auto"/>
      </w:divBdr>
    </w:div>
    <w:div w:id="311758607">
      <w:bodyDiv w:val="1"/>
      <w:marLeft w:val="0"/>
      <w:marRight w:val="0"/>
      <w:marTop w:val="0"/>
      <w:marBottom w:val="0"/>
      <w:divBdr>
        <w:top w:val="none" w:sz="0" w:space="0" w:color="auto"/>
        <w:left w:val="none" w:sz="0" w:space="0" w:color="auto"/>
        <w:bottom w:val="none" w:sz="0" w:space="0" w:color="auto"/>
        <w:right w:val="none" w:sz="0" w:space="0" w:color="auto"/>
      </w:divBdr>
    </w:div>
    <w:div w:id="312567538">
      <w:bodyDiv w:val="1"/>
      <w:marLeft w:val="0"/>
      <w:marRight w:val="0"/>
      <w:marTop w:val="0"/>
      <w:marBottom w:val="0"/>
      <w:divBdr>
        <w:top w:val="none" w:sz="0" w:space="0" w:color="auto"/>
        <w:left w:val="none" w:sz="0" w:space="0" w:color="auto"/>
        <w:bottom w:val="none" w:sz="0" w:space="0" w:color="auto"/>
        <w:right w:val="none" w:sz="0" w:space="0" w:color="auto"/>
      </w:divBdr>
    </w:div>
    <w:div w:id="319240348">
      <w:bodyDiv w:val="1"/>
      <w:marLeft w:val="0"/>
      <w:marRight w:val="0"/>
      <w:marTop w:val="0"/>
      <w:marBottom w:val="0"/>
      <w:divBdr>
        <w:top w:val="none" w:sz="0" w:space="0" w:color="auto"/>
        <w:left w:val="none" w:sz="0" w:space="0" w:color="auto"/>
        <w:bottom w:val="none" w:sz="0" w:space="0" w:color="auto"/>
        <w:right w:val="none" w:sz="0" w:space="0" w:color="auto"/>
      </w:divBdr>
    </w:div>
    <w:div w:id="320279129">
      <w:bodyDiv w:val="1"/>
      <w:marLeft w:val="0"/>
      <w:marRight w:val="0"/>
      <w:marTop w:val="0"/>
      <w:marBottom w:val="0"/>
      <w:divBdr>
        <w:top w:val="none" w:sz="0" w:space="0" w:color="auto"/>
        <w:left w:val="none" w:sz="0" w:space="0" w:color="auto"/>
        <w:bottom w:val="none" w:sz="0" w:space="0" w:color="auto"/>
        <w:right w:val="none" w:sz="0" w:space="0" w:color="auto"/>
      </w:divBdr>
    </w:div>
    <w:div w:id="320431949">
      <w:bodyDiv w:val="1"/>
      <w:marLeft w:val="0"/>
      <w:marRight w:val="0"/>
      <w:marTop w:val="0"/>
      <w:marBottom w:val="0"/>
      <w:divBdr>
        <w:top w:val="none" w:sz="0" w:space="0" w:color="auto"/>
        <w:left w:val="none" w:sz="0" w:space="0" w:color="auto"/>
        <w:bottom w:val="none" w:sz="0" w:space="0" w:color="auto"/>
        <w:right w:val="none" w:sz="0" w:space="0" w:color="auto"/>
      </w:divBdr>
    </w:div>
    <w:div w:id="335612822">
      <w:bodyDiv w:val="1"/>
      <w:marLeft w:val="0"/>
      <w:marRight w:val="0"/>
      <w:marTop w:val="0"/>
      <w:marBottom w:val="0"/>
      <w:divBdr>
        <w:top w:val="none" w:sz="0" w:space="0" w:color="auto"/>
        <w:left w:val="none" w:sz="0" w:space="0" w:color="auto"/>
        <w:bottom w:val="none" w:sz="0" w:space="0" w:color="auto"/>
        <w:right w:val="none" w:sz="0" w:space="0" w:color="auto"/>
      </w:divBdr>
    </w:div>
    <w:div w:id="338895731">
      <w:bodyDiv w:val="1"/>
      <w:marLeft w:val="0"/>
      <w:marRight w:val="0"/>
      <w:marTop w:val="0"/>
      <w:marBottom w:val="0"/>
      <w:divBdr>
        <w:top w:val="none" w:sz="0" w:space="0" w:color="auto"/>
        <w:left w:val="none" w:sz="0" w:space="0" w:color="auto"/>
        <w:bottom w:val="none" w:sz="0" w:space="0" w:color="auto"/>
        <w:right w:val="none" w:sz="0" w:space="0" w:color="auto"/>
      </w:divBdr>
    </w:div>
    <w:div w:id="343553287">
      <w:bodyDiv w:val="1"/>
      <w:marLeft w:val="0"/>
      <w:marRight w:val="0"/>
      <w:marTop w:val="0"/>
      <w:marBottom w:val="0"/>
      <w:divBdr>
        <w:top w:val="none" w:sz="0" w:space="0" w:color="auto"/>
        <w:left w:val="none" w:sz="0" w:space="0" w:color="auto"/>
        <w:bottom w:val="none" w:sz="0" w:space="0" w:color="auto"/>
        <w:right w:val="none" w:sz="0" w:space="0" w:color="auto"/>
      </w:divBdr>
    </w:div>
    <w:div w:id="346911627">
      <w:bodyDiv w:val="1"/>
      <w:marLeft w:val="0"/>
      <w:marRight w:val="0"/>
      <w:marTop w:val="0"/>
      <w:marBottom w:val="0"/>
      <w:divBdr>
        <w:top w:val="none" w:sz="0" w:space="0" w:color="auto"/>
        <w:left w:val="none" w:sz="0" w:space="0" w:color="auto"/>
        <w:bottom w:val="none" w:sz="0" w:space="0" w:color="auto"/>
        <w:right w:val="none" w:sz="0" w:space="0" w:color="auto"/>
      </w:divBdr>
    </w:div>
    <w:div w:id="350570577">
      <w:bodyDiv w:val="1"/>
      <w:marLeft w:val="0"/>
      <w:marRight w:val="0"/>
      <w:marTop w:val="0"/>
      <w:marBottom w:val="0"/>
      <w:divBdr>
        <w:top w:val="none" w:sz="0" w:space="0" w:color="auto"/>
        <w:left w:val="none" w:sz="0" w:space="0" w:color="auto"/>
        <w:bottom w:val="none" w:sz="0" w:space="0" w:color="auto"/>
        <w:right w:val="none" w:sz="0" w:space="0" w:color="auto"/>
      </w:divBdr>
    </w:div>
    <w:div w:id="353658689">
      <w:bodyDiv w:val="1"/>
      <w:marLeft w:val="0"/>
      <w:marRight w:val="0"/>
      <w:marTop w:val="0"/>
      <w:marBottom w:val="0"/>
      <w:divBdr>
        <w:top w:val="none" w:sz="0" w:space="0" w:color="auto"/>
        <w:left w:val="none" w:sz="0" w:space="0" w:color="auto"/>
        <w:bottom w:val="none" w:sz="0" w:space="0" w:color="auto"/>
        <w:right w:val="none" w:sz="0" w:space="0" w:color="auto"/>
      </w:divBdr>
    </w:div>
    <w:div w:id="355010943">
      <w:bodyDiv w:val="1"/>
      <w:marLeft w:val="0"/>
      <w:marRight w:val="0"/>
      <w:marTop w:val="0"/>
      <w:marBottom w:val="0"/>
      <w:divBdr>
        <w:top w:val="none" w:sz="0" w:space="0" w:color="auto"/>
        <w:left w:val="none" w:sz="0" w:space="0" w:color="auto"/>
        <w:bottom w:val="none" w:sz="0" w:space="0" w:color="auto"/>
        <w:right w:val="none" w:sz="0" w:space="0" w:color="auto"/>
      </w:divBdr>
    </w:div>
    <w:div w:id="362754837">
      <w:bodyDiv w:val="1"/>
      <w:marLeft w:val="0"/>
      <w:marRight w:val="0"/>
      <w:marTop w:val="0"/>
      <w:marBottom w:val="0"/>
      <w:divBdr>
        <w:top w:val="none" w:sz="0" w:space="0" w:color="auto"/>
        <w:left w:val="none" w:sz="0" w:space="0" w:color="auto"/>
        <w:bottom w:val="none" w:sz="0" w:space="0" w:color="auto"/>
        <w:right w:val="none" w:sz="0" w:space="0" w:color="auto"/>
      </w:divBdr>
    </w:div>
    <w:div w:id="371656663">
      <w:bodyDiv w:val="1"/>
      <w:marLeft w:val="0"/>
      <w:marRight w:val="0"/>
      <w:marTop w:val="0"/>
      <w:marBottom w:val="0"/>
      <w:divBdr>
        <w:top w:val="none" w:sz="0" w:space="0" w:color="auto"/>
        <w:left w:val="none" w:sz="0" w:space="0" w:color="auto"/>
        <w:bottom w:val="none" w:sz="0" w:space="0" w:color="auto"/>
        <w:right w:val="none" w:sz="0" w:space="0" w:color="auto"/>
      </w:divBdr>
    </w:div>
    <w:div w:id="380137439">
      <w:bodyDiv w:val="1"/>
      <w:marLeft w:val="0"/>
      <w:marRight w:val="0"/>
      <w:marTop w:val="0"/>
      <w:marBottom w:val="0"/>
      <w:divBdr>
        <w:top w:val="none" w:sz="0" w:space="0" w:color="auto"/>
        <w:left w:val="none" w:sz="0" w:space="0" w:color="auto"/>
        <w:bottom w:val="none" w:sz="0" w:space="0" w:color="auto"/>
        <w:right w:val="none" w:sz="0" w:space="0" w:color="auto"/>
      </w:divBdr>
    </w:div>
    <w:div w:id="380980614">
      <w:bodyDiv w:val="1"/>
      <w:marLeft w:val="0"/>
      <w:marRight w:val="0"/>
      <w:marTop w:val="0"/>
      <w:marBottom w:val="0"/>
      <w:divBdr>
        <w:top w:val="none" w:sz="0" w:space="0" w:color="auto"/>
        <w:left w:val="none" w:sz="0" w:space="0" w:color="auto"/>
        <w:bottom w:val="none" w:sz="0" w:space="0" w:color="auto"/>
        <w:right w:val="none" w:sz="0" w:space="0" w:color="auto"/>
      </w:divBdr>
    </w:div>
    <w:div w:id="386153339">
      <w:bodyDiv w:val="1"/>
      <w:marLeft w:val="0"/>
      <w:marRight w:val="0"/>
      <w:marTop w:val="0"/>
      <w:marBottom w:val="0"/>
      <w:divBdr>
        <w:top w:val="none" w:sz="0" w:space="0" w:color="auto"/>
        <w:left w:val="none" w:sz="0" w:space="0" w:color="auto"/>
        <w:bottom w:val="none" w:sz="0" w:space="0" w:color="auto"/>
        <w:right w:val="none" w:sz="0" w:space="0" w:color="auto"/>
      </w:divBdr>
    </w:div>
    <w:div w:id="390007121">
      <w:bodyDiv w:val="1"/>
      <w:marLeft w:val="0"/>
      <w:marRight w:val="0"/>
      <w:marTop w:val="0"/>
      <w:marBottom w:val="0"/>
      <w:divBdr>
        <w:top w:val="none" w:sz="0" w:space="0" w:color="auto"/>
        <w:left w:val="none" w:sz="0" w:space="0" w:color="auto"/>
        <w:bottom w:val="none" w:sz="0" w:space="0" w:color="auto"/>
        <w:right w:val="none" w:sz="0" w:space="0" w:color="auto"/>
      </w:divBdr>
    </w:div>
    <w:div w:id="390423834">
      <w:bodyDiv w:val="1"/>
      <w:marLeft w:val="0"/>
      <w:marRight w:val="0"/>
      <w:marTop w:val="0"/>
      <w:marBottom w:val="0"/>
      <w:divBdr>
        <w:top w:val="none" w:sz="0" w:space="0" w:color="auto"/>
        <w:left w:val="none" w:sz="0" w:space="0" w:color="auto"/>
        <w:bottom w:val="none" w:sz="0" w:space="0" w:color="auto"/>
        <w:right w:val="none" w:sz="0" w:space="0" w:color="auto"/>
      </w:divBdr>
    </w:div>
    <w:div w:id="392973011">
      <w:bodyDiv w:val="1"/>
      <w:marLeft w:val="0"/>
      <w:marRight w:val="0"/>
      <w:marTop w:val="0"/>
      <w:marBottom w:val="0"/>
      <w:divBdr>
        <w:top w:val="none" w:sz="0" w:space="0" w:color="auto"/>
        <w:left w:val="none" w:sz="0" w:space="0" w:color="auto"/>
        <w:bottom w:val="none" w:sz="0" w:space="0" w:color="auto"/>
        <w:right w:val="none" w:sz="0" w:space="0" w:color="auto"/>
      </w:divBdr>
    </w:div>
    <w:div w:id="412631276">
      <w:bodyDiv w:val="1"/>
      <w:marLeft w:val="0"/>
      <w:marRight w:val="0"/>
      <w:marTop w:val="0"/>
      <w:marBottom w:val="0"/>
      <w:divBdr>
        <w:top w:val="none" w:sz="0" w:space="0" w:color="auto"/>
        <w:left w:val="none" w:sz="0" w:space="0" w:color="auto"/>
        <w:bottom w:val="none" w:sz="0" w:space="0" w:color="auto"/>
        <w:right w:val="none" w:sz="0" w:space="0" w:color="auto"/>
      </w:divBdr>
    </w:div>
    <w:div w:id="413018483">
      <w:bodyDiv w:val="1"/>
      <w:marLeft w:val="0"/>
      <w:marRight w:val="0"/>
      <w:marTop w:val="0"/>
      <w:marBottom w:val="0"/>
      <w:divBdr>
        <w:top w:val="none" w:sz="0" w:space="0" w:color="auto"/>
        <w:left w:val="none" w:sz="0" w:space="0" w:color="auto"/>
        <w:bottom w:val="none" w:sz="0" w:space="0" w:color="auto"/>
        <w:right w:val="none" w:sz="0" w:space="0" w:color="auto"/>
      </w:divBdr>
    </w:div>
    <w:div w:id="416443974">
      <w:bodyDiv w:val="1"/>
      <w:marLeft w:val="0"/>
      <w:marRight w:val="0"/>
      <w:marTop w:val="0"/>
      <w:marBottom w:val="0"/>
      <w:divBdr>
        <w:top w:val="none" w:sz="0" w:space="0" w:color="auto"/>
        <w:left w:val="none" w:sz="0" w:space="0" w:color="auto"/>
        <w:bottom w:val="none" w:sz="0" w:space="0" w:color="auto"/>
        <w:right w:val="none" w:sz="0" w:space="0" w:color="auto"/>
      </w:divBdr>
    </w:div>
    <w:div w:id="422452818">
      <w:bodyDiv w:val="1"/>
      <w:marLeft w:val="0"/>
      <w:marRight w:val="0"/>
      <w:marTop w:val="0"/>
      <w:marBottom w:val="0"/>
      <w:divBdr>
        <w:top w:val="none" w:sz="0" w:space="0" w:color="auto"/>
        <w:left w:val="none" w:sz="0" w:space="0" w:color="auto"/>
        <w:bottom w:val="none" w:sz="0" w:space="0" w:color="auto"/>
        <w:right w:val="none" w:sz="0" w:space="0" w:color="auto"/>
      </w:divBdr>
    </w:div>
    <w:div w:id="423574076">
      <w:bodyDiv w:val="1"/>
      <w:marLeft w:val="0"/>
      <w:marRight w:val="0"/>
      <w:marTop w:val="0"/>
      <w:marBottom w:val="0"/>
      <w:divBdr>
        <w:top w:val="none" w:sz="0" w:space="0" w:color="auto"/>
        <w:left w:val="none" w:sz="0" w:space="0" w:color="auto"/>
        <w:bottom w:val="none" w:sz="0" w:space="0" w:color="auto"/>
        <w:right w:val="none" w:sz="0" w:space="0" w:color="auto"/>
      </w:divBdr>
    </w:div>
    <w:div w:id="424810140">
      <w:bodyDiv w:val="1"/>
      <w:marLeft w:val="0"/>
      <w:marRight w:val="0"/>
      <w:marTop w:val="0"/>
      <w:marBottom w:val="0"/>
      <w:divBdr>
        <w:top w:val="none" w:sz="0" w:space="0" w:color="auto"/>
        <w:left w:val="none" w:sz="0" w:space="0" w:color="auto"/>
        <w:bottom w:val="none" w:sz="0" w:space="0" w:color="auto"/>
        <w:right w:val="none" w:sz="0" w:space="0" w:color="auto"/>
      </w:divBdr>
    </w:div>
    <w:div w:id="427385651">
      <w:bodyDiv w:val="1"/>
      <w:marLeft w:val="0"/>
      <w:marRight w:val="0"/>
      <w:marTop w:val="0"/>
      <w:marBottom w:val="0"/>
      <w:divBdr>
        <w:top w:val="none" w:sz="0" w:space="0" w:color="auto"/>
        <w:left w:val="none" w:sz="0" w:space="0" w:color="auto"/>
        <w:bottom w:val="none" w:sz="0" w:space="0" w:color="auto"/>
        <w:right w:val="none" w:sz="0" w:space="0" w:color="auto"/>
      </w:divBdr>
    </w:div>
    <w:div w:id="429160025">
      <w:bodyDiv w:val="1"/>
      <w:marLeft w:val="0"/>
      <w:marRight w:val="0"/>
      <w:marTop w:val="0"/>
      <w:marBottom w:val="0"/>
      <w:divBdr>
        <w:top w:val="none" w:sz="0" w:space="0" w:color="auto"/>
        <w:left w:val="none" w:sz="0" w:space="0" w:color="auto"/>
        <w:bottom w:val="none" w:sz="0" w:space="0" w:color="auto"/>
        <w:right w:val="none" w:sz="0" w:space="0" w:color="auto"/>
      </w:divBdr>
    </w:div>
    <w:div w:id="439380108">
      <w:bodyDiv w:val="1"/>
      <w:marLeft w:val="0"/>
      <w:marRight w:val="0"/>
      <w:marTop w:val="0"/>
      <w:marBottom w:val="0"/>
      <w:divBdr>
        <w:top w:val="none" w:sz="0" w:space="0" w:color="auto"/>
        <w:left w:val="none" w:sz="0" w:space="0" w:color="auto"/>
        <w:bottom w:val="none" w:sz="0" w:space="0" w:color="auto"/>
        <w:right w:val="none" w:sz="0" w:space="0" w:color="auto"/>
      </w:divBdr>
    </w:div>
    <w:div w:id="440757664">
      <w:bodyDiv w:val="1"/>
      <w:marLeft w:val="0"/>
      <w:marRight w:val="0"/>
      <w:marTop w:val="0"/>
      <w:marBottom w:val="0"/>
      <w:divBdr>
        <w:top w:val="none" w:sz="0" w:space="0" w:color="auto"/>
        <w:left w:val="none" w:sz="0" w:space="0" w:color="auto"/>
        <w:bottom w:val="none" w:sz="0" w:space="0" w:color="auto"/>
        <w:right w:val="none" w:sz="0" w:space="0" w:color="auto"/>
      </w:divBdr>
    </w:div>
    <w:div w:id="443306393">
      <w:bodyDiv w:val="1"/>
      <w:marLeft w:val="0"/>
      <w:marRight w:val="0"/>
      <w:marTop w:val="0"/>
      <w:marBottom w:val="0"/>
      <w:divBdr>
        <w:top w:val="none" w:sz="0" w:space="0" w:color="auto"/>
        <w:left w:val="none" w:sz="0" w:space="0" w:color="auto"/>
        <w:bottom w:val="none" w:sz="0" w:space="0" w:color="auto"/>
        <w:right w:val="none" w:sz="0" w:space="0" w:color="auto"/>
      </w:divBdr>
    </w:div>
    <w:div w:id="443690982">
      <w:bodyDiv w:val="1"/>
      <w:marLeft w:val="0"/>
      <w:marRight w:val="0"/>
      <w:marTop w:val="0"/>
      <w:marBottom w:val="0"/>
      <w:divBdr>
        <w:top w:val="none" w:sz="0" w:space="0" w:color="auto"/>
        <w:left w:val="none" w:sz="0" w:space="0" w:color="auto"/>
        <w:bottom w:val="none" w:sz="0" w:space="0" w:color="auto"/>
        <w:right w:val="none" w:sz="0" w:space="0" w:color="auto"/>
      </w:divBdr>
    </w:div>
    <w:div w:id="447820612">
      <w:bodyDiv w:val="1"/>
      <w:marLeft w:val="0"/>
      <w:marRight w:val="0"/>
      <w:marTop w:val="0"/>
      <w:marBottom w:val="0"/>
      <w:divBdr>
        <w:top w:val="none" w:sz="0" w:space="0" w:color="auto"/>
        <w:left w:val="none" w:sz="0" w:space="0" w:color="auto"/>
        <w:bottom w:val="none" w:sz="0" w:space="0" w:color="auto"/>
        <w:right w:val="none" w:sz="0" w:space="0" w:color="auto"/>
      </w:divBdr>
    </w:div>
    <w:div w:id="452017076">
      <w:bodyDiv w:val="1"/>
      <w:marLeft w:val="0"/>
      <w:marRight w:val="0"/>
      <w:marTop w:val="0"/>
      <w:marBottom w:val="0"/>
      <w:divBdr>
        <w:top w:val="none" w:sz="0" w:space="0" w:color="auto"/>
        <w:left w:val="none" w:sz="0" w:space="0" w:color="auto"/>
        <w:bottom w:val="none" w:sz="0" w:space="0" w:color="auto"/>
        <w:right w:val="none" w:sz="0" w:space="0" w:color="auto"/>
      </w:divBdr>
    </w:div>
    <w:div w:id="453060511">
      <w:bodyDiv w:val="1"/>
      <w:marLeft w:val="0"/>
      <w:marRight w:val="0"/>
      <w:marTop w:val="0"/>
      <w:marBottom w:val="0"/>
      <w:divBdr>
        <w:top w:val="none" w:sz="0" w:space="0" w:color="auto"/>
        <w:left w:val="none" w:sz="0" w:space="0" w:color="auto"/>
        <w:bottom w:val="none" w:sz="0" w:space="0" w:color="auto"/>
        <w:right w:val="none" w:sz="0" w:space="0" w:color="auto"/>
      </w:divBdr>
    </w:div>
    <w:div w:id="458183703">
      <w:bodyDiv w:val="1"/>
      <w:marLeft w:val="0"/>
      <w:marRight w:val="0"/>
      <w:marTop w:val="0"/>
      <w:marBottom w:val="0"/>
      <w:divBdr>
        <w:top w:val="none" w:sz="0" w:space="0" w:color="auto"/>
        <w:left w:val="none" w:sz="0" w:space="0" w:color="auto"/>
        <w:bottom w:val="none" w:sz="0" w:space="0" w:color="auto"/>
        <w:right w:val="none" w:sz="0" w:space="0" w:color="auto"/>
      </w:divBdr>
    </w:div>
    <w:div w:id="466512242">
      <w:bodyDiv w:val="1"/>
      <w:marLeft w:val="0"/>
      <w:marRight w:val="0"/>
      <w:marTop w:val="0"/>
      <w:marBottom w:val="0"/>
      <w:divBdr>
        <w:top w:val="none" w:sz="0" w:space="0" w:color="auto"/>
        <w:left w:val="none" w:sz="0" w:space="0" w:color="auto"/>
        <w:bottom w:val="none" w:sz="0" w:space="0" w:color="auto"/>
        <w:right w:val="none" w:sz="0" w:space="0" w:color="auto"/>
      </w:divBdr>
    </w:div>
    <w:div w:id="469252349">
      <w:bodyDiv w:val="1"/>
      <w:marLeft w:val="0"/>
      <w:marRight w:val="0"/>
      <w:marTop w:val="0"/>
      <w:marBottom w:val="0"/>
      <w:divBdr>
        <w:top w:val="none" w:sz="0" w:space="0" w:color="auto"/>
        <w:left w:val="none" w:sz="0" w:space="0" w:color="auto"/>
        <w:bottom w:val="none" w:sz="0" w:space="0" w:color="auto"/>
        <w:right w:val="none" w:sz="0" w:space="0" w:color="auto"/>
      </w:divBdr>
    </w:div>
    <w:div w:id="470054511">
      <w:bodyDiv w:val="1"/>
      <w:marLeft w:val="0"/>
      <w:marRight w:val="0"/>
      <w:marTop w:val="0"/>
      <w:marBottom w:val="0"/>
      <w:divBdr>
        <w:top w:val="none" w:sz="0" w:space="0" w:color="auto"/>
        <w:left w:val="none" w:sz="0" w:space="0" w:color="auto"/>
        <w:bottom w:val="none" w:sz="0" w:space="0" w:color="auto"/>
        <w:right w:val="none" w:sz="0" w:space="0" w:color="auto"/>
      </w:divBdr>
    </w:div>
    <w:div w:id="475876116">
      <w:bodyDiv w:val="1"/>
      <w:marLeft w:val="0"/>
      <w:marRight w:val="0"/>
      <w:marTop w:val="0"/>
      <w:marBottom w:val="0"/>
      <w:divBdr>
        <w:top w:val="none" w:sz="0" w:space="0" w:color="auto"/>
        <w:left w:val="none" w:sz="0" w:space="0" w:color="auto"/>
        <w:bottom w:val="none" w:sz="0" w:space="0" w:color="auto"/>
        <w:right w:val="none" w:sz="0" w:space="0" w:color="auto"/>
      </w:divBdr>
    </w:div>
    <w:div w:id="477694395">
      <w:bodyDiv w:val="1"/>
      <w:marLeft w:val="0"/>
      <w:marRight w:val="0"/>
      <w:marTop w:val="0"/>
      <w:marBottom w:val="0"/>
      <w:divBdr>
        <w:top w:val="none" w:sz="0" w:space="0" w:color="auto"/>
        <w:left w:val="none" w:sz="0" w:space="0" w:color="auto"/>
        <w:bottom w:val="none" w:sz="0" w:space="0" w:color="auto"/>
        <w:right w:val="none" w:sz="0" w:space="0" w:color="auto"/>
      </w:divBdr>
    </w:div>
    <w:div w:id="482628573">
      <w:bodyDiv w:val="1"/>
      <w:marLeft w:val="0"/>
      <w:marRight w:val="0"/>
      <w:marTop w:val="0"/>
      <w:marBottom w:val="0"/>
      <w:divBdr>
        <w:top w:val="none" w:sz="0" w:space="0" w:color="auto"/>
        <w:left w:val="none" w:sz="0" w:space="0" w:color="auto"/>
        <w:bottom w:val="none" w:sz="0" w:space="0" w:color="auto"/>
        <w:right w:val="none" w:sz="0" w:space="0" w:color="auto"/>
      </w:divBdr>
    </w:div>
    <w:div w:id="484014216">
      <w:bodyDiv w:val="1"/>
      <w:marLeft w:val="0"/>
      <w:marRight w:val="0"/>
      <w:marTop w:val="0"/>
      <w:marBottom w:val="0"/>
      <w:divBdr>
        <w:top w:val="none" w:sz="0" w:space="0" w:color="auto"/>
        <w:left w:val="none" w:sz="0" w:space="0" w:color="auto"/>
        <w:bottom w:val="none" w:sz="0" w:space="0" w:color="auto"/>
        <w:right w:val="none" w:sz="0" w:space="0" w:color="auto"/>
      </w:divBdr>
    </w:div>
    <w:div w:id="485825423">
      <w:bodyDiv w:val="1"/>
      <w:marLeft w:val="0"/>
      <w:marRight w:val="0"/>
      <w:marTop w:val="0"/>
      <w:marBottom w:val="0"/>
      <w:divBdr>
        <w:top w:val="none" w:sz="0" w:space="0" w:color="auto"/>
        <w:left w:val="none" w:sz="0" w:space="0" w:color="auto"/>
        <w:bottom w:val="none" w:sz="0" w:space="0" w:color="auto"/>
        <w:right w:val="none" w:sz="0" w:space="0" w:color="auto"/>
      </w:divBdr>
    </w:div>
    <w:div w:id="501436066">
      <w:bodyDiv w:val="1"/>
      <w:marLeft w:val="0"/>
      <w:marRight w:val="0"/>
      <w:marTop w:val="0"/>
      <w:marBottom w:val="0"/>
      <w:divBdr>
        <w:top w:val="none" w:sz="0" w:space="0" w:color="auto"/>
        <w:left w:val="none" w:sz="0" w:space="0" w:color="auto"/>
        <w:bottom w:val="none" w:sz="0" w:space="0" w:color="auto"/>
        <w:right w:val="none" w:sz="0" w:space="0" w:color="auto"/>
      </w:divBdr>
    </w:div>
    <w:div w:id="503320698">
      <w:bodyDiv w:val="1"/>
      <w:marLeft w:val="0"/>
      <w:marRight w:val="0"/>
      <w:marTop w:val="0"/>
      <w:marBottom w:val="0"/>
      <w:divBdr>
        <w:top w:val="none" w:sz="0" w:space="0" w:color="auto"/>
        <w:left w:val="none" w:sz="0" w:space="0" w:color="auto"/>
        <w:bottom w:val="none" w:sz="0" w:space="0" w:color="auto"/>
        <w:right w:val="none" w:sz="0" w:space="0" w:color="auto"/>
      </w:divBdr>
    </w:div>
    <w:div w:id="510923043">
      <w:bodyDiv w:val="1"/>
      <w:marLeft w:val="0"/>
      <w:marRight w:val="0"/>
      <w:marTop w:val="0"/>
      <w:marBottom w:val="0"/>
      <w:divBdr>
        <w:top w:val="none" w:sz="0" w:space="0" w:color="auto"/>
        <w:left w:val="none" w:sz="0" w:space="0" w:color="auto"/>
        <w:bottom w:val="none" w:sz="0" w:space="0" w:color="auto"/>
        <w:right w:val="none" w:sz="0" w:space="0" w:color="auto"/>
      </w:divBdr>
    </w:div>
    <w:div w:id="517043339">
      <w:bodyDiv w:val="1"/>
      <w:marLeft w:val="0"/>
      <w:marRight w:val="0"/>
      <w:marTop w:val="0"/>
      <w:marBottom w:val="0"/>
      <w:divBdr>
        <w:top w:val="none" w:sz="0" w:space="0" w:color="auto"/>
        <w:left w:val="none" w:sz="0" w:space="0" w:color="auto"/>
        <w:bottom w:val="none" w:sz="0" w:space="0" w:color="auto"/>
        <w:right w:val="none" w:sz="0" w:space="0" w:color="auto"/>
      </w:divBdr>
    </w:div>
    <w:div w:id="517282208">
      <w:bodyDiv w:val="1"/>
      <w:marLeft w:val="0"/>
      <w:marRight w:val="0"/>
      <w:marTop w:val="0"/>
      <w:marBottom w:val="0"/>
      <w:divBdr>
        <w:top w:val="none" w:sz="0" w:space="0" w:color="auto"/>
        <w:left w:val="none" w:sz="0" w:space="0" w:color="auto"/>
        <w:bottom w:val="none" w:sz="0" w:space="0" w:color="auto"/>
        <w:right w:val="none" w:sz="0" w:space="0" w:color="auto"/>
      </w:divBdr>
    </w:div>
    <w:div w:id="523861807">
      <w:bodyDiv w:val="1"/>
      <w:marLeft w:val="0"/>
      <w:marRight w:val="0"/>
      <w:marTop w:val="0"/>
      <w:marBottom w:val="0"/>
      <w:divBdr>
        <w:top w:val="none" w:sz="0" w:space="0" w:color="auto"/>
        <w:left w:val="none" w:sz="0" w:space="0" w:color="auto"/>
        <w:bottom w:val="none" w:sz="0" w:space="0" w:color="auto"/>
        <w:right w:val="none" w:sz="0" w:space="0" w:color="auto"/>
      </w:divBdr>
    </w:div>
    <w:div w:id="525290164">
      <w:bodyDiv w:val="1"/>
      <w:marLeft w:val="0"/>
      <w:marRight w:val="0"/>
      <w:marTop w:val="0"/>
      <w:marBottom w:val="0"/>
      <w:divBdr>
        <w:top w:val="none" w:sz="0" w:space="0" w:color="auto"/>
        <w:left w:val="none" w:sz="0" w:space="0" w:color="auto"/>
        <w:bottom w:val="none" w:sz="0" w:space="0" w:color="auto"/>
        <w:right w:val="none" w:sz="0" w:space="0" w:color="auto"/>
      </w:divBdr>
    </w:div>
    <w:div w:id="525825872">
      <w:bodyDiv w:val="1"/>
      <w:marLeft w:val="0"/>
      <w:marRight w:val="0"/>
      <w:marTop w:val="0"/>
      <w:marBottom w:val="0"/>
      <w:divBdr>
        <w:top w:val="none" w:sz="0" w:space="0" w:color="auto"/>
        <w:left w:val="none" w:sz="0" w:space="0" w:color="auto"/>
        <w:bottom w:val="none" w:sz="0" w:space="0" w:color="auto"/>
        <w:right w:val="none" w:sz="0" w:space="0" w:color="auto"/>
      </w:divBdr>
    </w:div>
    <w:div w:id="532575664">
      <w:bodyDiv w:val="1"/>
      <w:marLeft w:val="0"/>
      <w:marRight w:val="0"/>
      <w:marTop w:val="0"/>
      <w:marBottom w:val="0"/>
      <w:divBdr>
        <w:top w:val="none" w:sz="0" w:space="0" w:color="auto"/>
        <w:left w:val="none" w:sz="0" w:space="0" w:color="auto"/>
        <w:bottom w:val="none" w:sz="0" w:space="0" w:color="auto"/>
        <w:right w:val="none" w:sz="0" w:space="0" w:color="auto"/>
      </w:divBdr>
    </w:div>
    <w:div w:id="534847922">
      <w:bodyDiv w:val="1"/>
      <w:marLeft w:val="0"/>
      <w:marRight w:val="0"/>
      <w:marTop w:val="0"/>
      <w:marBottom w:val="0"/>
      <w:divBdr>
        <w:top w:val="none" w:sz="0" w:space="0" w:color="auto"/>
        <w:left w:val="none" w:sz="0" w:space="0" w:color="auto"/>
        <w:bottom w:val="none" w:sz="0" w:space="0" w:color="auto"/>
        <w:right w:val="none" w:sz="0" w:space="0" w:color="auto"/>
      </w:divBdr>
    </w:div>
    <w:div w:id="540096366">
      <w:bodyDiv w:val="1"/>
      <w:marLeft w:val="0"/>
      <w:marRight w:val="0"/>
      <w:marTop w:val="0"/>
      <w:marBottom w:val="0"/>
      <w:divBdr>
        <w:top w:val="none" w:sz="0" w:space="0" w:color="auto"/>
        <w:left w:val="none" w:sz="0" w:space="0" w:color="auto"/>
        <w:bottom w:val="none" w:sz="0" w:space="0" w:color="auto"/>
        <w:right w:val="none" w:sz="0" w:space="0" w:color="auto"/>
      </w:divBdr>
    </w:div>
    <w:div w:id="542912957">
      <w:bodyDiv w:val="1"/>
      <w:marLeft w:val="0"/>
      <w:marRight w:val="0"/>
      <w:marTop w:val="0"/>
      <w:marBottom w:val="0"/>
      <w:divBdr>
        <w:top w:val="none" w:sz="0" w:space="0" w:color="auto"/>
        <w:left w:val="none" w:sz="0" w:space="0" w:color="auto"/>
        <w:bottom w:val="none" w:sz="0" w:space="0" w:color="auto"/>
        <w:right w:val="none" w:sz="0" w:space="0" w:color="auto"/>
      </w:divBdr>
    </w:div>
    <w:div w:id="550388983">
      <w:bodyDiv w:val="1"/>
      <w:marLeft w:val="0"/>
      <w:marRight w:val="0"/>
      <w:marTop w:val="0"/>
      <w:marBottom w:val="0"/>
      <w:divBdr>
        <w:top w:val="none" w:sz="0" w:space="0" w:color="auto"/>
        <w:left w:val="none" w:sz="0" w:space="0" w:color="auto"/>
        <w:bottom w:val="none" w:sz="0" w:space="0" w:color="auto"/>
        <w:right w:val="none" w:sz="0" w:space="0" w:color="auto"/>
      </w:divBdr>
    </w:div>
    <w:div w:id="555430793">
      <w:bodyDiv w:val="1"/>
      <w:marLeft w:val="0"/>
      <w:marRight w:val="0"/>
      <w:marTop w:val="0"/>
      <w:marBottom w:val="0"/>
      <w:divBdr>
        <w:top w:val="none" w:sz="0" w:space="0" w:color="auto"/>
        <w:left w:val="none" w:sz="0" w:space="0" w:color="auto"/>
        <w:bottom w:val="none" w:sz="0" w:space="0" w:color="auto"/>
        <w:right w:val="none" w:sz="0" w:space="0" w:color="auto"/>
      </w:divBdr>
    </w:div>
    <w:div w:id="556671627">
      <w:bodyDiv w:val="1"/>
      <w:marLeft w:val="0"/>
      <w:marRight w:val="0"/>
      <w:marTop w:val="0"/>
      <w:marBottom w:val="0"/>
      <w:divBdr>
        <w:top w:val="none" w:sz="0" w:space="0" w:color="auto"/>
        <w:left w:val="none" w:sz="0" w:space="0" w:color="auto"/>
        <w:bottom w:val="none" w:sz="0" w:space="0" w:color="auto"/>
        <w:right w:val="none" w:sz="0" w:space="0" w:color="auto"/>
      </w:divBdr>
    </w:div>
    <w:div w:id="556938560">
      <w:bodyDiv w:val="1"/>
      <w:marLeft w:val="0"/>
      <w:marRight w:val="0"/>
      <w:marTop w:val="0"/>
      <w:marBottom w:val="0"/>
      <w:divBdr>
        <w:top w:val="none" w:sz="0" w:space="0" w:color="auto"/>
        <w:left w:val="none" w:sz="0" w:space="0" w:color="auto"/>
        <w:bottom w:val="none" w:sz="0" w:space="0" w:color="auto"/>
        <w:right w:val="none" w:sz="0" w:space="0" w:color="auto"/>
      </w:divBdr>
    </w:div>
    <w:div w:id="559705471">
      <w:bodyDiv w:val="1"/>
      <w:marLeft w:val="0"/>
      <w:marRight w:val="0"/>
      <w:marTop w:val="0"/>
      <w:marBottom w:val="0"/>
      <w:divBdr>
        <w:top w:val="none" w:sz="0" w:space="0" w:color="auto"/>
        <w:left w:val="none" w:sz="0" w:space="0" w:color="auto"/>
        <w:bottom w:val="none" w:sz="0" w:space="0" w:color="auto"/>
        <w:right w:val="none" w:sz="0" w:space="0" w:color="auto"/>
      </w:divBdr>
    </w:div>
    <w:div w:id="561908633">
      <w:bodyDiv w:val="1"/>
      <w:marLeft w:val="0"/>
      <w:marRight w:val="0"/>
      <w:marTop w:val="0"/>
      <w:marBottom w:val="0"/>
      <w:divBdr>
        <w:top w:val="none" w:sz="0" w:space="0" w:color="auto"/>
        <w:left w:val="none" w:sz="0" w:space="0" w:color="auto"/>
        <w:bottom w:val="none" w:sz="0" w:space="0" w:color="auto"/>
        <w:right w:val="none" w:sz="0" w:space="0" w:color="auto"/>
      </w:divBdr>
    </w:div>
    <w:div w:id="562251538">
      <w:bodyDiv w:val="1"/>
      <w:marLeft w:val="0"/>
      <w:marRight w:val="0"/>
      <w:marTop w:val="0"/>
      <w:marBottom w:val="0"/>
      <w:divBdr>
        <w:top w:val="none" w:sz="0" w:space="0" w:color="auto"/>
        <w:left w:val="none" w:sz="0" w:space="0" w:color="auto"/>
        <w:bottom w:val="none" w:sz="0" w:space="0" w:color="auto"/>
        <w:right w:val="none" w:sz="0" w:space="0" w:color="auto"/>
      </w:divBdr>
    </w:div>
    <w:div w:id="563954795">
      <w:bodyDiv w:val="1"/>
      <w:marLeft w:val="0"/>
      <w:marRight w:val="0"/>
      <w:marTop w:val="0"/>
      <w:marBottom w:val="0"/>
      <w:divBdr>
        <w:top w:val="none" w:sz="0" w:space="0" w:color="auto"/>
        <w:left w:val="none" w:sz="0" w:space="0" w:color="auto"/>
        <w:bottom w:val="none" w:sz="0" w:space="0" w:color="auto"/>
        <w:right w:val="none" w:sz="0" w:space="0" w:color="auto"/>
      </w:divBdr>
    </w:div>
    <w:div w:id="566383010">
      <w:bodyDiv w:val="1"/>
      <w:marLeft w:val="0"/>
      <w:marRight w:val="0"/>
      <w:marTop w:val="0"/>
      <w:marBottom w:val="0"/>
      <w:divBdr>
        <w:top w:val="none" w:sz="0" w:space="0" w:color="auto"/>
        <w:left w:val="none" w:sz="0" w:space="0" w:color="auto"/>
        <w:bottom w:val="none" w:sz="0" w:space="0" w:color="auto"/>
        <w:right w:val="none" w:sz="0" w:space="0" w:color="auto"/>
      </w:divBdr>
    </w:div>
    <w:div w:id="567228755">
      <w:bodyDiv w:val="1"/>
      <w:marLeft w:val="0"/>
      <w:marRight w:val="0"/>
      <w:marTop w:val="0"/>
      <w:marBottom w:val="0"/>
      <w:divBdr>
        <w:top w:val="none" w:sz="0" w:space="0" w:color="auto"/>
        <w:left w:val="none" w:sz="0" w:space="0" w:color="auto"/>
        <w:bottom w:val="none" w:sz="0" w:space="0" w:color="auto"/>
        <w:right w:val="none" w:sz="0" w:space="0" w:color="auto"/>
      </w:divBdr>
    </w:div>
    <w:div w:id="567688549">
      <w:bodyDiv w:val="1"/>
      <w:marLeft w:val="0"/>
      <w:marRight w:val="0"/>
      <w:marTop w:val="0"/>
      <w:marBottom w:val="0"/>
      <w:divBdr>
        <w:top w:val="none" w:sz="0" w:space="0" w:color="auto"/>
        <w:left w:val="none" w:sz="0" w:space="0" w:color="auto"/>
        <w:bottom w:val="none" w:sz="0" w:space="0" w:color="auto"/>
        <w:right w:val="none" w:sz="0" w:space="0" w:color="auto"/>
      </w:divBdr>
    </w:div>
    <w:div w:id="570388899">
      <w:bodyDiv w:val="1"/>
      <w:marLeft w:val="0"/>
      <w:marRight w:val="0"/>
      <w:marTop w:val="0"/>
      <w:marBottom w:val="0"/>
      <w:divBdr>
        <w:top w:val="none" w:sz="0" w:space="0" w:color="auto"/>
        <w:left w:val="none" w:sz="0" w:space="0" w:color="auto"/>
        <w:bottom w:val="none" w:sz="0" w:space="0" w:color="auto"/>
        <w:right w:val="none" w:sz="0" w:space="0" w:color="auto"/>
      </w:divBdr>
    </w:div>
    <w:div w:id="577592433">
      <w:bodyDiv w:val="1"/>
      <w:marLeft w:val="0"/>
      <w:marRight w:val="0"/>
      <w:marTop w:val="0"/>
      <w:marBottom w:val="0"/>
      <w:divBdr>
        <w:top w:val="none" w:sz="0" w:space="0" w:color="auto"/>
        <w:left w:val="none" w:sz="0" w:space="0" w:color="auto"/>
        <w:bottom w:val="none" w:sz="0" w:space="0" w:color="auto"/>
        <w:right w:val="none" w:sz="0" w:space="0" w:color="auto"/>
      </w:divBdr>
    </w:div>
    <w:div w:id="579945006">
      <w:bodyDiv w:val="1"/>
      <w:marLeft w:val="0"/>
      <w:marRight w:val="0"/>
      <w:marTop w:val="0"/>
      <w:marBottom w:val="0"/>
      <w:divBdr>
        <w:top w:val="none" w:sz="0" w:space="0" w:color="auto"/>
        <w:left w:val="none" w:sz="0" w:space="0" w:color="auto"/>
        <w:bottom w:val="none" w:sz="0" w:space="0" w:color="auto"/>
        <w:right w:val="none" w:sz="0" w:space="0" w:color="auto"/>
      </w:divBdr>
    </w:div>
    <w:div w:id="582573103">
      <w:bodyDiv w:val="1"/>
      <w:marLeft w:val="0"/>
      <w:marRight w:val="0"/>
      <w:marTop w:val="0"/>
      <w:marBottom w:val="0"/>
      <w:divBdr>
        <w:top w:val="none" w:sz="0" w:space="0" w:color="auto"/>
        <w:left w:val="none" w:sz="0" w:space="0" w:color="auto"/>
        <w:bottom w:val="none" w:sz="0" w:space="0" w:color="auto"/>
        <w:right w:val="none" w:sz="0" w:space="0" w:color="auto"/>
      </w:divBdr>
    </w:div>
    <w:div w:id="587423157">
      <w:bodyDiv w:val="1"/>
      <w:marLeft w:val="0"/>
      <w:marRight w:val="0"/>
      <w:marTop w:val="0"/>
      <w:marBottom w:val="0"/>
      <w:divBdr>
        <w:top w:val="none" w:sz="0" w:space="0" w:color="auto"/>
        <w:left w:val="none" w:sz="0" w:space="0" w:color="auto"/>
        <w:bottom w:val="none" w:sz="0" w:space="0" w:color="auto"/>
        <w:right w:val="none" w:sz="0" w:space="0" w:color="auto"/>
      </w:divBdr>
    </w:div>
    <w:div w:id="588661208">
      <w:bodyDiv w:val="1"/>
      <w:marLeft w:val="0"/>
      <w:marRight w:val="0"/>
      <w:marTop w:val="0"/>
      <w:marBottom w:val="0"/>
      <w:divBdr>
        <w:top w:val="none" w:sz="0" w:space="0" w:color="auto"/>
        <w:left w:val="none" w:sz="0" w:space="0" w:color="auto"/>
        <w:bottom w:val="none" w:sz="0" w:space="0" w:color="auto"/>
        <w:right w:val="none" w:sz="0" w:space="0" w:color="auto"/>
      </w:divBdr>
    </w:div>
    <w:div w:id="589628319">
      <w:bodyDiv w:val="1"/>
      <w:marLeft w:val="0"/>
      <w:marRight w:val="0"/>
      <w:marTop w:val="0"/>
      <w:marBottom w:val="0"/>
      <w:divBdr>
        <w:top w:val="none" w:sz="0" w:space="0" w:color="auto"/>
        <w:left w:val="none" w:sz="0" w:space="0" w:color="auto"/>
        <w:bottom w:val="none" w:sz="0" w:space="0" w:color="auto"/>
        <w:right w:val="none" w:sz="0" w:space="0" w:color="auto"/>
      </w:divBdr>
    </w:div>
    <w:div w:id="593705825">
      <w:bodyDiv w:val="1"/>
      <w:marLeft w:val="0"/>
      <w:marRight w:val="0"/>
      <w:marTop w:val="0"/>
      <w:marBottom w:val="0"/>
      <w:divBdr>
        <w:top w:val="none" w:sz="0" w:space="0" w:color="auto"/>
        <w:left w:val="none" w:sz="0" w:space="0" w:color="auto"/>
        <w:bottom w:val="none" w:sz="0" w:space="0" w:color="auto"/>
        <w:right w:val="none" w:sz="0" w:space="0" w:color="auto"/>
      </w:divBdr>
    </w:div>
    <w:div w:id="597103322">
      <w:bodyDiv w:val="1"/>
      <w:marLeft w:val="0"/>
      <w:marRight w:val="0"/>
      <w:marTop w:val="0"/>
      <w:marBottom w:val="0"/>
      <w:divBdr>
        <w:top w:val="none" w:sz="0" w:space="0" w:color="auto"/>
        <w:left w:val="none" w:sz="0" w:space="0" w:color="auto"/>
        <w:bottom w:val="none" w:sz="0" w:space="0" w:color="auto"/>
        <w:right w:val="none" w:sz="0" w:space="0" w:color="auto"/>
      </w:divBdr>
    </w:div>
    <w:div w:id="598294084">
      <w:bodyDiv w:val="1"/>
      <w:marLeft w:val="0"/>
      <w:marRight w:val="0"/>
      <w:marTop w:val="0"/>
      <w:marBottom w:val="0"/>
      <w:divBdr>
        <w:top w:val="none" w:sz="0" w:space="0" w:color="auto"/>
        <w:left w:val="none" w:sz="0" w:space="0" w:color="auto"/>
        <w:bottom w:val="none" w:sz="0" w:space="0" w:color="auto"/>
        <w:right w:val="none" w:sz="0" w:space="0" w:color="auto"/>
      </w:divBdr>
    </w:div>
    <w:div w:id="599722684">
      <w:bodyDiv w:val="1"/>
      <w:marLeft w:val="0"/>
      <w:marRight w:val="0"/>
      <w:marTop w:val="0"/>
      <w:marBottom w:val="0"/>
      <w:divBdr>
        <w:top w:val="none" w:sz="0" w:space="0" w:color="auto"/>
        <w:left w:val="none" w:sz="0" w:space="0" w:color="auto"/>
        <w:bottom w:val="none" w:sz="0" w:space="0" w:color="auto"/>
        <w:right w:val="none" w:sz="0" w:space="0" w:color="auto"/>
      </w:divBdr>
    </w:div>
    <w:div w:id="603416017">
      <w:bodyDiv w:val="1"/>
      <w:marLeft w:val="0"/>
      <w:marRight w:val="0"/>
      <w:marTop w:val="0"/>
      <w:marBottom w:val="0"/>
      <w:divBdr>
        <w:top w:val="none" w:sz="0" w:space="0" w:color="auto"/>
        <w:left w:val="none" w:sz="0" w:space="0" w:color="auto"/>
        <w:bottom w:val="none" w:sz="0" w:space="0" w:color="auto"/>
        <w:right w:val="none" w:sz="0" w:space="0" w:color="auto"/>
      </w:divBdr>
    </w:div>
    <w:div w:id="604382983">
      <w:bodyDiv w:val="1"/>
      <w:marLeft w:val="0"/>
      <w:marRight w:val="0"/>
      <w:marTop w:val="0"/>
      <w:marBottom w:val="0"/>
      <w:divBdr>
        <w:top w:val="none" w:sz="0" w:space="0" w:color="auto"/>
        <w:left w:val="none" w:sz="0" w:space="0" w:color="auto"/>
        <w:bottom w:val="none" w:sz="0" w:space="0" w:color="auto"/>
        <w:right w:val="none" w:sz="0" w:space="0" w:color="auto"/>
      </w:divBdr>
    </w:div>
    <w:div w:id="605431501">
      <w:bodyDiv w:val="1"/>
      <w:marLeft w:val="0"/>
      <w:marRight w:val="0"/>
      <w:marTop w:val="0"/>
      <w:marBottom w:val="0"/>
      <w:divBdr>
        <w:top w:val="none" w:sz="0" w:space="0" w:color="auto"/>
        <w:left w:val="none" w:sz="0" w:space="0" w:color="auto"/>
        <w:bottom w:val="none" w:sz="0" w:space="0" w:color="auto"/>
        <w:right w:val="none" w:sz="0" w:space="0" w:color="auto"/>
      </w:divBdr>
    </w:div>
    <w:div w:id="608004111">
      <w:bodyDiv w:val="1"/>
      <w:marLeft w:val="0"/>
      <w:marRight w:val="0"/>
      <w:marTop w:val="0"/>
      <w:marBottom w:val="0"/>
      <w:divBdr>
        <w:top w:val="none" w:sz="0" w:space="0" w:color="auto"/>
        <w:left w:val="none" w:sz="0" w:space="0" w:color="auto"/>
        <w:bottom w:val="none" w:sz="0" w:space="0" w:color="auto"/>
        <w:right w:val="none" w:sz="0" w:space="0" w:color="auto"/>
      </w:divBdr>
    </w:div>
    <w:div w:id="609749010">
      <w:bodyDiv w:val="1"/>
      <w:marLeft w:val="0"/>
      <w:marRight w:val="0"/>
      <w:marTop w:val="0"/>
      <w:marBottom w:val="0"/>
      <w:divBdr>
        <w:top w:val="none" w:sz="0" w:space="0" w:color="auto"/>
        <w:left w:val="none" w:sz="0" w:space="0" w:color="auto"/>
        <w:bottom w:val="none" w:sz="0" w:space="0" w:color="auto"/>
        <w:right w:val="none" w:sz="0" w:space="0" w:color="auto"/>
      </w:divBdr>
    </w:div>
    <w:div w:id="614169905">
      <w:bodyDiv w:val="1"/>
      <w:marLeft w:val="0"/>
      <w:marRight w:val="0"/>
      <w:marTop w:val="0"/>
      <w:marBottom w:val="0"/>
      <w:divBdr>
        <w:top w:val="none" w:sz="0" w:space="0" w:color="auto"/>
        <w:left w:val="none" w:sz="0" w:space="0" w:color="auto"/>
        <w:bottom w:val="none" w:sz="0" w:space="0" w:color="auto"/>
        <w:right w:val="none" w:sz="0" w:space="0" w:color="auto"/>
      </w:divBdr>
    </w:div>
    <w:div w:id="619729709">
      <w:bodyDiv w:val="1"/>
      <w:marLeft w:val="0"/>
      <w:marRight w:val="0"/>
      <w:marTop w:val="0"/>
      <w:marBottom w:val="0"/>
      <w:divBdr>
        <w:top w:val="none" w:sz="0" w:space="0" w:color="auto"/>
        <w:left w:val="none" w:sz="0" w:space="0" w:color="auto"/>
        <w:bottom w:val="none" w:sz="0" w:space="0" w:color="auto"/>
        <w:right w:val="none" w:sz="0" w:space="0" w:color="auto"/>
      </w:divBdr>
    </w:div>
    <w:div w:id="627005280">
      <w:bodyDiv w:val="1"/>
      <w:marLeft w:val="0"/>
      <w:marRight w:val="0"/>
      <w:marTop w:val="0"/>
      <w:marBottom w:val="0"/>
      <w:divBdr>
        <w:top w:val="none" w:sz="0" w:space="0" w:color="auto"/>
        <w:left w:val="none" w:sz="0" w:space="0" w:color="auto"/>
        <w:bottom w:val="none" w:sz="0" w:space="0" w:color="auto"/>
        <w:right w:val="none" w:sz="0" w:space="0" w:color="auto"/>
      </w:divBdr>
    </w:div>
    <w:div w:id="630134766">
      <w:bodyDiv w:val="1"/>
      <w:marLeft w:val="0"/>
      <w:marRight w:val="0"/>
      <w:marTop w:val="0"/>
      <w:marBottom w:val="0"/>
      <w:divBdr>
        <w:top w:val="none" w:sz="0" w:space="0" w:color="auto"/>
        <w:left w:val="none" w:sz="0" w:space="0" w:color="auto"/>
        <w:bottom w:val="none" w:sz="0" w:space="0" w:color="auto"/>
        <w:right w:val="none" w:sz="0" w:space="0" w:color="auto"/>
      </w:divBdr>
    </w:div>
    <w:div w:id="647243581">
      <w:bodyDiv w:val="1"/>
      <w:marLeft w:val="0"/>
      <w:marRight w:val="0"/>
      <w:marTop w:val="0"/>
      <w:marBottom w:val="0"/>
      <w:divBdr>
        <w:top w:val="none" w:sz="0" w:space="0" w:color="auto"/>
        <w:left w:val="none" w:sz="0" w:space="0" w:color="auto"/>
        <w:bottom w:val="none" w:sz="0" w:space="0" w:color="auto"/>
        <w:right w:val="none" w:sz="0" w:space="0" w:color="auto"/>
      </w:divBdr>
    </w:div>
    <w:div w:id="657077637">
      <w:bodyDiv w:val="1"/>
      <w:marLeft w:val="0"/>
      <w:marRight w:val="0"/>
      <w:marTop w:val="0"/>
      <w:marBottom w:val="0"/>
      <w:divBdr>
        <w:top w:val="none" w:sz="0" w:space="0" w:color="auto"/>
        <w:left w:val="none" w:sz="0" w:space="0" w:color="auto"/>
        <w:bottom w:val="none" w:sz="0" w:space="0" w:color="auto"/>
        <w:right w:val="none" w:sz="0" w:space="0" w:color="auto"/>
      </w:divBdr>
    </w:div>
    <w:div w:id="659038376">
      <w:bodyDiv w:val="1"/>
      <w:marLeft w:val="0"/>
      <w:marRight w:val="0"/>
      <w:marTop w:val="0"/>
      <w:marBottom w:val="0"/>
      <w:divBdr>
        <w:top w:val="none" w:sz="0" w:space="0" w:color="auto"/>
        <w:left w:val="none" w:sz="0" w:space="0" w:color="auto"/>
        <w:bottom w:val="none" w:sz="0" w:space="0" w:color="auto"/>
        <w:right w:val="none" w:sz="0" w:space="0" w:color="auto"/>
      </w:divBdr>
    </w:div>
    <w:div w:id="659193140">
      <w:bodyDiv w:val="1"/>
      <w:marLeft w:val="0"/>
      <w:marRight w:val="0"/>
      <w:marTop w:val="0"/>
      <w:marBottom w:val="0"/>
      <w:divBdr>
        <w:top w:val="none" w:sz="0" w:space="0" w:color="auto"/>
        <w:left w:val="none" w:sz="0" w:space="0" w:color="auto"/>
        <w:bottom w:val="none" w:sz="0" w:space="0" w:color="auto"/>
        <w:right w:val="none" w:sz="0" w:space="0" w:color="auto"/>
      </w:divBdr>
    </w:div>
    <w:div w:id="665398614">
      <w:bodyDiv w:val="1"/>
      <w:marLeft w:val="0"/>
      <w:marRight w:val="0"/>
      <w:marTop w:val="0"/>
      <w:marBottom w:val="0"/>
      <w:divBdr>
        <w:top w:val="none" w:sz="0" w:space="0" w:color="auto"/>
        <w:left w:val="none" w:sz="0" w:space="0" w:color="auto"/>
        <w:bottom w:val="none" w:sz="0" w:space="0" w:color="auto"/>
        <w:right w:val="none" w:sz="0" w:space="0" w:color="auto"/>
      </w:divBdr>
    </w:div>
    <w:div w:id="666907297">
      <w:bodyDiv w:val="1"/>
      <w:marLeft w:val="0"/>
      <w:marRight w:val="0"/>
      <w:marTop w:val="0"/>
      <w:marBottom w:val="0"/>
      <w:divBdr>
        <w:top w:val="none" w:sz="0" w:space="0" w:color="auto"/>
        <w:left w:val="none" w:sz="0" w:space="0" w:color="auto"/>
        <w:bottom w:val="none" w:sz="0" w:space="0" w:color="auto"/>
        <w:right w:val="none" w:sz="0" w:space="0" w:color="auto"/>
      </w:divBdr>
    </w:div>
    <w:div w:id="668170788">
      <w:bodyDiv w:val="1"/>
      <w:marLeft w:val="0"/>
      <w:marRight w:val="0"/>
      <w:marTop w:val="0"/>
      <w:marBottom w:val="0"/>
      <w:divBdr>
        <w:top w:val="none" w:sz="0" w:space="0" w:color="auto"/>
        <w:left w:val="none" w:sz="0" w:space="0" w:color="auto"/>
        <w:bottom w:val="none" w:sz="0" w:space="0" w:color="auto"/>
        <w:right w:val="none" w:sz="0" w:space="0" w:color="auto"/>
      </w:divBdr>
    </w:div>
    <w:div w:id="672146551">
      <w:bodyDiv w:val="1"/>
      <w:marLeft w:val="0"/>
      <w:marRight w:val="0"/>
      <w:marTop w:val="0"/>
      <w:marBottom w:val="0"/>
      <w:divBdr>
        <w:top w:val="none" w:sz="0" w:space="0" w:color="auto"/>
        <w:left w:val="none" w:sz="0" w:space="0" w:color="auto"/>
        <w:bottom w:val="none" w:sz="0" w:space="0" w:color="auto"/>
        <w:right w:val="none" w:sz="0" w:space="0" w:color="auto"/>
      </w:divBdr>
    </w:div>
    <w:div w:id="687681948">
      <w:bodyDiv w:val="1"/>
      <w:marLeft w:val="0"/>
      <w:marRight w:val="0"/>
      <w:marTop w:val="0"/>
      <w:marBottom w:val="0"/>
      <w:divBdr>
        <w:top w:val="none" w:sz="0" w:space="0" w:color="auto"/>
        <w:left w:val="none" w:sz="0" w:space="0" w:color="auto"/>
        <w:bottom w:val="none" w:sz="0" w:space="0" w:color="auto"/>
        <w:right w:val="none" w:sz="0" w:space="0" w:color="auto"/>
      </w:divBdr>
    </w:div>
    <w:div w:id="689531657">
      <w:bodyDiv w:val="1"/>
      <w:marLeft w:val="0"/>
      <w:marRight w:val="0"/>
      <w:marTop w:val="0"/>
      <w:marBottom w:val="0"/>
      <w:divBdr>
        <w:top w:val="none" w:sz="0" w:space="0" w:color="auto"/>
        <w:left w:val="none" w:sz="0" w:space="0" w:color="auto"/>
        <w:bottom w:val="none" w:sz="0" w:space="0" w:color="auto"/>
        <w:right w:val="none" w:sz="0" w:space="0" w:color="auto"/>
      </w:divBdr>
    </w:div>
    <w:div w:id="692389692">
      <w:bodyDiv w:val="1"/>
      <w:marLeft w:val="0"/>
      <w:marRight w:val="0"/>
      <w:marTop w:val="0"/>
      <w:marBottom w:val="0"/>
      <w:divBdr>
        <w:top w:val="none" w:sz="0" w:space="0" w:color="auto"/>
        <w:left w:val="none" w:sz="0" w:space="0" w:color="auto"/>
        <w:bottom w:val="none" w:sz="0" w:space="0" w:color="auto"/>
        <w:right w:val="none" w:sz="0" w:space="0" w:color="auto"/>
      </w:divBdr>
    </w:div>
    <w:div w:id="696125142">
      <w:bodyDiv w:val="1"/>
      <w:marLeft w:val="0"/>
      <w:marRight w:val="0"/>
      <w:marTop w:val="0"/>
      <w:marBottom w:val="0"/>
      <w:divBdr>
        <w:top w:val="none" w:sz="0" w:space="0" w:color="auto"/>
        <w:left w:val="none" w:sz="0" w:space="0" w:color="auto"/>
        <w:bottom w:val="none" w:sz="0" w:space="0" w:color="auto"/>
        <w:right w:val="none" w:sz="0" w:space="0" w:color="auto"/>
      </w:divBdr>
    </w:div>
    <w:div w:id="697703282">
      <w:bodyDiv w:val="1"/>
      <w:marLeft w:val="0"/>
      <w:marRight w:val="0"/>
      <w:marTop w:val="0"/>
      <w:marBottom w:val="0"/>
      <w:divBdr>
        <w:top w:val="none" w:sz="0" w:space="0" w:color="auto"/>
        <w:left w:val="none" w:sz="0" w:space="0" w:color="auto"/>
        <w:bottom w:val="none" w:sz="0" w:space="0" w:color="auto"/>
        <w:right w:val="none" w:sz="0" w:space="0" w:color="auto"/>
      </w:divBdr>
    </w:div>
    <w:div w:id="697966856">
      <w:bodyDiv w:val="1"/>
      <w:marLeft w:val="0"/>
      <w:marRight w:val="0"/>
      <w:marTop w:val="0"/>
      <w:marBottom w:val="0"/>
      <w:divBdr>
        <w:top w:val="none" w:sz="0" w:space="0" w:color="auto"/>
        <w:left w:val="none" w:sz="0" w:space="0" w:color="auto"/>
        <w:bottom w:val="none" w:sz="0" w:space="0" w:color="auto"/>
        <w:right w:val="none" w:sz="0" w:space="0" w:color="auto"/>
      </w:divBdr>
    </w:div>
    <w:div w:id="699747936">
      <w:bodyDiv w:val="1"/>
      <w:marLeft w:val="0"/>
      <w:marRight w:val="0"/>
      <w:marTop w:val="0"/>
      <w:marBottom w:val="0"/>
      <w:divBdr>
        <w:top w:val="none" w:sz="0" w:space="0" w:color="auto"/>
        <w:left w:val="none" w:sz="0" w:space="0" w:color="auto"/>
        <w:bottom w:val="none" w:sz="0" w:space="0" w:color="auto"/>
        <w:right w:val="none" w:sz="0" w:space="0" w:color="auto"/>
      </w:divBdr>
    </w:div>
    <w:div w:id="715397955">
      <w:bodyDiv w:val="1"/>
      <w:marLeft w:val="0"/>
      <w:marRight w:val="0"/>
      <w:marTop w:val="0"/>
      <w:marBottom w:val="0"/>
      <w:divBdr>
        <w:top w:val="none" w:sz="0" w:space="0" w:color="auto"/>
        <w:left w:val="none" w:sz="0" w:space="0" w:color="auto"/>
        <w:bottom w:val="none" w:sz="0" w:space="0" w:color="auto"/>
        <w:right w:val="none" w:sz="0" w:space="0" w:color="auto"/>
      </w:divBdr>
    </w:div>
    <w:div w:id="716781660">
      <w:bodyDiv w:val="1"/>
      <w:marLeft w:val="0"/>
      <w:marRight w:val="0"/>
      <w:marTop w:val="0"/>
      <w:marBottom w:val="0"/>
      <w:divBdr>
        <w:top w:val="none" w:sz="0" w:space="0" w:color="auto"/>
        <w:left w:val="none" w:sz="0" w:space="0" w:color="auto"/>
        <w:bottom w:val="none" w:sz="0" w:space="0" w:color="auto"/>
        <w:right w:val="none" w:sz="0" w:space="0" w:color="auto"/>
      </w:divBdr>
    </w:div>
    <w:div w:id="717171453">
      <w:bodyDiv w:val="1"/>
      <w:marLeft w:val="0"/>
      <w:marRight w:val="0"/>
      <w:marTop w:val="0"/>
      <w:marBottom w:val="0"/>
      <w:divBdr>
        <w:top w:val="none" w:sz="0" w:space="0" w:color="auto"/>
        <w:left w:val="none" w:sz="0" w:space="0" w:color="auto"/>
        <w:bottom w:val="none" w:sz="0" w:space="0" w:color="auto"/>
        <w:right w:val="none" w:sz="0" w:space="0" w:color="auto"/>
      </w:divBdr>
    </w:div>
    <w:div w:id="726807757">
      <w:bodyDiv w:val="1"/>
      <w:marLeft w:val="0"/>
      <w:marRight w:val="0"/>
      <w:marTop w:val="0"/>
      <w:marBottom w:val="0"/>
      <w:divBdr>
        <w:top w:val="none" w:sz="0" w:space="0" w:color="auto"/>
        <w:left w:val="none" w:sz="0" w:space="0" w:color="auto"/>
        <w:bottom w:val="none" w:sz="0" w:space="0" w:color="auto"/>
        <w:right w:val="none" w:sz="0" w:space="0" w:color="auto"/>
      </w:divBdr>
    </w:div>
    <w:div w:id="732462343">
      <w:bodyDiv w:val="1"/>
      <w:marLeft w:val="0"/>
      <w:marRight w:val="0"/>
      <w:marTop w:val="0"/>
      <w:marBottom w:val="0"/>
      <w:divBdr>
        <w:top w:val="none" w:sz="0" w:space="0" w:color="auto"/>
        <w:left w:val="none" w:sz="0" w:space="0" w:color="auto"/>
        <w:bottom w:val="none" w:sz="0" w:space="0" w:color="auto"/>
        <w:right w:val="none" w:sz="0" w:space="0" w:color="auto"/>
      </w:divBdr>
    </w:div>
    <w:div w:id="758258152">
      <w:bodyDiv w:val="1"/>
      <w:marLeft w:val="0"/>
      <w:marRight w:val="0"/>
      <w:marTop w:val="0"/>
      <w:marBottom w:val="0"/>
      <w:divBdr>
        <w:top w:val="none" w:sz="0" w:space="0" w:color="auto"/>
        <w:left w:val="none" w:sz="0" w:space="0" w:color="auto"/>
        <w:bottom w:val="none" w:sz="0" w:space="0" w:color="auto"/>
        <w:right w:val="none" w:sz="0" w:space="0" w:color="auto"/>
      </w:divBdr>
    </w:div>
    <w:div w:id="775101912">
      <w:bodyDiv w:val="1"/>
      <w:marLeft w:val="0"/>
      <w:marRight w:val="0"/>
      <w:marTop w:val="0"/>
      <w:marBottom w:val="0"/>
      <w:divBdr>
        <w:top w:val="none" w:sz="0" w:space="0" w:color="auto"/>
        <w:left w:val="none" w:sz="0" w:space="0" w:color="auto"/>
        <w:bottom w:val="none" w:sz="0" w:space="0" w:color="auto"/>
        <w:right w:val="none" w:sz="0" w:space="0" w:color="auto"/>
      </w:divBdr>
    </w:div>
    <w:div w:id="777211752">
      <w:bodyDiv w:val="1"/>
      <w:marLeft w:val="0"/>
      <w:marRight w:val="0"/>
      <w:marTop w:val="0"/>
      <w:marBottom w:val="0"/>
      <w:divBdr>
        <w:top w:val="none" w:sz="0" w:space="0" w:color="auto"/>
        <w:left w:val="none" w:sz="0" w:space="0" w:color="auto"/>
        <w:bottom w:val="none" w:sz="0" w:space="0" w:color="auto"/>
        <w:right w:val="none" w:sz="0" w:space="0" w:color="auto"/>
      </w:divBdr>
    </w:div>
    <w:div w:id="778182565">
      <w:bodyDiv w:val="1"/>
      <w:marLeft w:val="0"/>
      <w:marRight w:val="0"/>
      <w:marTop w:val="0"/>
      <w:marBottom w:val="0"/>
      <w:divBdr>
        <w:top w:val="none" w:sz="0" w:space="0" w:color="auto"/>
        <w:left w:val="none" w:sz="0" w:space="0" w:color="auto"/>
        <w:bottom w:val="none" w:sz="0" w:space="0" w:color="auto"/>
        <w:right w:val="none" w:sz="0" w:space="0" w:color="auto"/>
      </w:divBdr>
    </w:div>
    <w:div w:id="787705096">
      <w:bodyDiv w:val="1"/>
      <w:marLeft w:val="0"/>
      <w:marRight w:val="0"/>
      <w:marTop w:val="0"/>
      <w:marBottom w:val="0"/>
      <w:divBdr>
        <w:top w:val="none" w:sz="0" w:space="0" w:color="auto"/>
        <w:left w:val="none" w:sz="0" w:space="0" w:color="auto"/>
        <w:bottom w:val="none" w:sz="0" w:space="0" w:color="auto"/>
        <w:right w:val="none" w:sz="0" w:space="0" w:color="auto"/>
      </w:divBdr>
    </w:div>
    <w:div w:id="792793433">
      <w:bodyDiv w:val="1"/>
      <w:marLeft w:val="0"/>
      <w:marRight w:val="0"/>
      <w:marTop w:val="0"/>
      <w:marBottom w:val="0"/>
      <w:divBdr>
        <w:top w:val="none" w:sz="0" w:space="0" w:color="auto"/>
        <w:left w:val="none" w:sz="0" w:space="0" w:color="auto"/>
        <w:bottom w:val="none" w:sz="0" w:space="0" w:color="auto"/>
        <w:right w:val="none" w:sz="0" w:space="0" w:color="auto"/>
      </w:divBdr>
    </w:div>
    <w:div w:id="793403667">
      <w:bodyDiv w:val="1"/>
      <w:marLeft w:val="0"/>
      <w:marRight w:val="0"/>
      <w:marTop w:val="0"/>
      <w:marBottom w:val="0"/>
      <w:divBdr>
        <w:top w:val="none" w:sz="0" w:space="0" w:color="auto"/>
        <w:left w:val="none" w:sz="0" w:space="0" w:color="auto"/>
        <w:bottom w:val="none" w:sz="0" w:space="0" w:color="auto"/>
        <w:right w:val="none" w:sz="0" w:space="0" w:color="auto"/>
      </w:divBdr>
    </w:div>
    <w:div w:id="794450165">
      <w:bodyDiv w:val="1"/>
      <w:marLeft w:val="0"/>
      <w:marRight w:val="0"/>
      <w:marTop w:val="0"/>
      <w:marBottom w:val="0"/>
      <w:divBdr>
        <w:top w:val="none" w:sz="0" w:space="0" w:color="auto"/>
        <w:left w:val="none" w:sz="0" w:space="0" w:color="auto"/>
        <w:bottom w:val="none" w:sz="0" w:space="0" w:color="auto"/>
        <w:right w:val="none" w:sz="0" w:space="0" w:color="auto"/>
      </w:divBdr>
    </w:div>
    <w:div w:id="805586396">
      <w:bodyDiv w:val="1"/>
      <w:marLeft w:val="0"/>
      <w:marRight w:val="0"/>
      <w:marTop w:val="0"/>
      <w:marBottom w:val="0"/>
      <w:divBdr>
        <w:top w:val="none" w:sz="0" w:space="0" w:color="auto"/>
        <w:left w:val="none" w:sz="0" w:space="0" w:color="auto"/>
        <w:bottom w:val="none" w:sz="0" w:space="0" w:color="auto"/>
        <w:right w:val="none" w:sz="0" w:space="0" w:color="auto"/>
      </w:divBdr>
    </w:div>
    <w:div w:id="808086300">
      <w:bodyDiv w:val="1"/>
      <w:marLeft w:val="0"/>
      <w:marRight w:val="0"/>
      <w:marTop w:val="0"/>
      <w:marBottom w:val="0"/>
      <w:divBdr>
        <w:top w:val="none" w:sz="0" w:space="0" w:color="auto"/>
        <w:left w:val="none" w:sz="0" w:space="0" w:color="auto"/>
        <w:bottom w:val="none" w:sz="0" w:space="0" w:color="auto"/>
        <w:right w:val="none" w:sz="0" w:space="0" w:color="auto"/>
      </w:divBdr>
    </w:div>
    <w:div w:id="811019268">
      <w:bodyDiv w:val="1"/>
      <w:marLeft w:val="0"/>
      <w:marRight w:val="0"/>
      <w:marTop w:val="0"/>
      <w:marBottom w:val="0"/>
      <w:divBdr>
        <w:top w:val="none" w:sz="0" w:space="0" w:color="auto"/>
        <w:left w:val="none" w:sz="0" w:space="0" w:color="auto"/>
        <w:bottom w:val="none" w:sz="0" w:space="0" w:color="auto"/>
        <w:right w:val="none" w:sz="0" w:space="0" w:color="auto"/>
      </w:divBdr>
    </w:div>
    <w:div w:id="822895048">
      <w:bodyDiv w:val="1"/>
      <w:marLeft w:val="0"/>
      <w:marRight w:val="0"/>
      <w:marTop w:val="0"/>
      <w:marBottom w:val="0"/>
      <w:divBdr>
        <w:top w:val="none" w:sz="0" w:space="0" w:color="auto"/>
        <w:left w:val="none" w:sz="0" w:space="0" w:color="auto"/>
        <w:bottom w:val="none" w:sz="0" w:space="0" w:color="auto"/>
        <w:right w:val="none" w:sz="0" w:space="0" w:color="auto"/>
      </w:divBdr>
    </w:div>
    <w:div w:id="827743222">
      <w:bodyDiv w:val="1"/>
      <w:marLeft w:val="0"/>
      <w:marRight w:val="0"/>
      <w:marTop w:val="0"/>
      <w:marBottom w:val="0"/>
      <w:divBdr>
        <w:top w:val="none" w:sz="0" w:space="0" w:color="auto"/>
        <w:left w:val="none" w:sz="0" w:space="0" w:color="auto"/>
        <w:bottom w:val="none" w:sz="0" w:space="0" w:color="auto"/>
        <w:right w:val="none" w:sz="0" w:space="0" w:color="auto"/>
      </w:divBdr>
    </w:div>
    <w:div w:id="838496794">
      <w:bodyDiv w:val="1"/>
      <w:marLeft w:val="0"/>
      <w:marRight w:val="0"/>
      <w:marTop w:val="0"/>
      <w:marBottom w:val="0"/>
      <w:divBdr>
        <w:top w:val="none" w:sz="0" w:space="0" w:color="auto"/>
        <w:left w:val="none" w:sz="0" w:space="0" w:color="auto"/>
        <w:bottom w:val="none" w:sz="0" w:space="0" w:color="auto"/>
        <w:right w:val="none" w:sz="0" w:space="0" w:color="auto"/>
      </w:divBdr>
    </w:div>
    <w:div w:id="843087788">
      <w:bodyDiv w:val="1"/>
      <w:marLeft w:val="0"/>
      <w:marRight w:val="0"/>
      <w:marTop w:val="0"/>
      <w:marBottom w:val="0"/>
      <w:divBdr>
        <w:top w:val="none" w:sz="0" w:space="0" w:color="auto"/>
        <w:left w:val="none" w:sz="0" w:space="0" w:color="auto"/>
        <w:bottom w:val="none" w:sz="0" w:space="0" w:color="auto"/>
        <w:right w:val="none" w:sz="0" w:space="0" w:color="auto"/>
      </w:divBdr>
    </w:div>
    <w:div w:id="844827507">
      <w:bodyDiv w:val="1"/>
      <w:marLeft w:val="0"/>
      <w:marRight w:val="0"/>
      <w:marTop w:val="0"/>
      <w:marBottom w:val="0"/>
      <w:divBdr>
        <w:top w:val="none" w:sz="0" w:space="0" w:color="auto"/>
        <w:left w:val="none" w:sz="0" w:space="0" w:color="auto"/>
        <w:bottom w:val="none" w:sz="0" w:space="0" w:color="auto"/>
        <w:right w:val="none" w:sz="0" w:space="0" w:color="auto"/>
      </w:divBdr>
    </w:div>
    <w:div w:id="845555158">
      <w:bodyDiv w:val="1"/>
      <w:marLeft w:val="0"/>
      <w:marRight w:val="0"/>
      <w:marTop w:val="0"/>
      <w:marBottom w:val="0"/>
      <w:divBdr>
        <w:top w:val="none" w:sz="0" w:space="0" w:color="auto"/>
        <w:left w:val="none" w:sz="0" w:space="0" w:color="auto"/>
        <w:bottom w:val="none" w:sz="0" w:space="0" w:color="auto"/>
        <w:right w:val="none" w:sz="0" w:space="0" w:color="auto"/>
      </w:divBdr>
    </w:div>
    <w:div w:id="850800384">
      <w:bodyDiv w:val="1"/>
      <w:marLeft w:val="0"/>
      <w:marRight w:val="0"/>
      <w:marTop w:val="0"/>
      <w:marBottom w:val="0"/>
      <w:divBdr>
        <w:top w:val="none" w:sz="0" w:space="0" w:color="auto"/>
        <w:left w:val="none" w:sz="0" w:space="0" w:color="auto"/>
        <w:bottom w:val="none" w:sz="0" w:space="0" w:color="auto"/>
        <w:right w:val="none" w:sz="0" w:space="0" w:color="auto"/>
      </w:divBdr>
    </w:div>
    <w:div w:id="851142987">
      <w:bodyDiv w:val="1"/>
      <w:marLeft w:val="0"/>
      <w:marRight w:val="0"/>
      <w:marTop w:val="0"/>
      <w:marBottom w:val="0"/>
      <w:divBdr>
        <w:top w:val="none" w:sz="0" w:space="0" w:color="auto"/>
        <w:left w:val="none" w:sz="0" w:space="0" w:color="auto"/>
        <w:bottom w:val="none" w:sz="0" w:space="0" w:color="auto"/>
        <w:right w:val="none" w:sz="0" w:space="0" w:color="auto"/>
      </w:divBdr>
    </w:div>
    <w:div w:id="855852755">
      <w:bodyDiv w:val="1"/>
      <w:marLeft w:val="0"/>
      <w:marRight w:val="0"/>
      <w:marTop w:val="0"/>
      <w:marBottom w:val="0"/>
      <w:divBdr>
        <w:top w:val="none" w:sz="0" w:space="0" w:color="auto"/>
        <w:left w:val="none" w:sz="0" w:space="0" w:color="auto"/>
        <w:bottom w:val="none" w:sz="0" w:space="0" w:color="auto"/>
        <w:right w:val="none" w:sz="0" w:space="0" w:color="auto"/>
      </w:divBdr>
    </w:div>
    <w:div w:id="858203317">
      <w:bodyDiv w:val="1"/>
      <w:marLeft w:val="0"/>
      <w:marRight w:val="0"/>
      <w:marTop w:val="0"/>
      <w:marBottom w:val="0"/>
      <w:divBdr>
        <w:top w:val="none" w:sz="0" w:space="0" w:color="auto"/>
        <w:left w:val="none" w:sz="0" w:space="0" w:color="auto"/>
        <w:bottom w:val="none" w:sz="0" w:space="0" w:color="auto"/>
        <w:right w:val="none" w:sz="0" w:space="0" w:color="auto"/>
      </w:divBdr>
    </w:div>
    <w:div w:id="863984191">
      <w:bodyDiv w:val="1"/>
      <w:marLeft w:val="0"/>
      <w:marRight w:val="0"/>
      <w:marTop w:val="0"/>
      <w:marBottom w:val="0"/>
      <w:divBdr>
        <w:top w:val="none" w:sz="0" w:space="0" w:color="auto"/>
        <w:left w:val="none" w:sz="0" w:space="0" w:color="auto"/>
        <w:bottom w:val="none" w:sz="0" w:space="0" w:color="auto"/>
        <w:right w:val="none" w:sz="0" w:space="0" w:color="auto"/>
      </w:divBdr>
    </w:div>
    <w:div w:id="864247777">
      <w:bodyDiv w:val="1"/>
      <w:marLeft w:val="0"/>
      <w:marRight w:val="0"/>
      <w:marTop w:val="0"/>
      <w:marBottom w:val="0"/>
      <w:divBdr>
        <w:top w:val="none" w:sz="0" w:space="0" w:color="auto"/>
        <w:left w:val="none" w:sz="0" w:space="0" w:color="auto"/>
        <w:bottom w:val="none" w:sz="0" w:space="0" w:color="auto"/>
        <w:right w:val="none" w:sz="0" w:space="0" w:color="auto"/>
      </w:divBdr>
    </w:div>
    <w:div w:id="870074158">
      <w:bodyDiv w:val="1"/>
      <w:marLeft w:val="0"/>
      <w:marRight w:val="0"/>
      <w:marTop w:val="0"/>
      <w:marBottom w:val="0"/>
      <w:divBdr>
        <w:top w:val="none" w:sz="0" w:space="0" w:color="auto"/>
        <w:left w:val="none" w:sz="0" w:space="0" w:color="auto"/>
        <w:bottom w:val="none" w:sz="0" w:space="0" w:color="auto"/>
        <w:right w:val="none" w:sz="0" w:space="0" w:color="auto"/>
      </w:divBdr>
    </w:div>
    <w:div w:id="871192155">
      <w:bodyDiv w:val="1"/>
      <w:marLeft w:val="0"/>
      <w:marRight w:val="0"/>
      <w:marTop w:val="0"/>
      <w:marBottom w:val="0"/>
      <w:divBdr>
        <w:top w:val="none" w:sz="0" w:space="0" w:color="auto"/>
        <w:left w:val="none" w:sz="0" w:space="0" w:color="auto"/>
        <w:bottom w:val="none" w:sz="0" w:space="0" w:color="auto"/>
        <w:right w:val="none" w:sz="0" w:space="0" w:color="auto"/>
      </w:divBdr>
    </w:div>
    <w:div w:id="873613005">
      <w:bodyDiv w:val="1"/>
      <w:marLeft w:val="0"/>
      <w:marRight w:val="0"/>
      <w:marTop w:val="0"/>
      <w:marBottom w:val="0"/>
      <w:divBdr>
        <w:top w:val="none" w:sz="0" w:space="0" w:color="auto"/>
        <w:left w:val="none" w:sz="0" w:space="0" w:color="auto"/>
        <w:bottom w:val="none" w:sz="0" w:space="0" w:color="auto"/>
        <w:right w:val="none" w:sz="0" w:space="0" w:color="auto"/>
      </w:divBdr>
    </w:div>
    <w:div w:id="873923818">
      <w:bodyDiv w:val="1"/>
      <w:marLeft w:val="0"/>
      <w:marRight w:val="0"/>
      <w:marTop w:val="0"/>
      <w:marBottom w:val="0"/>
      <w:divBdr>
        <w:top w:val="none" w:sz="0" w:space="0" w:color="auto"/>
        <w:left w:val="none" w:sz="0" w:space="0" w:color="auto"/>
        <w:bottom w:val="none" w:sz="0" w:space="0" w:color="auto"/>
        <w:right w:val="none" w:sz="0" w:space="0" w:color="auto"/>
      </w:divBdr>
    </w:div>
    <w:div w:id="882592119">
      <w:bodyDiv w:val="1"/>
      <w:marLeft w:val="0"/>
      <w:marRight w:val="0"/>
      <w:marTop w:val="0"/>
      <w:marBottom w:val="0"/>
      <w:divBdr>
        <w:top w:val="none" w:sz="0" w:space="0" w:color="auto"/>
        <w:left w:val="none" w:sz="0" w:space="0" w:color="auto"/>
        <w:bottom w:val="none" w:sz="0" w:space="0" w:color="auto"/>
        <w:right w:val="none" w:sz="0" w:space="0" w:color="auto"/>
      </w:divBdr>
    </w:div>
    <w:div w:id="883713609">
      <w:bodyDiv w:val="1"/>
      <w:marLeft w:val="0"/>
      <w:marRight w:val="0"/>
      <w:marTop w:val="0"/>
      <w:marBottom w:val="0"/>
      <w:divBdr>
        <w:top w:val="none" w:sz="0" w:space="0" w:color="auto"/>
        <w:left w:val="none" w:sz="0" w:space="0" w:color="auto"/>
        <w:bottom w:val="none" w:sz="0" w:space="0" w:color="auto"/>
        <w:right w:val="none" w:sz="0" w:space="0" w:color="auto"/>
      </w:divBdr>
    </w:div>
    <w:div w:id="890076952">
      <w:bodyDiv w:val="1"/>
      <w:marLeft w:val="0"/>
      <w:marRight w:val="0"/>
      <w:marTop w:val="0"/>
      <w:marBottom w:val="0"/>
      <w:divBdr>
        <w:top w:val="none" w:sz="0" w:space="0" w:color="auto"/>
        <w:left w:val="none" w:sz="0" w:space="0" w:color="auto"/>
        <w:bottom w:val="none" w:sz="0" w:space="0" w:color="auto"/>
        <w:right w:val="none" w:sz="0" w:space="0" w:color="auto"/>
      </w:divBdr>
    </w:div>
    <w:div w:id="896598070">
      <w:bodyDiv w:val="1"/>
      <w:marLeft w:val="0"/>
      <w:marRight w:val="0"/>
      <w:marTop w:val="0"/>
      <w:marBottom w:val="0"/>
      <w:divBdr>
        <w:top w:val="none" w:sz="0" w:space="0" w:color="auto"/>
        <w:left w:val="none" w:sz="0" w:space="0" w:color="auto"/>
        <w:bottom w:val="none" w:sz="0" w:space="0" w:color="auto"/>
        <w:right w:val="none" w:sz="0" w:space="0" w:color="auto"/>
      </w:divBdr>
    </w:div>
    <w:div w:id="902761741">
      <w:bodyDiv w:val="1"/>
      <w:marLeft w:val="0"/>
      <w:marRight w:val="0"/>
      <w:marTop w:val="0"/>
      <w:marBottom w:val="0"/>
      <w:divBdr>
        <w:top w:val="none" w:sz="0" w:space="0" w:color="auto"/>
        <w:left w:val="none" w:sz="0" w:space="0" w:color="auto"/>
        <w:bottom w:val="none" w:sz="0" w:space="0" w:color="auto"/>
        <w:right w:val="none" w:sz="0" w:space="0" w:color="auto"/>
      </w:divBdr>
    </w:div>
    <w:div w:id="906377083">
      <w:bodyDiv w:val="1"/>
      <w:marLeft w:val="0"/>
      <w:marRight w:val="0"/>
      <w:marTop w:val="0"/>
      <w:marBottom w:val="0"/>
      <w:divBdr>
        <w:top w:val="none" w:sz="0" w:space="0" w:color="auto"/>
        <w:left w:val="none" w:sz="0" w:space="0" w:color="auto"/>
        <w:bottom w:val="none" w:sz="0" w:space="0" w:color="auto"/>
        <w:right w:val="none" w:sz="0" w:space="0" w:color="auto"/>
      </w:divBdr>
    </w:div>
    <w:div w:id="911889935">
      <w:bodyDiv w:val="1"/>
      <w:marLeft w:val="0"/>
      <w:marRight w:val="0"/>
      <w:marTop w:val="0"/>
      <w:marBottom w:val="0"/>
      <w:divBdr>
        <w:top w:val="none" w:sz="0" w:space="0" w:color="auto"/>
        <w:left w:val="none" w:sz="0" w:space="0" w:color="auto"/>
        <w:bottom w:val="none" w:sz="0" w:space="0" w:color="auto"/>
        <w:right w:val="none" w:sz="0" w:space="0" w:color="auto"/>
      </w:divBdr>
    </w:div>
    <w:div w:id="917206555">
      <w:bodyDiv w:val="1"/>
      <w:marLeft w:val="0"/>
      <w:marRight w:val="0"/>
      <w:marTop w:val="0"/>
      <w:marBottom w:val="0"/>
      <w:divBdr>
        <w:top w:val="none" w:sz="0" w:space="0" w:color="auto"/>
        <w:left w:val="none" w:sz="0" w:space="0" w:color="auto"/>
        <w:bottom w:val="none" w:sz="0" w:space="0" w:color="auto"/>
        <w:right w:val="none" w:sz="0" w:space="0" w:color="auto"/>
      </w:divBdr>
    </w:div>
    <w:div w:id="921523613">
      <w:bodyDiv w:val="1"/>
      <w:marLeft w:val="0"/>
      <w:marRight w:val="0"/>
      <w:marTop w:val="0"/>
      <w:marBottom w:val="0"/>
      <w:divBdr>
        <w:top w:val="none" w:sz="0" w:space="0" w:color="auto"/>
        <w:left w:val="none" w:sz="0" w:space="0" w:color="auto"/>
        <w:bottom w:val="none" w:sz="0" w:space="0" w:color="auto"/>
        <w:right w:val="none" w:sz="0" w:space="0" w:color="auto"/>
      </w:divBdr>
    </w:div>
    <w:div w:id="924417210">
      <w:bodyDiv w:val="1"/>
      <w:marLeft w:val="0"/>
      <w:marRight w:val="0"/>
      <w:marTop w:val="0"/>
      <w:marBottom w:val="0"/>
      <w:divBdr>
        <w:top w:val="none" w:sz="0" w:space="0" w:color="auto"/>
        <w:left w:val="none" w:sz="0" w:space="0" w:color="auto"/>
        <w:bottom w:val="none" w:sz="0" w:space="0" w:color="auto"/>
        <w:right w:val="none" w:sz="0" w:space="0" w:color="auto"/>
      </w:divBdr>
    </w:div>
    <w:div w:id="937063543">
      <w:bodyDiv w:val="1"/>
      <w:marLeft w:val="0"/>
      <w:marRight w:val="0"/>
      <w:marTop w:val="0"/>
      <w:marBottom w:val="0"/>
      <w:divBdr>
        <w:top w:val="none" w:sz="0" w:space="0" w:color="auto"/>
        <w:left w:val="none" w:sz="0" w:space="0" w:color="auto"/>
        <w:bottom w:val="none" w:sz="0" w:space="0" w:color="auto"/>
        <w:right w:val="none" w:sz="0" w:space="0" w:color="auto"/>
      </w:divBdr>
    </w:div>
    <w:div w:id="938411100">
      <w:bodyDiv w:val="1"/>
      <w:marLeft w:val="0"/>
      <w:marRight w:val="0"/>
      <w:marTop w:val="0"/>
      <w:marBottom w:val="0"/>
      <w:divBdr>
        <w:top w:val="none" w:sz="0" w:space="0" w:color="auto"/>
        <w:left w:val="none" w:sz="0" w:space="0" w:color="auto"/>
        <w:bottom w:val="none" w:sz="0" w:space="0" w:color="auto"/>
        <w:right w:val="none" w:sz="0" w:space="0" w:color="auto"/>
      </w:divBdr>
    </w:div>
    <w:div w:id="941107330">
      <w:bodyDiv w:val="1"/>
      <w:marLeft w:val="0"/>
      <w:marRight w:val="0"/>
      <w:marTop w:val="0"/>
      <w:marBottom w:val="0"/>
      <w:divBdr>
        <w:top w:val="none" w:sz="0" w:space="0" w:color="auto"/>
        <w:left w:val="none" w:sz="0" w:space="0" w:color="auto"/>
        <w:bottom w:val="none" w:sz="0" w:space="0" w:color="auto"/>
        <w:right w:val="none" w:sz="0" w:space="0" w:color="auto"/>
      </w:divBdr>
    </w:div>
    <w:div w:id="948974909">
      <w:bodyDiv w:val="1"/>
      <w:marLeft w:val="0"/>
      <w:marRight w:val="0"/>
      <w:marTop w:val="0"/>
      <w:marBottom w:val="0"/>
      <w:divBdr>
        <w:top w:val="none" w:sz="0" w:space="0" w:color="auto"/>
        <w:left w:val="none" w:sz="0" w:space="0" w:color="auto"/>
        <w:bottom w:val="none" w:sz="0" w:space="0" w:color="auto"/>
        <w:right w:val="none" w:sz="0" w:space="0" w:color="auto"/>
      </w:divBdr>
    </w:div>
    <w:div w:id="970210603">
      <w:bodyDiv w:val="1"/>
      <w:marLeft w:val="0"/>
      <w:marRight w:val="0"/>
      <w:marTop w:val="0"/>
      <w:marBottom w:val="0"/>
      <w:divBdr>
        <w:top w:val="none" w:sz="0" w:space="0" w:color="auto"/>
        <w:left w:val="none" w:sz="0" w:space="0" w:color="auto"/>
        <w:bottom w:val="none" w:sz="0" w:space="0" w:color="auto"/>
        <w:right w:val="none" w:sz="0" w:space="0" w:color="auto"/>
      </w:divBdr>
    </w:div>
    <w:div w:id="970942514">
      <w:bodyDiv w:val="1"/>
      <w:marLeft w:val="0"/>
      <w:marRight w:val="0"/>
      <w:marTop w:val="0"/>
      <w:marBottom w:val="0"/>
      <w:divBdr>
        <w:top w:val="none" w:sz="0" w:space="0" w:color="auto"/>
        <w:left w:val="none" w:sz="0" w:space="0" w:color="auto"/>
        <w:bottom w:val="none" w:sz="0" w:space="0" w:color="auto"/>
        <w:right w:val="none" w:sz="0" w:space="0" w:color="auto"/>
      </w:divBdr>
    </w:div>
    <w:div w:id="972297168">
      <w:bodyDiv w:val="1"/>
      <w:marLeft w:val="0"/>
      <w:marRight w:val="0"/>
      <w:marTop w:val="0"/>
      <w:marBottom w:val="0"/>
      <w:divBdr>
        <w:top w:val="none" w:sz="0" w:space="0" w:color="auto"/>
        <w:left w:val="none" w:sz="0" w:space="0" w:color="auto"/>
        <w:bottom w:val="none" w:sz="0" w:space="0" w:color="auto"/>
        <w:right w:val="none" w:sz="0" w:space="0" w:color="auto"/>
      </w:divBdr>
    </w:div>
    <w:div w:id="976451295">
      <w:bodyDiv w:val="1"/>
      <w:marLeft w:val="0"/>
      <w:marRight w:val="0"/>
      <w:marTop w:val="0"/>
      <w:marBottom w:val="0"/>
      <w:divBdr>
        <w:top w:val="none" w:sz="0" w:space="0" w:color="auto"/>
        <w:left w:val="none" w:sz="0" w:space="0" w:color="auto"/>
        <w:bottom w:val="none" w:sz="0" w:space="0" w:color="auto"/>
        <w:right w:val="none" w:sz="0" w:space="0" w:color="auto"/>
      </w:divBdr>
    </w:div>
    <w:div w:id="978342533">
      <w:bodyDiv w:val="1"/>
      <w:marLeft w:val="0"/>
      <w:marRight w:val="0"/>
      <w:marTop w:val="0"/>
      <w:marBottom w:val="0"/>
      <w:divBdr>
        <w:top w:val="none" w:sz="0" w:space="0" w:color="auto"/>
        <w:left w:val="none" w:sz="0" w:space="0" w:color="auto"/>
        <w:bottom w:val="none" w:sz="0" w:space="0" w:color="auto"/>
        <w:right w:val="none" w:sz="0" w:space="0" w:color="auto"/>
      </w:divBdr>
    </w:div>
    <w:div w:id="979698294">
      <w:bodyDiv w:val="1"/>
      <w:marLeft w:val="0"/>
      <w:marRight w:val="0"/>
      <w:marTop w:val="0"/>
      <w:marBottom w:val="0"/>
      <w:divBdr>
        <w:top w:val="none" w:sz="0" w:space="0" w:color="auto"/>
        <w:left w:val="none" w:sz="0" w:space="0" w:color="auto"/>
        <w:bottom w:val="none" w:sz="0" w:space="0" w:color="auto"/>
        <w:right w:val="none" w:sz="0" w:space="0" w:color="auto"/>
      </w:divBdr>
    </w:div>
    <w:div w:id="986932814">
      <w:bodyDiv w:val="1"/>
      <w:marLeft w:val="0"/>
      <w:marRight w:val="0"/>
      <w:marTop w:val="0"/>
      <w:marBottom w:val="0"/>
      <w:divBdr>
        <w:top w:val="none" w:sz="0" w:space="0" w:color="auto"/>
        <w:left w:val="none" w:sz="0" w:space="0" w:color="auto"/>
        <w:bottom w:val="none" w:sz="0" w:space="0" w:color="auto"/>
        <w:right w:val="none" w:sz="0" w:space="0" w:color="auto"/>
      </w:divBdr>
    </w:div>
    <w:div w:id="992414414">
      <w:bodyDiv w:val="1"/>
      <w:marLeft w:val="0"/>
      <w:marRight w:val="0"/>
      <w:marTop w:val="0"/>
      <w:marBottom w:val="0"/>
      <w:divBdr>
        <w:top w:val="none" w:sz="0" w:space="0" w:color="auto"/>
        <w:left w:val="none" w:sz="0" w:space="0" w:color="auto"/>
        <w:bottom w:val="none" w:sz="0" w:space="0" w:color="auto"/>
        <w:right w:val="none" w:sz="0" w:space="0" w:color="auto"/>
      </w:divBdr>
    </w:div>
    <w:div w:id="1000427248">
      <w:bodyDiv w:val="1"/>
      <w:marLeft w:val="0"/>
      <w:marRight w:val="0"/>
      <w:marTop w:val="0"/>
      <w:marBottom w:val="0"/>
      <w:divBdr>
        <w:top w:val="none" w:sz="0" w:space="0" w:color="auto"/>
        <w:left w:val="none" w:sz="0" w:space="0" w:color="auto"/>
        <w:bottom w:val="none" w:sz="0" w:space="0" w:color="auto"/>
        <w:right w:val="none" w:sz="0" w:space="0" w:color="auto"/>
      </w:divBdr>
    </w:div>
    <w:div w:id="1009874596">
      <w:bodyDiv w:val="1"/>
      <w:marLeft w:val="0"/>
      <w:marRight w:val="0"/>
      <w:marTop w:val="0"/>
      <w:marBottom w:val="0"/>
      <w:divBdr>
        <w:top w:val="none" w:sz="0" w:space="0" w:color="auto"/>
        <w:left w:val="none" w:sz="0" w:space="0" w:color="auto"/>
        <w:bottom w:val="none" w:sz="0" w:space="0" w:color="auto"/>
        <w:right w:val="none" w:sz="0" w:space="0" w:color="auto"/>
      </w:divBdr>
    </w:div>
    <w:div w:id="1013805080">
      <w:bodyDiv w:val="1"/>
      <w:marLeft w:val="0"/>
      <w:marRight w:val="0"/>
      <w:marTop w:val="0"/>
      <w:marBottom w:val="0"/>
      <w:divBdr>
        <w:top w:val="none" w:sz="0" w:space="0" w:color="auto"/>
        <w:left w:val="none" w:sz="0" w:space="0" w:color="auto"/>
        <w:bottom w:val="none" w:sz="0" w:space="0" w:color="auto"/>
        <w:right w:val="none" w:sz="0" w:space="0" w:color="auto"/>
      </w:divBdr>
    </w:div>
    <w:div w:id="1014184476">
      <w:bodyDiv w:val="1"/>
      <w:marLeft w:val="0"/>
      <w:marRight w:val="0"/>
      <w:marTop w:val="0"/>
      <w:marBottom w:val="0"/>
      <w:divBdr>
        <w:top w:val="none" w:sz="0" w:space="0" w:color="auto"/>
        <w:left w:val="none" w:sz="0" w:space="0" w:color="auto"/>
        <w:bottom w:val="none" w:sz="0" w:space="0" w:color="auto"/>
        <w:right w:val="none" w:sz="0" w:space="0" w:color="auto"/>
      </w:divBdr>
    </w:div>
    <w:div w:id="1015962930">
      <w:bodyDiv w:val="1"/>
      <w:marLeft w:val="0"/>
      <w:marRight w:val="0"/>
      <w:marTop w:val="0"/>
      <w:marBottom w:val="0"/>
      <w:divBdr>
        <w:top w:val="none" w:sz="0" w:space="0" w:color="auto"/>
        <w:left w:val="none" w:sz="0" w:space="0" w:color="auto"/>
        <w:bottom w:val="none" w:sz="0" w:space="0" w:color="auto"/>
        <w:right w:val="none" w:sz="0" w:space="0" w:color="auto"/>
      </w:divBdr>
    </w:div>
    <w:div w:id="1022438930">
      <w:bodyDiv w:val="1"/>
      <w:marLeft w:val="0"/>
      <w:marRight w:val="0"/>
      <w:marTop w:val="0"/>
      <w:marBottom w:val="0"/>
      <w:divBdr>
        <w:top w:val="none" w:sz="0" w:space="0" w:color="auto"/>
        <w:left w:val="none" w:sz="0" w:space="0" w:color="auto"/>
        <w:bottom w:val="none" w:sz="0" w:space="0" w:color="auto"/>
        <w:right w:val="none" w:sz="0" w:space="0" w:color="auto"/>
      </w:divBdr>
    </w:div>
    <w:div w:id="1025788993">
      <w:bodyDiv w:val="1"/>
      <w:marLeft w:val="0"/>
      <w:marRight w:val="0"/>
      <w:marTop w:val="0"/>
      <w:marBottom w:val="0"/>
      <w:divBdr>
        <w:top w:val="none" w:sz="0" w:space="0" w:color="auto"/>
        <w:left w:val="none" w:sz="0" w:space="0" w:color="auto"/>
        <w:bottom w:val="none" w:sz="0" w:space="0" w:color="auto"/>
        <w:right w:val="none" w:sz="0" w:space="0" w:color="auto"/>
      </w:divBdr>
    </w:div>
    <w:div w:id="1028063640">
      <w:bodyDiv w:val="1"/>
      <w:marLeft w:val="0"/>
      <w:marRight w:val="0"/>
      <w:marTop w:val="0"/>
      <w:marBottom w:val="0"/>
      <w:divBdr>
        <w:top w:val="none" w:sz="0" w:space="0" w:color="auto"/>
        <w:left w:val="none" w:sz="0" w:space="0" w:color="auto"/>
        <w:bottom w:val="none" w:sz="0" w:space="0" w:color="auto"/>
        <w:right w:val="none" w:sz="0" w:space="0" w:color="auto"/>
      </w:divBdr>
    </w:div>
    <w:div w:id="1038895666">
      <w:bodyDiv w:val="1"/>
      <w:marLeft w:val="0"/>
      <w:marRight w:val="0"/>
      <w:marTop w:val="0"/>
      <w:marBottom w:val="0"/>
      <w:divBdr>
        <w:top w:val="none" w:sz="0" w:space="0" w:color="auto"/>
        <w:left w:val="none" w:sz="0" w:space="0" w:color="auto"/>
        <w:bottom w:val="none" w:sz="0" w:space="0" w:color="auto"/>
        <w:right w:val="none" w:sz="0" w:space="0" w:color="auto"/>
      </w:divBdr>
    </w:div>
    <w:div w:id="1039428559">
      <w:bodyDiv w:val="1"/>
      <w:marLeft w:val="0"/>
      <w:marRight w:val="0"/>
      <w:marTop w:val="0"/>
      <w:marBottom w:val="0"/>
      <w:divBdr>
        <w:top w:val="none" w:sz="0" w:space="0" w:color="auto"/>
        <w:left w:val="none" w:sz="0" w:space="0" w:color="auto"/>
        <w:bottom w:val="none" w:sz="0" w:space="0" w:color="auto"/>
        <w:right w:val="none" w:sz="0" w:space="0" w:color="auto"/>
      </w:divBdr>
    </w:div>
    <w:div w:id="1043409467">
      <w:bodyDiv w:val="1"/>
      <w:marLeft w:val="0"/>
      <w:marRight w:val="0"/>
      <w:marTop w:val="0"/>
      <w:marBottom w:val="0"/>
      <w:divBdr>
        <w:top w:val="none" w:sz="0" w:space="0" w:color="auto"/>
        <w:left w:val="none" w:sz="0" w:space="0" w:color="auto"/>
        <w:bottom w:val="none" w:sz="0" w:space="0" w:color="auto"/>
        <w:right w:val="none" w:sz="0" w:space="0" w:color="auto"/>
      </w:divBdr>
    </w:div>
    <w:div w:id="1044058751">
      <w:bodyDiv w:val="1"/>
      <w:marLeft w:val="0"/>
      <w:marRight w:val="0"/>
      <w:marTop w:val="0"/>
      <w:marBottom w:val="0"/>
      <w:divBdr>
        <w:top w:val="none" w:sz="0" w:space="0" w:color="auto"/>
        <w:left w:val="none" w:sz="0" w:space="0" w:color="auto"/>
        <w:bottom w:val="none" w:sz="0" w:space="0" w:color="auto"/>
        <w:right w:val="none" w:sz="0" w:space="0" w:color="auto"/>
      </w:divBdr>
    </w:div>
    <w:div w:id="1048921391">
      <w:bodyDiv w:val="1"/>
      <w:marLeft w:val="0"/>
      <w:marRight w:val="0"/>
      <w:marTop w:val="0"/>
      <w:marBottom w:val="0"/>
      <w:divBdr>
        <w:top w:val="none" w:sz="0" w:space="0" w:color="auto"/>
        <w:left w:val="none" w:sz="0" w:space="0" w:color="auto"/>
        <w:bottom w:val="none" w:sz="0" w:space="0" w:color="auto"/>
        <w:right w:val="none" w:sz="0" w:space="0" w:color="auto"/>
      </w:divBdr>
    </w:div>
    <w:div w:id="1050230509">
      <w:bodyDiv w:val="1"/>
      <w:marLeft w:val="0"/>
      <w:marRight w:val="0"/>
      <w:marTop w:val="0"/>
      <w:marBottom w:val="0"/>
      <w:divBdr>
        <w:top w:val="none" w:sz="0" w:space="0" w:color="auto"/>
        <w:left w:val="none" w:sz="0" w:space="0" w:color="auto"/>
        <w:bottom w:val="none" w:sz="0" w:space="0" w:color="auto"/>
        <w:right w:val="none" w:sz="0" w:space="0" w:color="auto"/>
      </w:divBdr>
    </w:div>
    <w:div w:id="1051002396">
      <w:bodyDiv w:val="1"/>
      <w:marLeft w:val="0"/>
      <w:marRight w:val="0"/>
      <w:marTop w:val="0"/>
      <w:marBottom w:val="0"/>
      <w:divBdr>
        <w:top w:val="none" w:sz="0" w:space="0" w:color="auto"/>
        <w:left w:val="none" w:sz="0" w:space="0" w:color="auto"/>
        <w:bottom w:val="none" w:sz="0" w:space="0" w:color="auto"/>
        <w:right w:val="none" w:sz="0" w:space="0" w:color="auto"/>
      </w:divBdr>
    </w:div>
    <w:div w:id="1060060604">
      <w:bodyDiv w:val="1"/>
      <w:marLeft w:val="0"/>
      <w:marRight w:val="0"/>
      <w:marTop w:val="0"/>
      <w:marBottom w:val="0"/>
      <w:divBdr>
        <w:top w:val="none" w:sz="0" w:space="0" w:color="auto"/>
        <w:left w:val="none" w:sz="0" w:space="0" w:color="auto"/>
        <w:bottom w:val="none" w:sz="0" w:space="0" w:color="auto"/>
        <w:right w:val="none" w:sz="0" w:space="0" w:color="auto"/>
      </w:divBdr>
    </w:div>
    <w:div w:id="1062562718">
      <w:bodyDiv w:val="1"/>
      <w:marLeft w:val="0"/>
      <w:marRight w:val="0"/>
      <w:marTop w:val="0"/>
      <w:marBottom w:val="0"/>
      <w:divBdr>
        <w:top w:val="none" w:sz="0" w:space="0" w:color="auto"/>
        <w:left w:val="none" w:sz="0" w:space="0" w:color="auto"/>
        <w:bottom w:val="none" w:sz="0" w:space="0" w:color="auto"/>
        <w:right w:val="none" w:sz="0" w:space="0" w:color="auto"/>
      </w:divBdr>
    </w:div>
    <w:div w:id="1062826695">
      <w:bodyDiv w:val="1"/>
      <w:marLeft w:val="0"/>
      <w:marRight w:val="0"/>
      <w:marTop w:val="0"/>
      <w:marBottom w:val="0"/>
      <w:divBdr>
        <w:top w:val="none" w:sz="0" w:space="0" w:color="auto"/>
        <w:left w:val="none" w:sz="0" w:space="0" w:color="auto"/>
        <w:bottom w:val="none" w:sz="0" w:space="0" w:color="auto"/>
        <w:right w:val="none" w:sz="0" w:space="0" w:color="auto"/>
      </w:divBdr>
    </w:div>
    <w:div w:id="1065420823">
      <w:bodyDiv w:val="1"/>
      <w:marLeft w:val="0"/>
      <w:marRight w:val="0"/>
      <w:marTop w:val="0"/>
      <w:marBottom w:val="0"/>
      <w:divBdr>
        <w:top w:val="none" w:sz="0" w:space="0" w:color="auto"/>
        <w:left w:val="none" w:sz="0" w:space="0" w:color="auto"/>
        <w:bottom w:val="none" w:sz="0" w:space="0" w:color="auto"/>
        <w:right w:val="none" w:sz="0" w:space="0" w:color="auto"/>
      </w:divBdr>
    </w:div>
    <w:div w:id="1068767480">
      <w:bodyDiv w:val="1"/>
      <w:marLeft w:val="0"/>
      <w:marRight w:val="0"/>
      <w:marTop w:val="0"/>
      <w:marBottom w:val="0"/>
      <w:divBdr>
        <w:top w:val="none" w:sz="0" w:space="0" w:color="auto"/>
        <w:left w:val="none" w:sz="0" w:space="0" w:color="auto"/>
        <w:bottom w:val="none" w:sz="0" w:space="0" w:color="auto"/>
        <w:right w:val="none" w:sz="0" w:space="0" w:color="auto"/>
      </w:divBdr>
    </w:div>
    <w:div w:id="1068846430">
      <w:bodyDiv w:val="1"/>
      <w:marLeft w:val="0"/>
      <w:marRight w:val="0"/>
      <w:marTop w:val="0"/>
      <w:marBottom w:val="0"/>
      <w:divBdr>
        <w:top w:val="none" w:sz="0" w:space="0" w:color="auto"/>
        <w:left w:val="none" w:sz="0" w:space="0" w:color="auto"/>
        <w:bottom w:val="none" w:sz="0" w:space="0" w:color="auto"/>
        <w:right w:val="none" w:sz="0" w:space="0" w:color="auto"/>
      </w:divBdr>
    </w:div>
    <w:div w:id="1072659085">
      <w:bodyDiv w:val="1"/>
      <w:marLeft w:val="0"/>
      <w:marRight w:val="0"/>
      <w:marTop w:val="0"/>
      <w:marBottom w:val="0"/>
      <w:divBdr>
        <w:top w:val="none" w:sz="0" w:space="0" w:color="auto"/>
        <w:left w:val="none" w:sz="0" w:space="0" w:color="auto"/>
        <w:bottom w:val="none" w:sz="0" w:space="0" w:color="auto"/>
        <w:right w:val="none" w:sz="0" w:space="0" w:color="auto"/>
      </w:divBdr>
    </w:div>
    <w:div w:id="1073310301">
      <w:bodyDiv w:val="1"/>
      <w:marLeft w:val="0"/>
      <w:marRight w:val="0"/>
      <w:marTop w:val="0"/>
      <w:marBottom w:val="0"/>
      <w:divBdr>
        <w:top w:val="none" w:sz="0" w:space="0" w:color="auto"/>
        <w:left w:val="none" w:sz="0" w:space="0" w:color="auto"/>
        <w:bottom w:val="none" w:sz="0" w:space="0" w:color="auto"/>
        <w:right w:val="none" w:sz="0" w:space="0" w:color="auto"/>
      </w:divBdr>
    </w:div>
    <w:div w:id="1076125209">
      <w:bodyDiv w:val="1"/>
      <w:marLeft w:val="0"/>
      <w:marRight w:val="0"/>
      <w:marTop w:val="0"/>
      <w:marBottom w:val="0"/>
      <w:divBdr>
        <w:top w:val="none" w:sz="0" w:space="0" w:color="auto"/>
        <w:left w:val="none" w:sz="0" w:space="0" w:color="auto"/>
        <w:bottom w:val="none" w:sz="0" w:space="0" w:color="auto"/>
        <w:right w:val="none" w:sz="0" w:space="0" w:color="auto"/>
      </w:divBdr>
    </w:div>
    <w:div w:id="1076363376">
      <w:bodyDiv w:val="1"/>
      <w:marLeft w:val="0"/>
      <w:marRight w:val="0"/>
      <w:marTop w:val="0"/>
      <w:marBottom w:val="0"/>
      <w:divBdr>
        <w:top w:val="none" w:sz="0" w:space="0" w:color="auto"/>
        <w:left w:val="none" w:sz="0" w:space="0" w:color="auto"/>
        <w:bottom w:val="none" w:sz="0" w:space="0" w:color="auto"/>
        <w:right w:val="none" w:sz="0" w:space="0" w:color="auto"/>
      </w:divBdr>
    </w:div>
    <w:div w:id="1078677104">
      <w:bodyDiv w:val="1"/>
      <w:marLeft w:val="0"/>
      <w:marRight w:val="0"/>
      <w:marTop w:val="0"/>
      <w:marBottom w:val="0"/>
      <w:divBdr>
        <w:top w:val="none" w:sz="0" w:space="0" w:color="auto"/>
        <w:left w:val="none" w:sz="0" w:space="0" w:color="auto"/>
        <w:bottom w:val="none" w:sz="0" w:space="0" w:color="auto"/>
        <w:right w:val="none" w:sz="0" w:space="0" w:color="auto"/>
      </w:divBdr>
    </w:div>
    <w:div w:id="1079984433">
      <w:bodyDiv w:val="1"/>
      <w:marLeft w:val="0"/>
      <w:marRight w:val="0"/>
      <w:marTop w:val="0"/>
      <w:marBottom w:val="0"/>
      <w:divBdr>
        <w:top w:val="none" w:sz="0" w:space="0" w:color="auto"/>
        <w:left w:val="none" w:sz="0" w:space="0" w:color="auto"/>
        <w:bottom w:val="none" w:sz="0" w:space="0" w:color="auto"/>
        <w:right w:val="none" w:sz="0" w:space="0" w:color="auto"/>
      </w:divBdr>
    </w:div>
    <w:div w:id="1082599923">
      <w:bodyDiv w:val="1"/>
      <w:marLeft w:val="0"/>
      <w:marRight w:val="0"/>
      <w:marTop w:val="0"/>
      <w:marBottom w:val="0"/>
      <w:divBdr>
        <w:top w:val="none" w:sz="0" w:space="0" w:color="auto"/>
        <w:left w:val="none" w:sz="0" w:space="0" w:color="auto"/>
        <w:bottom w:val="none" w:sz="0" w:space="0" w:color="auto"/>
        <w:right w:val="none" w:sz="0" w:space="0" w:color="auto"/>
      </w:divBdr>
    </w:div>
    <w:div w:id="1096483340">
      <w:bodyDiv w:val="1"/>
      <w:marLeft w:val="0"/>
      <w:marRight w:val="0"/>
      <w:marTop w:val="0"/>
      <w:marBottom w:val="0"/>
      <w:divBdr>
        <w:top w:val="none" w:sz="0" w:space="0" w:color="auto"/>
        <w:left w:val="none" w:sz="0" w:space="0" w:color="auto"/>
        <w:bottom w:val="none" w:sz="0" w:space="0" w:color="auto"/>
        <w:right w:val="none" w:sz="0" w:space="0" w:color="auto"/>
      </w:divBdr>
    </w:div>
    <w:div w:id="1101683692">
      <w:bodyDiv w:val="1"/>
      <w:marLeft w:val="0"/>
      <w:marRight w:val="0"/>
      <w:marTop w:val="0"/>
      <w:marBottom w:val="0"/>
      <w:divBdr>
        <w:top w:val="none" w:sz="0" w:space="0" w:color="auto"/>
        <w:left w:val="none" w:sz="0" w:space="0" w:color="auto"/>
        <w:bottom w:val="none" w:sz="0" w:space="0" w:color="auto"/>
        <w:right w:val="none" w:sz="0" w:space="0" w:color="auto"/>
      </w:divBdr>
    </w:div>
    <w:div w:id="1104109045">
      <w:bodyDiv w:val="1"/>
      <w:marLeft w:val="0"/>
      <w:marRight w:val="0"/>
      <w:marTop w:val="0"/>
      <w:marBottom w:val="0"/>
      <w:divBdr>
        <w:top w:val="none" w:sz="0" w:space="0" w:color="auto"/>
        <w:left w:val="none" w:sz="0" w:space="0" w:color="auto"/>
        <w:bottom w:val="none" w:sz="0" w:space="0" w:color="auto"/>
        <w:right w:val="none" w:sz="0" w:space="0" w:color="auto"/>
      </w:divBdr>
    </w:div>
    <w:div w:id="1107387602">
      <w:bodyDiv w:val="1"/>
      <w:marLeft w:val="0"/>
      <w:marRight w:val="0"/>
      <w:marTop w:val="0"/>
      <w:marBottom w:val="0"/>
      <w:divBdr>
        <w:top w:val="none" w:sz="0" w:space="0" w:color="auto"/>
        <w:left w:val="none" w:sz="0" w:space="0" w:color="auto"/>
        <w:bottom w:val="none" w:sz="0" w:space="0" w:color="auto"/>
        <w:right w:val="none" w:sz="0" w:space="0" w:color="auto"/>
      </w:divBdr>
    </w:div>
    <w:div w:id="1109083837">
      <w:bodyDiv w:val="1"/>
      <w:marLeft w:val="0"/>
      <w:marRight w:val="0"/>
      <w:marTop w:val="0"/>
      <w:marBottom w:val="0"/>
      <w:divBdr>
        <w:top w:val="none" w:sz="0" w:space="0" w:color="auto"/>
        <w:left w:val="none" w:sz="0" w:space="0" w:color="auto"/>
        <w:bottom w:val="none" w:sz="0" w:space="0" w:color="auto"/>
        <w:right w:val="none" w:sz="0" w:space="0" w:color="auto"/>
      </w:divBdr>
    </w:div>
    <w:div w:id="1113129844">
      <w:bodyDiv w:val="1"/>
      <w:marLeft w:val="0"/>
      <w:marRight w:val="0"/>
      <w:marTop w:val="0"/>
      <w:marBottom w:val="0"/>
      <w:divBdr>
        <w:top w:val="none" w:sz="0" w:space="0" w:color="auto"/>
        <w:left w:val="none" w:sz="0" w:space="0" w:color="auto"/>
        <w:bottom w:val="none" w:sz="0" w:space="0" w:color="auto"/>
        <w:right w:val="none" w:sz="0" w:space="0" w:color="auto"/>
      </w:divBdr>
    </w:div>
    <w:div w:id="1122043423">
      <w:bodyDiv w:val="1"/>
      <w:marLeft w:val="0"/>
      <w:marRight w:val="0"/>
      <w:marTop w:val="0"/>
      <w:marBottom w:val="0"/>
      <w:divBdr>
        <w:top w:val="none" w:sz="0" w:space="0" w:color="auto"/>
        <w:left w:val="none" w:sz="0" w:space="0" w:color="auto"/>
        <w:bottom w:val="none" w:sz="0" w:space="0" w:color="auto"/>
        <w:right w:val="none" w:sz="0" w:space="0" w:color="auto"/>
      </w:divBdr>
    </w:div>
    <w:div w:id="1122917291">
      <w:bodyDiv w:val="1"/>
      <w:marLeft w:val="0"/>
      <w:marRight w:val="0"/>
      <w:marTop w:val="0"/>
      <w:marBottom w:val="0"/>
      <w:divBdr>
        <w:top w:val="none" w:sz="0" w:space="0" w:color="auto"/>
        <w:left w:val="none" w:sz="0" w:space="0" w:color="auto"/>
        <w:bottom w:val="none" w:sz="0" w:space="0" w:color="auto"/>
        <w:right w:val="none" w:sz="0" w:space="0" w:color="auto"/>
      </w:divBdr>
    </w:div>
    <w:div w:id="1130632360">
      <w:bodyDiv w:val="1"/>
      <w:marLeft w:val="0"/>
      <w:marRight w:val="0"/>
      <w:marTop w:val="0"/>
      <w:marBottom w:val="0"/>
      <w:divBdr>
        <w:top w:val="none" w:sz="0" w:space="0" w:color="auto"/>
        <w:left w:val="none" w:sz="0" w:space="0" w:color="auto"/>
        <w:bottom w:val="none" w:sz="0" w:space="0" w:color="auto"/>
        <w:right w:val="none" w:sz="0" w:space="0" w:color="auto"/>
      </w:divBdr>
    </w:div>
    <w:div w:id="1133131956">
      <w:bodyDiv w:val="1"/>
      <w:marLeft w:val="0"/>
      <w:marRight w:val="0"/>
      <w:marTop w:val="0"/>
      <w:marBottom w:val="0"/>
      <w:divBdr>
        <w:top w:val="none" w:sz="0" w:space="0" w:color="auto"/>
        <w:left w:val="none" w:sz="0" w:space="0" w:color="auto"/>
        <w:bottom w:val="none" w:sz="0" w:space="0" w:color="auto"/>
        <w:right w:val="none" w:sz="0" w:space="0" w:color="auto"/>
      </w:divBdr>
    </w:div>
    <w:div w:id="1141070114">
      <w:bodyDiv w:val="1"/>
      <w:marLeft w:val="0"/>
      <w:marRight w:val="0"/>
      <w:marTop w:val="0"/>
      <w:marBottom w:val="0"/>
      <w:divBdr>
        <w:top w:val="none" w:sz="0" w:space="0" w:color="auto"/>
        <w:left w:val="none" w:sz="0" w:space="0" w:color="auto"/>
        <w:bottom w:val="none" w:sz="0" w:space="0" w:color="auto"/>
        <w:right w:val="none" w:sz="0" w:space="0" w:color="auto"/>
      </w:divBdr>
    </w:div>
    <w:div w:id="1142888750">
      <w:bodyDiv w:val="1"/>
      <w:marLeft w:val="0"/>
      <w:marRight w:val="0"/>
      <w:marTop w:val="0"/>
      <w:marBottom w:val="0"/>
      <w:divBdr>
        <w:top w:val="none" w:sz="0" w:space="0" w:color="auto"/>
        <w:left w:val="none" w:sz="0" w:space="0" w:color="auto"/>
        <w:bottom w:val="none" w:sz="0" w:space="0" w:color="auto"/>
        <w:right w:val="none" w:sz="0" w:space="0" w:color="auto"/>
      </w:divBdr>
    </w:div>
    <w:div w:id="1147430893">
      <w:bodyDiv w:val="1"/>
      <w:marLeft w:val="0"/>
      <w:marRight w:val="0"/>
      <w:marTop w:val="0"/>
      <w:marBottom w:val="0"/>
      <w:divBdr>
        <w:top w:val="none" w:sz="0" w:space="0" w:color="auto"/>
        <w:left w:val="none" w:sz="0" w:space="0" w:color="auto"/>
        <w:bottom w:val="none" w:sz="0" w:space="0" w:color="auto"/>
        <w:right w:val="none" w:sz="0" w:space="0" w:color="auto"/>
      </w:divBdr>
    </w:div>
    <w:div w:id="1147744683">
      <w:bodyDiv w:val="1"/>
      <w:marLeft w:val="0"/>
      <w:marRight w:val="0"/>
      <w:marTop w:val="0"/>
      <w:marBottom w:val="0"/>
      <w:divBdr>
        <w:top w:val="none" w:sz="0" w:space="0" w:color="auto"/>
        <w:left w:val="none" w:sz="0" w:space="0" w:color="auto"/>
        <w:bottom w:val="none" w:sz="0" w:space="0" w:color="auto"/>
        <w:right w:val="none" w:sz="0" w:space="0" w:color="auto"/>
      </w:divBdr>
    </w:div>
    <w:div w:id="1147892675">
      <w:bodyDiv w:val="1"/>
      <w:marLeft w:val="0"/>
      <w:marRight w:val="0"/>
      <w:marTop w:val="0"/>
      <w:marBottom w:val="0"/>
      <w:divBdr>
        <w:top w:val="none" w:sz="0" w:space="0" w:color="auto"/>
        <w:left w:val="none" w:sz="0" w:space="0" w:color="auto"/>
        <w:bottom w:val="none" w:sz="0" w:space="0" w:color="auto"/>
        <w:right w:val="none" w:sz="0" w:space="0" w:color="auto"/>
      </w:divBdr>
    </w:div>
    <w:div w:id="1149977683">
      <w:bodyDiv w:val="1"/>
      <w:marLeft w:val="0"/>
      <w:marRight w:val="0"/>
      <w:marTop w:val="0"/>
      <w:marBottom w:val="0"/>
      <w:divBdr>
        <w:top w:val="none" w:sz="0" w:space="0" w:color="auto"/>
        <w:left w:val="none" w:sz="0" w:space="0" w:color="auto"/>
        <w:bottom w:val="none" w:sz="0" w:space="0" w:color="auto"/>
        <w:right w:val="none" w:sz="0" w:space="0" w:color="auto"/>
      </w:divBdr>
    </w:div>
    <w:div w:id="1154101230">
      <w:bodyDiv w:val="1"/>
      <w:marLeft w:val="0"/>
      <w:marRight w:val="0"/>
      <w:marTop w:val="0"/>
      <w:marBottom w:val="0"/>
      <w:divBdr>
        <w:top w:val="none" w:sz="0" w:space="0" w:color="auto"/>
        <w:left w:val="none" w:sz="0" w:space="0" w:color="auto"/>
        <w:bottom w:val="none" w:sz="0" w:space="0" w:color="auto"/>
        <w:right w:val="none" w:sz="0" w:space="0" w:color="auto"/>
      </w:divBdr>
    </w:div>
    <w:div w:id="1154299333">
      <w:bodyDiv w:val="1"/>
      <w:marLeft w:val="0"/>
      <w:marRight w:val="0"/>
      <w:marTop w:val="0"/>
      <w:marBottom w:val="0"/>
      <w:divBdr>
        <w:top w:val="none" w:sz="0" w:space="0" w:color="auto"/>
        <w:left w:val="none" w:sz="0" w:space="0" w:color="auto"/>
        <w:bottom w:val="none" w:sz="0" w:space="0" w:color="auto"/>
        <w:right w:val="none" w:sz="0" w:space="0" w:color="auto"/>
      </w:divBdr>
    </w:div>
    <w:div w:id="1156409392">
      <w:bodyDiv w:val="1"/>
      <w:marLeft w:val="0"/>
      <w:marRight w:val="0"/>
      <w:marTop w:val="0"/>
      <w:marBottom w:val="0"/>
      <w:divBdr>
        <w:top w:val="none" w:sz="0" w:space="0" w:color="auto"/>
        <w:left w:val="none" w:sz="0" w:space="0" w:color="auto"/>
        <w:bottom w:val="none" w:sz="0" w:space="0" w:color="auto"/>
        <w:right w:val="none" w:sz="0" w:space="0" w:color="auto"/>
      </w:divBdr>
    </w:div>
    <w:div w:id="1161695041">
      <w:bodyDiv w:val="1"/>
      <w:marLeft w:val="0"/>
      <w:marRight w:val="0"/>
      <w:marTop w:val="0"/>
      <w:marBottom w:val="0"/>
      <w:divBdr>
        <w:top w:val="none" w:sz="0" w:space="0" w:color="auto"/>
        <w:left w:val="none" w:sz="0" w:space="0" w:color="auto"/>
        <w:bottom w:val="none" w:sz="0" w:space="0" w:color="auto"/>
        <w:right w:val="none" w:sz="0" w:space="0" w:color="auto"/>
      </w:divBdr>
    </w:div>
    <w:div w:id="1162308140">
      <w:bodyDiv w:val="1"/>
      <w:marLeft w:val="0"/>
      <w:marRight w:val="0"/>
      <w:marTop w:val="0"/>
      <w:marBottom w:val="0"/>
      <w:divBdr>
        <w:top w:val="none" w:sz="0" w:space="0" w:color="auto"/>
        <w:left w:val="none" w:sz="0" w:space="0" w:color="auto"/>
        <w:bottom w:val="none" w:sz="0" w:space="0" w:color="auto"/>
        <w:right w:val="none" w:sz="0" w:space="0" w:color="auto"/>
      </w:divBdr>
    </w:div>
    <w:div w:id="1170683625">
      <w:bodyDiv w:val="1"/>
      <w:marLeft w:val="0"/>
      <w:marRight w:val="0"/>
      <w:marTop w:val="0"/>
      <w:marBottom w:val="0"/>
      <w:divBdr>
        <w:top w:val="none" w:sz="0" w:space="0" w:color="auto"/>
        <w:left w:val="none" w:sz="0" w:space="0" w:color="auto"/>
        <w:bottom w:val="none" w:sz="0" w:space="0" w:color="auto"/>
        <w:right w:val="none" w:sz="0" w:space="0" w:color="auto"/>
      </w:divBdr>
    </w:div>
    <w:div w:id="1172530715">
      <w:bodyDiv w:val="1"/>
      <w:marLeft w:val="0"/>
      <w:marRight w:val="0"/>
      <w:marTop w:val="0"/>
      <w:marBottom w:val="0"/>
      <w:divBdr>
        <w:top w:val="none" w:sz="0" w:space="0" w:color="auto"/>
        <w:left w:val="none" w:sz="0" w:space="0" w:color="auto"/>
        <w:bottom w:val="none" w:sz="0" w:space="0" w:color="auto"/>
        <w:right w:val="none" w:sz="0" w:space="0" w:color="auto"/>
      </w:divBdr>
    </w:div>
    <w:div w:id="1174415088">
      <w:bodyDiv w:val="1"/>
      <w:marLeft w:val="0"/>
      <w:marRight w:val="0"/>
      <w:marTop w:val="0"/>
      <w:marBottom w:val="0"/>
      <w:divBdr>
        <w:top w:val="none" w:sz="0" w:space="0" w:color="auto"/>
        <w:left w:val="none" w:sz="0" w:space="0" w:color="auto"/>
        <w:bottom w:val="none" w:sz="0" w:space="0" w:color="auto"/>
        <w:right w:val="none" w:sz="0" w:space="0" w:color="auto"/>
      </w:divBdr>
    </w:div>
    <w:div w:id="1180051326">
      <w:bodyDiv w:val="1"/>
      <w:marLeft w:val="0"/>
      <w:marRight w:val="0"/>
      <w:marTop w:val="0"/>
      <w:marBottom w:val="0"/>
      <w:divBdr>
        <w:top w:val="none" w:sz="0" w:space="0" w:color="auto"/>
        <w:left w:val="none" w:sz="0" w:space="0" w:color="auto"/>
        <w:bottom w:val="none" w:sz="0" w:space="0" w:color="auto"/>
        <w:right w:val="none" w:sz="0" w:space="0" w:color="auto"/>
      </w:divBdr>
    </w:div>
    <w:div w:id="1190527990">
      <w:bodyDiv w:val="1"/>
      <w:marLeft w:val="0"/>
      <w:marRight w:val="0"/>
      <w:marTop w:val="0"/>
      <w:marBottom w:val="0"/>
      <w:divBdr>
        <w:top w:val="none" w:sz="0" w:space="0" w:color="auto"/>
        <w:left w:val="none" w:sz="0" w:space="0" w:color="auto"/>
        <w:bottom w:val="none" w:sz="0" w:space="0" w:color="auto"/>
        <w:right w:val="none" w:sz="0" w:space="0" w:color="auto"/>
      </w:divBdr>
    </w:div>
    <w:div w:id="1194921005">
      <w:bodyDiv w:val="1"/>
      <w:marLeft w:val="0"/>
      <w:marRight w:val="0"/>
      <w:marTop w:val="0"/>
      <w:marBottom w:val="0"/>
      <w:divBdr>
        <w:top w:val="none" w:sz="0" w:space="0" w:color="auto"/>
        <w:left w:val="none" w:sz="0" w:space="0" w:color="auto"/>
        <w:bottom w:val="none" w:sz="0" w:space="0" w:color="auto"/>
        <w:right w:val="none" w:sz="0" w:space="0" w:color="auto"/>
      </w:divBdr>
    </w:div>
    <w:div w:id="1196043227">
      <w:bodyDiv w:val="1"/>
      <w:marLeft w:val="0"/>
      <w:marRight w:val="0"/>
      <w:marTop w:val="0"/>
      <w:marBottom w:val="0"/>
      <w:divBdr>
        <w:top w:val="none" w:sz="0" w:space="0" w:color="auto"/>
        <w:left w:val="none" w:sz="0" w:space="0" w:color="auto"/>
        <w:bottom w:val="none" w:sz="0" w:space="0" w:color="auto"/>
        <w:right w:val="none" w:sz="0" w:space="0" w:color="auto"/>
      </w:divBdr>
    </w:div>
    <w:div w:id="1196230483">
      <w:bodyDiv w:val="1"/>
      <w:marLeft w:val="0"/>
      <w:marRight w:val="0"/>
      <w:marTop w:val="0"/>
      <w:marBottom w:val="0"/>
      <w:divBdr>
        <w:top w:val="none" w:sz="0" w:space="0" w:color="auto"/>
        <w:left w:val="none" w:sz="0" w:space="0" w:color="auto"/>
        <w:bottom w:val="none" w:sz="0" w:space="0" w:color="auto"/>
        <w:right w:val="none" w:sz="0" w:space="0" w:color="auto"/>
      </w:divBdr>
    </w:div>
    <w:div w:id="1196580163">
      <w:bodyDiv w:val="1"/>
      <w:marLeft w:val="0"/>
      <w:marRight w:val="0"/>
      <w:marTop w:val="0"/>
      <w:marBottom w:val="0"/>
      <w:divBdr>
        <w:top w:val="none" w:sz="0" w:space="0" w:color="auto"/>
        <w:left w:val="none" w:sz="0" w:space="0" w:color="auto"/>
        <w:bottom w:val="none" w:sz="0" w:space="0" w:color="auto"/>
        <w:right w:val="none" w:sz="0" w:space="0" w:color="auto"/>
      </w:divBdr>
    </w:div>
    <w:div w:id="1201744200">
      <w:bodyDiv w:val="1"/>
      <w:marLeft w:val="0"/>
      <w:marRight w:val="0"/>
      <w:marTop w:val="0"/>
      <w:marBottom w:val="0"/>
      <w:divBdr>
        <w:top w:val="none" w:sz="0" w:space="0" w:color="auto"/>
        <w:left w:val="none" w:sz="0" w:space="0" w:color="auto"/>
        <w:bottom w:val="none" w:sz="0" w:space="0" w:color="auto"/>
        <w:right w:val="none" w:sz="0" w:space="0" w:color="auto"/>
      </w:divBdr>
    </w:div>
    <w:div w:id="1203831614">
      <w:bodyDiv w:val="1"/>
      <w:marLeft w:val="0"/>
      <w:marRight w:val="0"/>
      <w:marTop w:val="0"/>
      <w:marBottom w:val="0"/>
      <w:divBdr>
        <w:top w:val="none" w:sz="0" w:space="0" w:color="auto"/>
        <w:left w:val="none" w:sz="0" w:space="0" w:color="auto"/>
        <w:bottom w:val="none" w:sz="0" w:space="0" w:color="auto"/>
        <w:right w:val="none" w:sz="0" w:space="0" w:color="auto"/>
      </w:divBdr>
    </w:div>
    <w:div w:id="1205941229">
      <w:bodyDiv w:val="1"/>
      <w:marLeft w:val="0"/>
      <w:marRight w:val="0"/>
      <w:marTop w:val="0"/>
      <w:marBottom w:val="0"/>
      <w:divBdr>
        <w:top w:val="none" w:sz="0" w:space="0" w:color="auto"/>
        <w:left w:val="none" w:sz="0" w:space="0" w:color="auto"/>
        <w:bottom w:val="none" w:sz="0" w:space="0" w:color="auto"/>
        <w:right w:val="none" w:sz="0" w:space="0" w:color="auto"/>
      </w:divBdr>
    </w:div>
    <w:div w:id="1205949284">
      <w:bodyDiv w:val="1"/>
      <w:marLeft w:val="0"/>
      <w:marRight w:val="0"/>
      <w:marTop w:val="0"/>
      <w:marBottom w:val="0"/>
      <w:divBdr>
        <w:top w:val="none" w:sz="0" w:space="0" w:color="auto"/>
        <w:left w:val="none" w:sz="0" w:space="0" w:color="auto"/>
        <w:bottom w:val="none" w:sz="0" w:space="0" w:color="auto"/>
        <w:right w:val="none" w:sz="0" w:space="0" w:color="auto"/>
      </w:divBdr>
    </w:div>
    <w:div w:id="1216507331">
      <w:bodyDiv w:val="1"/>
      <w:marLeft w:val="0"/>
      <w:marRight w:val="0"/>
      <w:marTop w:val="0"/>
      <w:marBottom w:val="0"/>
      <w:divBdr>
        <w:top w:val="none" w:sz="0" w:space="0" w:color="auto"/>
        <w:left w:val="none" w:sz="0" w:space="0" w:color="auto"/>
        <w:bottom w:val="none" w:sz="0" w:space="0" w:color="auto"/>
        <w:right w:val="none" w:sz="0" w:space="0" w:color="auto"/>
      </w:divBdr>
    </w:div>
    <w:div w:id="1219197891">
      <w:bodyDiv w:val="1"/>
      <w:marLeft w:val="0"/>
      <w:marRight w:val="0"/>
      <w:marTop w:val="0"/>
      <w:marBottom w:val="0"/>
      <w:divBdr>
        <w:top w:val="none" w:sz="0" w:space="0" w:color="auto"/>
        <w:left w:val="none" w:sz="0" w:space="0" w:color="auto"/>
        <w:bottom w:val="none" w:sz="0" w:space="0" w:color="auto"/>
        <w:right w:val="none" w:sz="0" w:space="0" w:color="auto"/>
      </w:divBdr>
    </w:div>
    <w:div w:id="1233927056">
      <w:bodyDiv w:val="1"/>
      <w:marLeft w:val="0"/>
      <w:marRight w:val="0"/>
      <w:marTop w:val="0"/>
      <w:marBottom w:val="0"/>
      <w:divBdr>
        <w:top w:val="none" w:sz="0" w:space="0" w:color="auto"/>
        <w:left w:val="none" w:sz="0" w:space="0" w:color="auto"/>
        <w:bottom w:val="none" w:sz="0" w:space="0" w:color="auto"/>
        <w:right w:val="none" w:sz="0" w:space="0" w:color="auto"/>
      </w:divBdr>
    </w:div>
    <w:div w:id="1239900846">
      <w:bodyDiv w:val="1"/>
      <w:marLeft w:val="0"/>
      <w:marRight w:val="0"/>
      <w:marTop w:val="0"/>
      <w:marBottom w:val="0"/>
      <w:divBdr>
        <w:top w:val="none" w:sz="0" w:space="0" w:color="auto"/>
        <w:left w:val="none" w:sz="0" w:space="0" w:color="auto"/>
        <w:bottom w:val="none" w:sz="0" w:space="0" w:color="auto"/>
        <w:right w:val="none" w:sz="0" w:space="0" w:color="auto"/>
      </w:divBdr>
    </w:div>
    <w:div w:id="1241791591">
      <w:bodyDiv w:val="1"/>
      <w:marLeft w:val="0"/>
      <w:marRight w:val="0"/>
      <w:marTop w:val="0"/>
      <w:marBottom w:val="0"/>
      <w:divBdr>
        <w:top w:val="none" w:sz="0" w:space="0" w:color="auto"/>
        <w:left w:val="none" w:sz="0" w:space="0" w:color="auto"/>
        <w:bottom w:val="none" w:sz="0" w:space="0" w:color="auto"/>
        <w:right w:val="none" w:sz="0" w:space="0" w:color="auto"/>
      </w:divBdr>
    </w:div>
    <w:div w:id="1244409944">
      <w:bodyDiv w:val="1"/>
      <w:marLeft w:val="0"/>
      <w:marRight w:val="0"/>
      <w:marTop w:val="0"/>
      <w:marBottom w:val="0"/>
      <w:divBdr>
        <w:top w:val="none" w:sz="0" w:space="0" w:color="auto"/>
        <w:left w:val="none" w:sz="0" w:space="0" w:color="auto"/>
        <w:bottom w:val="none" w:sz="0" w:space="0" w:color="auto"/>
        <w:right w:val="none" w:sz="0" w:space="0" w:color="auto"/>
      </w:divBdr>
    </w:div>
    <w:div w:id="1245989861">
      <w:bodyDiv w:val="1"/>
      <w:marLeft w:val="0"/>
      <w:marRight w:val="0"/>
      <w:marTop w:val="0"/>
      <w:marBottom w:val="0"/>
      <w:divBdr>
        <w:top w:val="none" w:sz="0" w:space="0" w:color="auto"/>
        <w:left w:val="none" w:sz="0" w:space="0" w:color="auto"/>
        <w:bottom w:val="none" w:sz="0" w:space="0" w:color="auto"/>
        <w:right w:val="none" w:sz="0" w:space="0" w:color="auto"/>
      </w:divBdr>
    </w:div>
    <w:div w:id="1259363837">
      <w:bodyDiv w:val="1"/>
      <w:marLeft w:val="0"/>
      <w:marRight w:val="0"/>
      <w:marTop w:val="0"/>
      <w:marBottom w:val="0"/>
      <w:divBdr>
        <w:top w:val="none" w:sz="0" w:space="0" w:color="auto"/>
        <w:left w:val="none" w:sz="0" w:space="0" w:color="auto"/>
        <w:bottom w:val="none" w:sz="0" w:space="0" w:color="auto"/>
        <w:right w:val="none" w:sz="0" w:space="0" w:color="auto"/>
      </w:divBdr>
    </w:div>
    <w:div w:id="1262638313">
      <w:bodyDiv w:val="1"/>
      <w:marLeft w:val="0"/>
      <w:marRight w:val="0"/>
      <w:marTop w:val="0"/>
      <w:marBottom w:val="0"/>
      <w:divBdr>
        <w:top w:val="none" w:sz="0" w:space="0" w:color="auto"/>
        <w:left w:val="none" w:sz="0" w:space="0" w:color="auto"/>
        <w:bottom w:val="none" w:sz="0" w:space="0" w:color="auto"/>
        <w:right w:val="none" w:sz="0" w:space="0" w:color="auto"/>
      </w:divBdr>
    </w:div>
    <w:div w:id="1262682605">
      <w:bodyDiv w:val="1"/>
      <w:marLeft w:val="0"/>
      <w:marRight w:val="0"/>
      <w:marTop w:val="0"/>
      <w:marBottom w:val="0"/>
      <w:divBdr>
        <w:top w:val="none" w:sz="0" w:space="0" w:color="auto"/>
        <w:left w:val="none" w:sz="0" w:space="0" w:color="auto"/>
        <w:bottom w:val="none" w:sz="0" w:space="0" w:color="auto"/>
        <w:right w:val="none" w:sz="0" w:space="0" w:color="auto"/>
      </w:divBdr>
    </w:div>
    <w:div w:id="1265377980">
      <w:bodyDiv w:val="1"/>
      <w:marLeft w:val="0"/>
      <w:marRight w:val="0"/>
      <w:marTop w:val="0"/>
      <w:marBottom w:val="0"/>
      <w:divBdr>
        <w:top w:val="none" w:sz="0" w:space="0" w:color="auto"/>
        <w:left w:val="none" w:sz="0" w:space="0" w:color="auto"/>
        <w:bottom w:val="none" w:sz="0" w:space="0" w:color="auto"/>
        <w:right w:val="none" w:sz="0" w:space="0" w:color="auto"/>
      </w:divBdr>
    </w:div>
    <w:div w:id="1265579617">
      <w:bodyDiv w:val="1"/>
      <w:marLeft w:val="0"/>
      <w:marRight w:val="0"/>
      <w:marTop w:val="0"/>
      <w:marBottom w:val="0"/>
      <w:divBdr>
        <w:top w:val="none" w:sz="0" w:space="0" w:color="auto"/>
        <w:left w:val="none" w:sz="0" w:space="0" w:color="auto"/>
        <w:bottom w:val="none" w:sz="0" w:space="0" w:color="auto"/>
        <w:right w:val="none" w:sz="0" w:space="0" w:color="auto"/>
      </w:divBdr>
    </w:div>
    <w:div w:id="1268545007">
      <w:bodyDiv w:val="1"/>
      <w:marLeft w:val="0"/>
      <w:marRight w:val="0"/>
      <w:marTop w:val="0"/>
      <w:marBottom w:val="0"/>
      <w:divBdr>
        <w:top w:val="none" w:sz="0" w:space="0" w:color="auto"/>
        <w:left w:val="none" w:sz="0" w:space="0" w:color="auto"/>
        <w:bottom w:val="none" w:sz="0" w:space="0" w:color="auto"/>
        <w:right w:val="none" w:sz="0" w:space="0" w:color="auto"/>
      </w:divBdr>
    </w:div>
    <w:div w:id="1272320174">
      <w:bodyDiv w:val="1"/>
      <w:marLeft w:val="0"/>
      <w:marRight w:val="0"/>
      <w:marTop w:val="0"/>
      <w:marBottom w:val="0"/>
      <w:divBdr>
        <w:top w:val="none" w:sz="0" w:space="0" w:color="auto"/>
        <w:left w:val="none" w:sz="0" w:space="0" w:color="auto"/>
        <w:bottom w:val="none" w:sz="0" w:space="0" w:color="auto"/>
        <w:right w:val="none" w:sz="0" w:space="0" w:color="auto"/>
      </w:divBdr>
    </w:div>
    <w:div w:id="1279339846">
      <w:bodyDiv w:val="1"/>
      <w:marLeft w:val="0"/>
      <w:marRight w:val="0"/>
      <w:marTop w:val="0"/>
      <w:marBottom w:val="0"/>
      <w:divBdr>
        <w:top w:val="none" w:sz="0" w:space="0" w:color="auto"/>
        <w:left w:val="none" w:sz="0" w:space="0" w:color="auto"/>
        <w:bottom w:val="none" w:sz="0" w:space="0" w:color="auto"/>
        <w:right w:val="none" w:sz="0" w:space="0" w:color="auto"/>
      </w:divBdr>
    </w:div>
    <w:div w:id="1280527007">
      <w:bodyDiv w:val="1"/>
      <w:marLeft w:val="0"/>
      <w:marRight w:val="0"/>
      <w:marTop w:val="0"/>
      <w:marBottom w:val="0"/>
      <w:divBdr>
        <w:top w:val="none" w:sz="0" w:space="0" w:color="auto"/>
        <w:left w:val="none" w:sz="0" w:space="0" w:color="auto"/>
        <w:bottom w:val="none" w:sz="0" w:space="0" w:color="auto"/>
        <w:right w:val="none" w:sz="0" w:space="0" w:color="auto"/>
      </w:divBdr>
    </w:div>
    <w:div w:id="1282222908">
      <w:bodyDiv w:val="1"/>
      <w:marLeft w:val="0"/>
      <w:marRight w:val="0"/>
      <w:marTop w:val="0"/>
      <w:marBottom w:val="0"/>
      <w:divBdr>
        <w:top w:val="none" w:sz="0" w:space="0" w:color="auto"/>
        <w:left w:val="none" w:sz="0" w:space="0" w:color="auto"/>
        <w:bottom w:val="none" w:sz="0" w:space="0" w:color="auto"/>
        <w:right w:val="none" w:sz="0" w:space="0" w:color="auto"/>
      </w:divBdr>
    </w:div>
    <w:div w:id="1290278124">
      <w:bodyDiv w:val="1"/>
      <w:marLeft w:val="0"/>
      <w:marRight w:val="0"/>
      <w:marTop w:val="0"/>
      <w:marBottom w:val="0"/>
      <w:divBdr>
        <w:top w:val="none" w:sz="0" w:space="0" w:color="auto"/>
        <w:left w:val="none" w:sz="0" w:space="0" w:color="auto"/>
        <w:bottom w:val="none" w:sz="0" w:space="0" w:color="auto"/>
        <w:right w:val="none" w:sz="0" w:space="0" w:color="auto"/>
      </w:divBdr>
    </w:div>
    <w:div w:id="1292900143">
      <w:bodyDiv w:val="1"/>
      <w:marLeft w:val="0"/>
      <w:marRight w:val="0"/>
      <w:marTop w:val="0"/>
      <w:marBottom w:val="0"/>
      <w:divBdr>
        <w:top w:val="none" w:sz="0" w:space="0" w:color="auto"/>
        <w:left w:val="none" w:sz="0" w:space="0" w:color="auto"/>
        <w:bottom w:val="none" w:sz="0" w:space="0" w:color="auto"/>
        <w:right w:val="none" w:sz="0" w:space="0" w:color="auto"/>
      </w:divBdr>
    </w:div>
    <w:div w:id="1293635828">
      <w:bodyDiv w:val="1"/>
      <w:marLeft w:val="0"/>
      <w:marRight w:val="0"/>
      <w:marTop w:val="0"/>
      <w:marBottom w:val="0"/>
      <w:divBdr>
        <w:top w:val="none" w:sz="0" w:space="0" w:color="auto"/>
        <w:left w:val="none" w:sz="0" w:space="0" w:color="auto"/>
        <w:bottom w:val="none" w:sz="0" w:space="0" w:color="auto"/>
        <w:right w:val="none" w:sz="0" w:space="0" w:color="auto"/>
      </w:divBdr>
    </w:div>
    <w:div w:id="1294827441">
      <w:bodyDiv w:val="1"/>
      <w:marLeft w:val="0"/>
      <w:marRight w:val="0"/>
      <w:marTop w:val="0"/>
      <w:marBottom w:val="0"/>
      <w:divBdr>
        <w:top w:val="none" w:sz="0" w:space="0" w:color="auto"/>
        <w:left w:val="none" w:sz="0" w:space="0" w:color="auto"/>
        <w:bottom w:val="none" w:sz="0" w:space="0" w:color="auto"/>
        <w:right w:val="none" w:sz="0" w:space="0" w:color="auto"/>
      </w:divBdr>
    </w:div>
    <w:div w:id="1300725331">
      <w:bodyDiv w:val="1"/>
      <w:marLeft w:val="0"/>
      <w:marRight w:val="0"/>
      <w:marTop w:val="0"/>
      <w:marBottom w:val="0"/>
      <w:divBdr>
        <w:top w:val="none" w:sz="0" w:space="0" w:color="auto"/>
        <w:left w:val="none" w:sz="0" w:space="0" w:color="auto"/>
        <w:bottom w:val="none" w:sz="0" w:space="0" w:color="auto"/>
        <w:right w:val="none" w:sz="0" w:space="0" w:color="auto"/>
      </w:divBdr>
    </w:div>
    <w:div w:id="1302542851">
      <w:bodyDiv w:val="1"/>
      <w:marLeft w:val="0"/>
      <w:marRight w:val="0"/>
      <w:marTop w:val="0"/>
      <w:marBottom w:val="0"/>
      <w:divBdr>
        <w:top w:val="none" w:sz="0" w:space="0" w:color="auto"/>
        <w:left w:val="none" w:sz="0" w:space="0" w:color="auto"/>
        <w:bottom w:val="none" w:sz="0" w:space="0" w:color="auto"/>
        <w:right w:val="none" w:sz="0" w:space="0" w:color="auto"/>
      </w:divBdr>
    </w:div>
    <w:div w:id="1304311493">
      <w:bodyDiv w:val="1"/>
      <w:marLeft w:val="0"/>
      <w:marRight w:val="0"/>
      <w:marTop w:val="0"/>
      <w:marBottom w:val="0"/>
      <w:divBdr>
        <w:top w:val="none" w:sz="0" w:space="0" w:color="auto"/>
        <w:left w:val="none" w:sz="0" w:space="0" w:color="auto"/>
        <w:bottom w:val="none" w:sz="0" w:space="0" w:color="auto"/>
        <w:right w:val="none" w:sz="0" w:space="0" w:color="auto"/>
      </w:divBdr>
    </w:div>
    <w:div w:id="1305239295">
      <w:bodyDiv w:val="1"/>
      <w:marLeft w:val="0"/>
      <w:marRight w:val="0"/>
      <w:marTop w:val="0"/>
      <w:marBottom w:val="0"/>
      <w:divBdr>
        <w:top w:val="none" w:sz="0" w:space="0" w:color="auto"/>
        <w:left w:val="none" w:sz="0" w:space="0" w:color="auto"/>
        <w:bottom w:val="none" w:sz="0" w:space="0" w:color="auto"/>
        <w:right w:val="none" w:sz="0" w:space="0" w:color="auto"/>
      </w:divBdr>
    </w:div>
    <w:div w:id="1306011443">
      <w:bodyDiv w:val="1"/>
      <w:marLeft w:val="0"/>
      <w:marRight w:val="0"/>
      <w:marTop w:val="0"/>
      <w:marBottom w:val="0"/>
      <w:divBdr>
        <w:top w:val="none" w:sz="0" w:space="0" w:color="auto"/>
        <w:left w:val="none" w:sz="0" w:space="0" w:color="auto"/>
        <w:bottom w:val="none" w:sz="0" w:space="0" w:color="auto"/>
        <w:right w:val="none" w:sz="0" w:space="0" w:color="auto"/>
      </w:divBdr>
    </w:div>
    <w:div w:id="1307202204">
      <w:bodyDiv w:val="1"/>
      <w:marLeft w:val="0"/>
      <w:marRight w:val="0"/>
      <w:marTop w:val="0"/>
      <w:marBottom w:val="0"/>
      <w:divBdr>
        <w:top w:val="none" w:sz="0" w:space="0" w:color="auto"/>
        <w:left w:val="none" w:sz="0" w:space="0" w:color="auto"/>
        <w:bottom w:val="none" w:sz="0" w:space="0" w:color="auto"/>
        <w:right w:val="none" w:sz="0" w:space="0" w:color="auto"/>
      </w:divBdr>
    </w:div>
    <w:div w:id="1313362699">
      <w:bodyDiv w:val="1"/>
      <w:marLeft w:val="0"/>
      <w:marRight w:val="0"/>
      <w:marTop w:val="0"/>
      <w:marBottom w:val="0"/>
      <w:divBdr>
        <w:top w:val="none" w:sz="0" w:space="0" w:color="auto"/>
        <w:left w:val="none" w:sz="0" w:space="0" w:color="auto"/>
        <w:bottom w:val="none" w:sz="0" w:space="0" w:color="auto"/>
        <w:right w:val="none" w:sz="0" w:space="0" w:color="auto"/>
      </w:divBdr>
    </w:div>
    <w:div w:id="1317497191">
      <w:bodyDiv w:val="1"/>
      <w:marLeft w:val="0"/>
      <w:marRight w:val="0"/>
      <w:marTop w:val="0"/>
      <w:marBottom w:val="0"/>
      <w:divBdr>
        <w:top w:val="none" w:sz="0" w:space="0" w:color="auto"/>
        <w:left w:val="none" w:sz="0" w:space="0" w:color="auto"/>
        <w:bottom w:val="none" w:sz="0" w:space="0" w:color="auto"/>
        <w:right w:val="none" w:sz="0" w:space="0" w:color="auto"/>
      </w:divBdr>
    </w:div>
    <w:div w:id="1327321778">
      <w:bodyDiv w:val="1"/>
      <w:marLeft w:val="0"/>
      <w:marRight w:val="0"/>
      <w:marTop w:val="0"/>
      <w:marBottom w:val="0"/>
      <w:divBdr>
        <w:top w:val="none" w:sz="0" w:space="0" w:color="auto"/>
        <w:left w:val="none" w:sz="0" w:space="0" w:color="auto"/>
        <w:bottom w:val="none" w:sz="0" w:space="0" w:color="auto"/>
        <w:right w:val="none" w:sz="0" w:space="0" w:color="auto"/>
      </w:divBdr>
    </w:div>
    <w:div w:id="1328360777">
      <w:bodyDiv w:val="1"/>
      <w:marLeft w:val="0"/>
      <w:marRight w:val="0"/>
      <w:marTop w:val="0"/>
      <w:marBottom w:val="0"/>
      <w:divBdr>
        <w:top w:val="none" w:sz="0" w:space="0" w:color="auto"/>
        <w:left w:val="none" w:sz="0" w:space="0" w:color="auto"/>
        <w:bottom w:val="none" w:sz="0" w:space="0" w:color="auto"/>
        <w:right w:val="none" w:sz="0" w:space="0" w:color="auto"/>
      </w:divBdr>
    </w:div>
    <w:div w:id="1328939886">
      <w:bodyDiv w:val="1"/>
      <w:marLeft w:val="0"/>
      <w:marRight w:val="0"/>
      <w:marTop w:val="0"/>
      <w:marBottom w:val="0"/>
      <w:divBdr>
        <w:top w:val="none" w:sz="0" w:space="0" w:color="auto"/>
        <w:left w:val="none" w:sz="0" w:space="0" w:color="auto"/>
        <w:bottom w:val="none" w:sz="0" w:space="0" w:color="auto"/>
        <w:right w:val="none" w:sz="0" w:space="0" w:color="auto"/>
      </w:divBdr>
    </w:div>
    <w:div w:id="1331443609">
      <w:bodyDiv w:val="1"/>
      <w:marLeft w:val="0"/>
      <w:marRight w:val="0"/>
      <w:marTop w:val="0"/>
      <w:marBottom w:val="0"/>
      <w:divBdr>
        <w:top w:val="none" w:sz="0" w:space="0" w:color="auto"/>
        <w:left w:val="none" w:sz="0" w:space="0" w:color="auto"/>
        <w:bottom w:val="none" w:sz="0" w:space="0" w:color="auto"/>
        <w:right w:val="none" w:sz="0" w:space="0" w:color="auto"/>
      </w:divBdr>
    </w:div>
    <w:div w:id="1332953263">
      <w:bodyDiv w:val="1"/>
      <w:marLeft w:val="0"/>
      <w:marRight w:val="0"/>
      <w:marTop w:val="0"/>
      <w:marBottom w:val="0"/>
      <w:divBdr>
        <w:top w:val="none" w:sz="0" w:space="0" w:color="auto"/>
        <w:left w:val="none" w:sz="0" w:space="0" w:color="auto"/>
        <w:bottom w:val="none" w:sz="0" w:space="0" w:color="auto"/>
        <w:right w:val="none" w:sz="0" w:space="0" w:color="auto"/>
      </w:divBdr>
    </w:div>
    <w:div w:id="1339893575">
      <w:bodyDiv w:val="1"/>
      <w:marLeft w:val="0"/>
      <w:marRight w:val="0"/>
      <w:marTop w:val="0"/>
      <w:marBottom w:val="0"/>
      <w:divBdr>
        <w:top w:val="none" w:sz="0" w:space="0" w:color="auto"/>
        <w:left w:val="none" w:sz="0" w:space="0" w:color="auto"/>
        <w:bottom w:val="none" w:sz="0" w:space="0" w:color="auto"/>
        <w:right w:val="none" w:sz="0" w:space="0" w:color="auto"/>
      </w:divBdr>
    </w:div>
    <w:div w:id="1343750233">
      <w:bodyDiv w:val="1"/>
      <w:marLeft w:val="0"/>
      <w:marRight w:val="0"/>
      <w:marTop w:val="0"/>
      <w:marBottom w:val="0"/>
      <w:divBdr>
        <w:top w:val="none" w:sz="0" w:space="0" w:color="auto"/>
        <w:left w:val="none" w:sz="0" w:space="0" w:color="auto"/>
        <w:bottom w:val="none" w:sz="0" w:space="0" w:color="auto"/>
        <w:right w:val="none" w:sz="0" w:space="0" w:color="auto"/>
      </w:divBdr>
    </w:div>
    <w:div w:id="1344093751">
      <w:bodyDiv w:val="1"/>
      <w:marLeft w:val="0"/>
      <w:marRight w:val="0"/>
      <w:marTop w:val="0"/>
      <w:marBottom w:val="0"/>
      <w:divBdr>
        <w:top w:val="none" w:sz="0" w:space="0" w:color="auto"/>
        <w:left w:val="none" w:sz="0" w:space="0" w:color="auto"/>
        <w:bottom w:val="none" w:sz="0" w:space="0" w:color="auto"/>
        <w:right w:val="none" w:sz="0" w:space="0" w:color="auto"/>
      </w:divBdr>
    </w:div>
    <w:div w:id="1344746678">
      <w:bodyDiv w:val="1"/>
      <w:marLeft w:val="0"/>
      <w:marRight w:val="0"/>
      <w:marTop w:val="0"/>
      <w:marBottom w:val="0"/>
      <w:divBdr>
        <w:top w:val="none" w:sz="0" w:space="0" w:color="auto"/>
        <w:left w:val="none" w:sz="0" w:space="0" w:color="auto"/>
        <w:bottom w:val="none" w:sz="0" w:space="0" w:color="auto"/>
        <w:right w:val="none" w:sz="0" w:space="0" w:color="auto"/>
      </w:divBdr>
    </w:div>
    <w:div w:id="1349988891">
      <w:bodyDiv w:val="1"/>
      <w:marLeft w:val="0"/>
      <w:marRight w:val="0"/>
      <w:marTop w:val="0"/>
      <w:marBottom w:val="0"/>
      <w:divBdr>
        <w:top w:val="none" w:sz="0" w:space="0" w:color="auto"/>
        <w:left w:val="none" w:sz="0" w:space="0" w:color="auto"/>
        <w:bottom w:val="none" w:sz="0" w:space="0" w:color="auto"/>
        <w:right w:val="none" w:sz="0" w:space="0" w:color="auto"/>
      </w:divBdr>
    </w:div>
    <w:div w:id="1352145626">
      <w:bodyDiv w:val="1"/>
      <w:marLeft w:val="0"/>
      <w:marRight w:val="0"/>
      <w:marTop w:val="0"/>
      <w:marBottom w:val="0"/>
      <w:divBdr>
        <w:top w:val="none" w:sz="0" w:space="0" w:color="auto"/>
        <w:left w:val="none" w:sz="0" w:space="0" w:color="auto"/>
        <w:bottom w:val="none" w:sz="0" w:space="0" w:color="auto"/>
        <w:right w:val="none" w:sz="0" w:space="0" w:color="auto"/>
      </w:divBdr>
    </w:div>
    <w:div w:id="1358236668">
      <w:bodyDiv w:val="1"/>
      <w:marLeft w:val="0"/>
      <w:marRight w:val="0"/>
      <w:marTop w:val="0"/>
      <w:marBottom w:val="0"/>
      <w:divBdr>
        <w:top w:val="none" w:sz="0" w:space="0" w:color="auto"/>
        <w:left w:val="none" w:sz="0" w:space="0" w:color="auto"/>
        <w:bottom w:val="none" w:sz="0" w:space="0" w:color="auto"/>
        <w:right w:val="none" w:sz="0" w:space="0" w:color="auto"/>
      </w:divBdr>
    </w:div>
    <w:div w:id="1362436469">
      <w:bodyDiv w:val="1"/>
      <w:marLeft w:val="0"/>
      <w:marRight w:val="0"/>
      <w:marTop w:val="0"/>
      <w:marBottom w:val="0"/>
      <w:divBdr>
        <w:top w:val="none" w:sz="0" w:space="0" w:color="auto"/>
        <w:left w:val="none" w:sz="0" w:space="0" w:color="auto"/>
        <w:bottom w:val="none" w:sz="0" w:space="0" w:color="auto"/>
        <w:right w:val="none" w:sz="0" w:space="0" w:color="auto"/>
      </w:divBdr>
    </w:div>
    <w:div w:id="1363821376">
      <w:bodyDiv w:val="1"/>
      <w:marLeft w:val="0"/>
      <w:marRight w:val="0"/>
      <w:marTop w:val="0"/>
      <w:marBottom w:val="0"/>
      <w:divBdr>
        <w:top w:val="none" w:sz="0" w:space="0" w:color="auto"/>
        <w:left w:val="none" w:sz="0" w:space="0" w:color="auto"/>
        <w:bottom w:val="none" w:sz="0" w:space="0" w:color="auto"/>
        <w:right w:val="none" w:sz="0" w:space="0" w:color="auto"/>
      </w:divBdr>
    </w:div>
    <w:div w:id="1372725578">
      <w:bodyDiv w:val="1"/>
      <w:marLeft w:val="0"/>
      <w:marRight w:val="0"/>
      <w:marTop w:val="0"/>
      <w:marBottom w:val="0"/>
      <w:divBdr>
        <w:top w:val="none" w:sz="0" w:space="0" w:color="auto"/>
        <w:left w:val="none" w:sz="0" w:space="0" w:color="auto"/>
        <w:bottom w:val="none" w:sz="0" w:space="0" w:color="auto"/>
        <w:right w:val="none" w:sz="0" w:space="0" w:color="auto"/>
      </w:divBdr>
    </w:div>
    <w:div w:id="1373841419">
      <w:bodyDiv w:val="1"/>
      <w:marLeft w:val="0"/>
      <w:marRight w:val="0"/>
      <w:marTop w:val="0"/>
      <w:marBottom w:val="0"/>
      <w:divBdr>
        <w:top w:val="none" w:sz="0" w:space="0" w:color="auto"/>
        <w:left w:val="none" w:sz="0" w:space="0" w:color="auto"/>
        <w:bottom w:val="none" w:sz="0" w:space="0" w:color="auto"/>
        <w:right w:val="none" w:sz="0" w:space="0" w:color="auto"/>
      </w:divBdr>
    </w:div>
    <w:div w:id="1378578987">
      <w:bodyDiv w:val="1"/>
      <w:marLeft w:val="0"/>
      <w:marRight w:val="0"/>
      <w:marTop w:val="0"/>
      <w:marBottom w:val="0"/>
      <w:divBdr>
        <w:top w:val="none" w:sz="0" w:space="0" w:color="auto"/>
        <w:left w:val="none" w:sz="0" w:space="0" w:color="auto"/>
        <w:bottom w:val="none" w:sz="0" w:space="0" w:color="auto"/>
        <w:right w:val="none" w:sz="0" w:space="0" w:color="auto"/>
      </w:divBdr>
    </w:div>
    <w:div w:id="1385255699">
      <w:bodyDiv w:val="1"/>
      <w:marLeft w:val="0"/>
      <w:marRight w:val="0"/>
      <w:marTop w:val="0"/>
      <w:marBottom w:val="0"/>
      <w:divBdr>
        <w:top w:val="none" w:sz="0" w:space="0" w:color="auto"/>
        <w:left w:val="none" w:sz="0" w:space="0" w:color="auto"/>
        <w:bottom w:val="none" w:sz="0" w:space="0" w:color="auto"/>
        <w:right w:val="none" w:sz="0" w:space="0" w:color="auto"/>
      </w:divBdr>
    </w:div>
    <w:div w:id="1386179268">
      <w:bodyDiv w:val="1"/>
      <w:marLeft w:val="0"/>
      <w:marRight w:val="0"/>
      <w:marTop w:val="0"/>
      <w:marBottom w:val="0"/>
      <w:divBdr>
        <w:top w:val="none" w:sz="0" w:space="0" w:color="auto"/>
        <w:left w:val="none" w:sz="0" w:space="0" w:color="auto"/>
        <w:bottom w:val="none" w:sz="0" w:space="0" w:color="auto"/>
        <w:right w:val="none" w:sz="0" w:space="0" w:color="auto"/>
      </w:divBdr>
    </w:div>
    <w:div w:id="1386294197">
      <w:bodyDiv w:val="1"/>
      <w:marLeft w:val="0"/>
      <w:marRight w:val="0"/>
      <w:marTop w:val="0"/>
      <w:marBottom w:val="0"/>
      <w:divBdr>
        <w:top w:val="none" w:sz="0" w:space="0" w:color="auto"/>
        <w:left w:val="none" w:sz="0" w:space="0" w:color="auto"/>
        <w:bottom w:val="none" w:sz="0" w:space="0" w:color="auto"/>
        <w:right w:val="none" w:sz="0" w:space="0" w:color="auto"/>
      </w:divBdr>
    </w:div>
    <w:div w:id="1386560420">
      <w:bodyDiv w:val="1"/>
      <w:marLeft w:val="0"/>
      <w:marRight w:val="0"/>
      <w:marTop w:val="0"/>
      <w:marBottom w:val="0"/>
      <w:divBdr>
        <w:top w:val="none" w:sz="0" w:space="0" w:color="auto"/>
        <w:left w:val="none" w:sz="0" w:space="0" w:color="auto"/>
        <w:bottom w:val="none" w:sz="0" w:space="0" w:color="auto"/>
        <w:right w:val="none" w:sz="0" w:space="0" w:color="auto"/>
      </w:divBdr>
    </w:div>
    <w:div w:id="1388257786">
      <w:bodyDiv w:val="1"/>
      <w:marLeft w:val="0"/>
      <w:marRight w:val="0"/>
      <w:marTop w:val="0"/>
      <w:marBottom w:val="0"/>
      <w:divBdr>
        <w:top w:val="none" w:sz="0" w:space="0" w:color="auto"/>
        <w:left w:val="none" w:sz="0" w:space="0" w:color="auto"/>
        <w:bottom w:val="none" w:sz="0" w:space="0" w:color="auto"/>
        <w:right w:val="none" w:sz="0" w:space="0" w:color="auto"/>
      </w:divBdr>
    </w:div>
    <w:div w:id="1388645344">
      <w:bodyDiv w:val="1"/>
      <w:marLeft w:val="0"/>
      <w:marRight w:val="0"/>
      <w:marTop w:val="0"/>
      <w:marBottom w:val="0"/>
      <w:divBdr>
        <w:top w:val="none" w:sz="0" w:space="0" w:color="auto"/>
        <w:left w:val="none" w:sz="0" w:space="0" w:color="auto"/>
        <w:bottom w:val="none" w:sz="0" w:space="0" w:color="auto"/>
        <w:right w:val="none" w:sz="0" w:space="0" w:color="auto"/>
      </w:divBdr>
    </w:div>
    <w:div w:id="1389497324">
      <w:bodyDiv w:val="1"/>
      <w:marLeft w:val="0"/>
      <w:marRight w:val="0"/>
      <w:marTop w:val="0"/>
      <w:marBottom w:val="0"/>
      <w:divBdr>
        <w:top w:val="none" w:sz="0" w:space="0" w:color="auto"/>
        <w:left w:val="none" w:sz="0" w:space="0" w:color="auto"/>
        <w:bottom w:val="none" w:sz="0" w:space="0" w:color="auto"/>
        <w:right w:val="none" w:sz="0" w:space="0" w:color="auto"/>
      </w:divBdr>
    </w:div>
    <w:div w:id="1390112605">
      <w:bodyDiv w:val="1"/>
      <w:marLeft w:val="0"/>
      <w:marRight w:val="0"/>
      <w:marTop w:val="0"/>
      <w:marBottom w:val="0"/>
      <w:divBdr>
        <w:top w:val="none" w:sz="0" w:space="0" w:color="auto"/>
        <w:left w:val="none" w:sz="0" w:space="0" w:color="auto"/>
        <w:bottom w:val="none" w:sz="0" w:space="0" w:color="auto"/>
        <w:right w:val="none" w:sz="0" w:space="0" w:color="auto"/>
      </w:divBdr>
    </w:div>
    <w:div w:id="1392657825">
      <w:bodyDiv w:val="1"/>
      <w:marLeft w:val="0"/>
      <w:marRight w:val="0"/>
      <w:marTop w:val="0"/>
      <w:marBottom w:val="0"/>
      <w:divBdr>
        <w:top w:val="none" w:sz="0" w:space="0" w:color="auto"/>
        <w:left w:val="none" w:sz="0" w:space="0" w:color="auto"/>
        <w:bottom w:val="none" w:sz="0" w:space="0" w:color="auto"/>
        <w:right w:val="none" w:sz="0" w:space="0" w:color="auto"/>
      </w:divBdr>
    </w:div>
    <w:div w:id="1398288660">
      <w:bodyDiv w:val="1"/>
      <w:marLeft w:val="0"/>
      <w:marRight w:val="0"/>
      <w:marTop w:val="0"/>
      <w:marBottom w:val="0"/>
      <w:divBdr>
        <w:top w:val="none" w:sz="0" w:space="0" w:color="auto"/>
        <w:left w:val="none" w:sz="0" w:space="0" w:color="auto"/>
        <w:bottom w:val="none" w:sz="0" w:space="0" w:color="auto"/>
        <w:right w:val="none" w:sz="0" w:space="0" w:color="auto"/>
      </w:divBdr>
    </w:div>
    <w:div w:id="1399553236">
      <w:bodyDiv w:val="1"/>
      <w:marLeft w:val="0"/>
      <w:marRight w:val="0"/>
      <w:marTop w:val="0"/>
      <w:marBottom w:val="0"/>
      <w:divBdr>
        <w:top w:val="none" w:sz="0" w:space="0" w:color="auto"/>
        <w:left w:val="none" w:sz="0" w:space="0" w:color="auto"/>
        <w:bottom w:val="none" w:sz="0" w:space="0" w:color="auto"/>
        <w:right w:val="none" w:sz="0" w:space="0" w:color="auto"/>
      </w:divBdr>
    </w:div>
    <w:div w:id="1399745525">
      <w:bodyDiv w:val="1"/>
      <w:marLeft w:val="0"/>
      <w:marRight w:val="0"/>
      <w:marTop w:val="0"/>
      <w:marBottom w:val="0"/>
      <w:divBdr>
        <w:top w:val="none" w:sz="0" w:space="0" w:color="auto"/>
        <w:left w:val="none" w:sz="0" w:space="0" w:color="auto"/>
        <w:bottom w:val="none" w:sz="0" w:space="0" w:color="auto"/>
        <w:right w:val="none" w:sz="0" w:space="0" w:color="auto"/>
      </w:divBdr>
    </w:div>
    <w:div w:id="1400783449">
      <w:bodyDiv w:val="1"/>
      <w:marLeft w:val="0"/>
      <w:marRight w:val="0"/>
      <w:marTop w:val="0"/>
      <w:marBottom w:val="0"/>
      <w:divBdr>
        <w:top w:val="none" w:sz="0" w:space="0" w:color="auto"/>
        <w:left w:val="none" w:sz="0" w:space="0" w:color="auto"/>
        <w:bottom w:val="none" w:sz="0" w:space="0" w:color="auto"/>
        <w:right w:val="none" w:sz="0" w:space="0" w:color="auto"/>
      </w:divBdr>
    </w:div>
    <w:div w:id="1424759578">
      <w:bodyDiv w:val="1"/>
      <w:marLeft w:val="0"/>
      <w:marRight w:val="0"/>
      <w:marTop w:val="0"/>
      <w:marBottom w:val="0"/>
      <w:divBdr>
        <w:top w:val="none" w:sz="0" w:space="0" w:color="auto"/>
        <w:left w:val="none" w:sz="0" w:space="0" w:color="auto"/>
        <w:bottom w:val="none" w:sz="0" w:space="0" w:color="auto"/>
        <w:right w:val="none" w:sz="0" w:space="0" w:color="auto"/>
      </w:divBdr>
    </w:div>
    <w:div w:id="1427850859">
      <w:bodyDiv w:val="1"/>
      <w:marLeft w:val="0"/>
      <w:marRight w:val="0"/>
      <w:marTop w:val="0"/>
      <w:marBottom w:val="0"/>
      <w:divBdr>
        <w:top w:val="none" w:sz="0" w:space="0" w:color="auto"/>
        <w:left w:val="none" w:sz="0" w:space="0" w:color="auto"/>
        <w:bottom w:val="none" w:sz="0" w:space="0" w:color="auto"/>
        <w:right w:val="none" w:sz="0" w:space="0" w:color="auto"/>
      </w:divBdr>
    </w:div>
    <w:div w:id="1434398782">
      <w:bodyDiv w:val="1"/>
      <w:marLeft w:val="0"/>
      <w:marRight w:val="0"/>
      <w:marTop w:val="0"/>
      <w:marBottom w:val="0"/>
      <w:divBdr>
        <w:top w:val="none" w:sz="0" w:space="0" w:color="auto"/>
        <w:left w:val="none" w:sz="0" w:space="0" w:color="auto"/>
        <w:bottom w:val="none" w:sz="0" w:space="0" w:color="auto"/>
        <w:right w:val="none" w:sz="0" w:space="0" w:color="auto"/>
      </w:divBdr>
    </w:div>
    <w:div w:id="1435395418">
      <w:bodyDiv w:val="1"/>
      <w:marLeft w:val="0"/>
      <w:marRight w:val="0"/>
      <w:marTop w:val="0"/>
      <w:marBottom w:val="0"/>
      <w:divBdr>
        <w:top w:val="none" w:sz="0" w:space="0" w:color="auto"/>
        <w:left w:val="none" w:sz="0" w:space="0" w:color="auto"/>
        <w:bottom w:val="none" w:sz="0" w:space="0" w:color="auto"/>
        <w:right w:val="none" w:sz="0" w:space="0" w:color="auto"/>
      </w:divBdr>
    </w:div>
    <w:div w:id="1443067770">
      <w:bodyDiv w:val="1"/>
      <w:marLeft w:val="0"/>
      <w:marRight w:val="0"/>
      <w:marTop w:val="0"/>
      <w:marBottom w:val="0"/>
      <w:divBdr>
        <w:top w:val="none" w:sz="0" w:space="0" w:color="auto"/>
        <w:left w:val="none" w:sz="0" w:space="0" w:color="auto"/>
        <w:bottom w:val="none" w:sz="0" w:space="0" w:color="auto"/>
        <w:right w:val="none" w:sz="0" w:space="0" w:color="auto"/>
      </w:divBdr>
    </w:div>
    <w:div w:id="1448891231">
      <w:bodyDiv w:val="1"/>
      <w:marLeft w:val="0"/>
      <w:marRight w:val="0"/>
      <w:marTop w:val="0"/>
      <w:marBottom w:val="0"/>
      <w:divBdr>
        <w:top w:val="none" w:sz="0" w:space="0" w:color="auto"/>
        <w:left w:val="none" w:sz="0" w:space="0" w:color="auto"/>
        <w:bottom w:val="none" w:sz="0" w:space="0" w:color="auto"/>
        <w:right w:val="none" w:sz="0" w:space="0" w:color="auto"/>
      </w:divBdr>
    </w:div>
    <w:div w:id="1450785541">
      <w:bodyDiv w:val="1"/>
      <w:marLeft w:val="0"/>
      <w:marRight w:val="0"/>
      <w:marTop w:val="0"/>
      <w:marBottom w:val="0"/>
      <w:divBdr>
        <w:top w:val="none" w:sz="0" w:space="0" w:color="auto"/>
        <w:left w:val="none" w:sz="0" w:space="0" w:color="auto"/>
        <w:bottom w:val="none" w:sz="0" w:space="0" w:color="auto"/>
        <w:right w:val="none" w:sz="0" w:space="0" w:color="auto"/>
      </w:divBdr>
    </w:div>
    <w:div w:id="1452825417">
      <w:bodyDiv w:val="1"/>
      <w:marLeft w:val="0"/>
      <w:marRight w:val="0"/>
      <w:marTop w:val="0"/>
      <w:marBottom w:val="0"/>
      <w:divBdr>
        <w:top w:val="none" w:sz="0" w:space="0" w:color="auto"/>
        <w:left w:val="none" w:sz="0" w:space="0" w:color="auto"/>
        <w:bottom w:val="none" w:sz="0" w:space="0" w:color="auto"/>
        <w:right w:val="none" w:sz="0" w:space="0" w:color="auto"/>
      </w:divBdr>
    </w:div>
    <w:div w:id="1457211403">
      <w:bodyDiv w:val="1"/>
      <w:marLeft w:val="0"/>
      <w:marRight w:val="0"/>
      <w:marTop w:val="0"/>
      <w:marBottom w:val="0"/>
      <w:divBdr>
        <w:top w:val="none" w:sz="0" w:space="0" w:color="auto"/>
        <w:left w:val="none" w:sz="0" w:space="0" w:color="auto"/>
        <w:bottom w:val="none" w:sz="0" w:space="0" w:color="auto"/>
        <w:right w:val="none" w:sz="0" w:space="0" w:color="auto"/>
      </w:divBdr>
    </w:div>
    <w:div w:id="1462722720">
      <w:bodyDiv w:val="1"/>
      <w:marLeft w:val="0"/>
      <w:marRight w:val="0"/>
      <w:marTop w:val="0"/>
      <w:marBottom w:val="0"/>
      <w:divBdr>
        <w:top w:val="none" w:sz="0" w:space="0" w:color="auto"/>
        <w:left w:val="none" w:sz="0" w:space="0" w:color="auto"/>
        <w:bottom w:val="none" w:sz="0" w:space="0" w:color="auto"/>
        <w:right w:val="none" w:sz="0" w:space="0" w:color="auto"/>
      </w:divBdr>
    </w:div>
    <w:div w:id="1464347205">
      <w:bodyDiv w:val="1"/>
      <w:marLeft w:val="0"/>
      <w:marRight w:val="0"/>
      <w:marTop w:val="0"/>
      <w:marBottom w:val="0"/>
      <w:divBdr>
        <w:top w:val="none" w:sz="0" w:space="0" w:color="auto"/>
        <w:left w:val="none" w:sz="0" w:space="0" w:color="auto"/>
        <w:bottom w:val="none" w:sz="0" w:space="0" w:color="auto"/>
        <w:right w:val="none" w:sz="0" w:space="0" w:color="auto"/>
      </w:divBdr>
    </w:div>
    <w:div w:id="1466195744">
      <w:bodyDiv w:val="1"/>
      <w:marLeft w:val="0"/>
      <w:marRight w:val="0"/>
      <w:marTop w:val="0"/>
      <w:marBottom w:val="0"/>
      <w:divBdr>
        <w:top w:val="none" w:sz="0" w:space="0" w:color="auto"/>
        <w:left w:val="none" w:sz="0" w:space="0" w:color="auto"/>
        <w:bottom w:val="none" w:sz="0" w:space="0" w:color="auto"/>
        <w:right w:val="none" w:sz="0" w:space="0" w:color="auto"/>
      </w:divBdr>
    </w:div>
    <w:div w:id="1474564949">
      <w:bodyDiv w:val="1"/>
      <w:marLeft w:val="0"/>
      <w:marRight w:val="0"/>
      <w:marTop w:val="0"/>
      <w:marBottom w:val="0"/>
      <w:divBdr>
        <w:top w:val="none" w:sz="0" w:space="0" w:color="auto"/>
        <w:left w:val="none" w:sz="0" w:space="0" w:color="auto"/>
        <w:bottom w:val="none" w:sz="0" w:space="0" w:color="auto"/>
        <w:right w:val="none" w:sz="0" w:space="0" w:color="auto"/>
      </w:divBdr>
    </w:div>
    <w:div w:id="1476558512">
      <w:bodyDiv w:val="1"/>
      <w:marLeft w:val="0"/>
      <w:marRight w:val="0"/>
      <w:marTop w:val="0"/>
      <w:marBottom w:val="0"/>
      <w:divBdr>
        <w:top w:val="none" w:sz="0" w:space="0" w:color="auto"/>
        <w:left w:val="none" w:sz="0" w:space="0" w:color="auto"/>
        <w:bottom w:val="none" w:sz="0" w:space="0" w:color="auto"/>
        <w:right w:val="none" w:sz="0" w:space="0" w:color="auto"/>
      </w:divBdr>
    </w:div>
    <w:div w:id="1476726982">
      <w:bodyDiv w:val="1"/>
      <w:marLeft w:val="0"/>
      <w:marRight w:val="0"/>
      <w:marTop w:val="0"/>
      <w:marBottom w:val="0"/>
      <w:divBdr>
        <w:top w:val="none" w:sz="0" w:space="0" w:color="auto"/>
        <w:left w:val="none" w:sz="0" w:space="0" w:color="auto"/>
        <w:bottom w:val="none" w:sz="0" w:space="0" w:color="auto"/>
        <w:right w:val="none" w:sz="0" w:space="0" w:color="auto"/>
      </w:divBdr>
    </w:div>
    <w:div w:id="1479759595">
      <w:bodyDiv w:val="1"/>
      <w:marLeft w:val="0"/>
      <w:marRight w:val="0"/>
      <w:marTop w:val="0"/>
      <w:marBottom w:val="0"/>
      <w:divBdr>
        <w:top w:val="none" w:sz="0" w:space="0" w:color="auto"/>
        <w:left w:val="none" w:sz="0" w:space="0" w:color="auto"/>
        <w:bottom w:val="none" w:sz="0" w:space="0" w:color="auto"/>
        <w:right w:val="none" w:sz="0" w:space="0" w:color="auto"/>
      </w:divBdr>
    </w:div>
    <w:div w:id="1481191926">
      <w:bodyDiv w:val="1"/>
      <w:marLeft w:val="0"/>
      <w:marRight w:val="0"/>
      <w:marTop w:val="0"/>
      <w:marBottom w:val="0"/>
      <w:divBdr>
        <w:top w:val="none" w:sz="0" w:space="0" w:color="auto"/>
        <w:left w:val="none" w:sz="0" w:space="0" w:color="auto"/>
        <w:bottom w:val="none" w:sz="0" w:space="0" w:color="auto"/>
        <w:right w:val="none" w:sz="0" w:space="0" w:color="auto"/>
      </w:divBdr>
    </w:div>
    <w:div w:id="1490900225">
      <w:bodyDiv w:val="1"/>
      <w:marLeft w:val="0"/>
      <w:marRight w:val="0"/>
      <w:marTop w:val="0"/>
      <w:marBottom w:val="0"/>
      <w:divBdr>
        <w:top w:val="none" w:sz="0" w:space="0" w:color="auto"/>
        <w:left w:val="none" w:sz="0" w:space="0" w:color="auto"/>
        <w:bottom w:val="none" w:sz="0" w:space="0" w:color="auto"/>
        <w:right w:val="none" w:sz="0" w:space="0" w:color="auto"/>
      </w:divBdr>
    </w:div>
    <w:div w:id="1491561632">
      <w:bodyDiv w:val="1"/>
      <w:marLeft w:val="0"/>
      <w:marRight w:val="0"/>
      <w:marTop w:val="0"/>
      <w:marBottom w:val="0"/>
      <w:divBdr>
        <w:top w:val="none" w:sz="0" w:space="0" w:color="auto"/>
        <w:left w:val="none" w:sz="0" w:space="0" w:color="auto"/>
        <w:bottom w:val="none" w:sz="0" w:space="0" w:color="auto"/>
        <w:right w:val="none" w:sz="0" w:space="0" w:color="auto"/>
      </w:divBdr>
    </w:div>
    <w:div w:id="1491754132">
      <w:bodyDiv w:val="1"/>
      <w:marLeft w:val="0"/>
      <w:marRight w:val="0"/>
      <w:marTop w:val="0"/>
      <w:marBottom w:val="0"/>
      <w:divBdr>
        <w:top w:val="none" w:sz="0" w:space="0" w:color="auto"/>
        <w:left w:val="none" w:sz="0" w:space="0" w:color="auto"/>
        <w:bottom w:val="none" w:sz="0" w:space="0" w:color="auto"/>
        <w:right w:val="none" w:sz="0" w:space="0" w:color="auto"/>
      </w:divBdr>
    </w:div>
    <w:div w:id="1492453603">
      <w:bodyDiv w:val="1"/>
      <w:marLeft w:val="0"/>
      <w:marRight w:val="0"/>
      <w:marTop w:val="0"/>
      <w:marBottom w:val="0"/>
      <w:divBdr>
        <w:top w:val="none" w:sz="0" w:space="0" w:color="auto"/>
        <w:left w:val="none" w:sz="0" w:space="0" w:color="auto"/>
        <w:bottom w:val="none" w:sz="0" w:space="0" w:color="auto"/>
        <w:right w:val="none" w:sz="0" w:space="0" w:color="auto"/>
      </w:divBdr>
    </w:div>
    <w:div w:id="1494176225">
      <w:bodyDiv w:val="1"/>
      <w:marLeft w:val="0"/>
      <w:marRight w:val="0"/>
      <w:marTop w:val="0"/>
      <w:marBottom w:val="0"/>
      <w:divBdr>
        <w:top w:val="none" w:sz="0" w:space="0" w:color="auto"/>
        <w:left w:val="none" w:sz="0" w:space="0" w:color="auto"/>
        <w:bottom w:val="none" w:sz="0" w:space="0" w:color="auto"/>
        <w:right w:val="none" w:sz="0" w:space="0" w:color="auto"/>
      </w:divBdr>
    </w:div>
    <w:div w:id="1494881056">
      <w:bodyDiv w:val="1"/>
      <w:marLeft w:val="0"/>
      <w:marRight w:val="0"/>
      <w:marTop w:val="0"/>
      <w:marBottom w:val="0"/>
      <w:divBdr>
        <w:top w:val="none" w:sz="0" w:space="0" w:color="auto"/>
        <w:left w:val="none" w:sz="0" w:space="0" w:color="auto"/>
        <w:bottom w:val="none" w:sz="0" w:space="0" w:color="auto"/>
        <w:right w:val="none" w:sz="0" w:space="0" w:color="auto"/>
      </w:divBdr>
    </w:div>
    <w:div w:id="1502311916">
      <w:bodyDiv w:val="1"/>
      <w:marLeft w:val="0"/>
      <w:marRight w:val="0"/>
      <w:marTop w:val="0"/>
      <w:marBottom w:val="0"/>
      <w:divBdr>
        <w:top w:val="none" w:sz="0" w:space="0" w:color="auto"/>
        <w:left w:val="none" w:sz="0" w:space="0" w:color="auto"/>
        <w:bottom w:val="none" w:sz="0" w:space="0" w:color="auto"/>
        <w:right w:val="none" w:sz="0" w:space="0" w:color="auto"/>
      </w:divBdr>
    </w:div>
    <w:div w:id="1503858662">
      <w:bodyDiv w:val="1"/>
      <w:marLeft w:val="0"/>
      <w:marRight w:val="0"/>
      <w:marTop w:val="0"/>
      <w:marBottom w:val="0"/>
      <w:divBdr>
        <w:top w:val="none" w:sz="0" w:space="0" w:color="auto"/>
        <w:left w:val="none" w:sz="0" w:space="0" w:color="auto"/>
        <w:bottom w:val="none" w:sz="0" w:space="0" w:color="auto"/>
        <w:right w:val="none" w:sz="0" w:space="0" w:color="auto"/>
      </w:divBdr>
    </w:div>
    <w:div w:id="1504708456">
      <w:bodyDiv w:val="1"/>
      <w:marLeft w:val="0"/>
      <w:marRight w:val="0"/>
      <w:marTop w:val="0"/>
      <w:marBottom w:val="0"/>
      <w:divBdr>
        <w:top w:val="none" w:sz="0" w:space="0" w:color="auto"/>
        <w:left w:val="none" w:sz="0" w:space="0" w:color="auto"/>
        <w:bottom w:val="none" w:sz="0" w:space="0" w:color="auto"/>
        <w:right w:val="none" w:sz="0" w:space="0" w:color="auto"/>
      </w:divBdr>
    </w:div>
    <w:div w:id="1505898316">
      <w:bodyDiv w:val="1"/>
      <w:marLeft w:val="0"/>
      <w:marRight w:val="0"/>
      <w:marTop w:val="0"/>
      <w:marBottom w:val="0"/>
      <w:divBdr>
        <w:top w:val="none" w:sz="0" w:space="0" w:color="auto"/>
        <w:left w:val="none" w:sz="0" w:space="0" w:color="auto"/>
        <w:bottom w:val="none" w:sz="0" w:space="0" w:color="auto"/>
        <w:right w:val="none" w:sz="0" w:space="0" w:color="auto"/>
      </w:divBdr>
    </w:div>
    <w:div w:id="1506481748">
      <w:bodyDiv w:val="1"/>
      <w:marLeft w:val="0"/>
      <w:marRight w:val="0"/>
      <w:marTop w:val="0"/>
      <w:marBottom w:val="0"/>
      <w:divBdr>
        <w:top w:val="none" w:sz="0" w:space="0" w:color="auto"/>
        <w:left w:val="none" w:sz="0" w:space="0" w:color="auto"/>
        <w:bottom w:val="none" w:sz="0" w:space="0" w:color="auto"/>
        <w:right w:val="none" w:sz="0" w:space="0" w:color="auto"/>
      </w:divBdr>
    </w:div>
    <w:div w:id="1510832687">
      <w:bodyDiv w:val="1"/>
      <w:marLeft w:val="0"/>
      <w:marRight w:val="0"/>
      <w:marTop w:val="0"/>
      <w:marBottom w:val="0"/>
      <w:divBdr>
        <w:top w:val="none" w:sz="0" w:space="0" w:color="auto"/>
        <w:left w:val="none" w:sz="0" w:space="0" w:color="auto"/>
        <w:bottom w:val="none" w:sz="0" w:space="0" w:color="auto"/>
        <w:right w:val="none" w:sz="0" w:space="0" w:color="auto"/>
      </w:divBdr>
    </w:div>
    <w:div w:id="1514539272">
      <w:bodyDiv w:val="1"/>
      <w:marLeft w:val="0"/>
      <w:marRight w:val="0"/>
      <w:marTop w:val="0"/>
      <w:marBottom w:val="0"/>
      <w:divBdr>
        <w:top w:val="none" w:sz="0" w:space="0" w:color="auto"/>
        <w:left w:val="none" w:sz="0" w:space="0" w:color="auto"/>
        <w:bottom w:val="none" w:sz="0" w:space="0" w:color="auto"/>
        <w:right w:val="none" w:sz="0" w:space="0" w:color="auto"/>
      </w:divBdr>
    </w:div>
    <w:div w:id="1519126413">
      <w:bodyDiv w:val="1"/>
      <w:marLeft w:val="0"/>
      <w:marRight w:val="0"/>
      <w:marTop w:val="0"/>
      <w:marBottom w:val="0"/>
      <w:divBdr>
        <w:top w:val="none" w:sz="0" w:space="0" w:color="auto"/>
        <w:left w:val="none" w:sz="0" w:space="0" w:color="auto"/>
        <w:bottom w:val="none" w:sz="0" w:space="0" w:color="auto"/>
        <w:right w:val="none" w:sz="0" w:space="0" w:color="auto"/>
      </w:divBdr>
    </w:div>
    <w:div w:id="1525366847">
      <w:bodyDiv w:val="1"/>
      <w:marLeft w:val="0"/>
      <w:marRight w:val="0"/>
      <w:marTop w:val="0"/>
      <w:marBottom w:val="0"/>
      <w:divBdr>
        <w:top w:val="none" w:sz="0" w:space="0" w:color="auto"/>
        <w:left w:val="none" w:sz="0" w:space="0" w:color="auto"/>
        <w:bottom w:val="none" w:sz="0" w:space="0" w:color="auto"/>
        <w:right w:val="none" w:sz="0" w:space="0" w:color="auto"/>
      </w:divBdr>
    </w:div>
    <w:div w:id="1528639392">
      <w:bodyDiv w:val="1"/>
      <w:marLeft w:val="0"/>
      <w:marRight w:val="0"/>
      <w:marTop w:val="0"/>
      <w:marBottom w:val="0"/>
      <w:divBdr>
        <w:top w:val="none" w:sz="0" w:space="0" w:color="auto"/>
        <w:left w:val="none" w:sz="0" w:space="0" w:color="auto"/>
        <w:bottom w:val="none" w:sz="0" w:space="0" w:color="auto"/>
        <w:right w:val="none" w:sz="0" w:space="0" w:color="auto"/>
      </w:divBdr>
    </w:div>
    <w:div w:id="1529872736">
      <w:bodyDiv w:val="1"/>
      <w:marLeft w:val="0"/>
      <w:marRight w:val="0"/>
      <w:marTop w:val="0"/>
      <w:marBottom w:val="0"/>
      <w:divBdr>
        <w:top w:val="none" w:sz="0" w:space="0" w:color="auto"/>
        <w:left w:val="none" w:sz="0" w:space="0" w:color="auto"/>
        <w:bottom w:val="none" w:sz="0" w:space="0" w:color="auto"/>
        <w:right w:val="none" w:sz="0" w:space="0" w:color="auto"/>
      </w:divBdr>
    </w:div>
    <w:div w:id="1540818321">
      <w:bodyDiv w:val="1"/>
      <w:marLeft w:val="0"/>
      <w:marRight w:val="0"/>
      <w:marTop w:val="0"/>
      <w:marBottom w:val="0"/>
      <w:divBdr>
        <w:top w:val="none" w:sz="0" w:space="0" w:color="auto"/>
        <w:left w:val="none" w:sz="0" w:space="0" w:color="auto"/>
        <w:bottom w:val="none" w:sz="0" w:space="0" w:color="auto"/>
        <w:right w:val="none" w:sz="0" w:space="0" w:color="auto"/>
      </w:divBdr>
    </w:div>
    <w:div w:id="1542787308">
      <w:bodyDiv w:val="1"/>
      <w:marLeft w:val="0"/>
      <w:marRight w:val="0"/>
      <w:marTop w:val="0"/>
      <w:marBottom w:val="0"/>
      <w:divBdr>
        <w:top w:val="none" w:sz="0" w:space="0" w:color="auto"/>
        <w:left w:val="none" w:sz="0" w:space="0" w:color="auto"/>
        <w:bottom w:val="none" w:sz="0" w:space="0" w:color="auto"/>
        <w:right w:val="none" w:sz="0" w:space="0" w:color="auto"/>
      </w:divBdr>
    </w:div>
    <w:div w:id="1545824785">
      <w:bodyDiv w:val="1"/>
      <w:marLeft w:val="0"/>
      <w:marRight w:val="0"/>
      <w:marTop w:val="0"/>
      <w:marBottom w:val="0"/>
      <w:divBdr>
        <w:top w:val="none" w:sz="0" w:space="0" w:color="auto"/>
        <w:left w:val="none" w:sz="0" w:space="0" w:color="auto"/>
        <w:bottom w:val="none" w:sz="0" w:space="0" w:color="auto"/>
        <w:right w:val="none" w:sz="0" w:space="0" w:color="auto"/>
      </w:divBdr>
    </w:div>
    <w:div w:id="1547990102">
      <w:bodyDiv w:val="1"/>
      <w:marLeft w:val="0"/>
      <w:marRight w:val="0"/>
      <w:marTop w:val="0"/>
      <w:marBottom w:val="0"/>
      <w:divBdr>
        <w:top w:val="none" w:sz="0" w:space="0" w:color="auto"/>
        <w:left w:val="none" w:sz="0" w:space="0" w:color="auto"/>
        <w:bottom w:val="none" w:sz="0" w:space="0" w:color="auto"/>
        <w:right w:val="none" w:sz="0" w:space="0" w:color="auto"/>
      </w:divBdr>
    </w:div>
    <w:div w:id="1548031156">
      <w:bodyDiv w:val="1"/>
      <w:marLeft w:val="0"/>
      <w:marRight w:val="0"/>
      <w:marTop w:val="0"/>
      <w:marBottom w:val="0"/>
      <w:divBdr>
        <w:top w:val="none" w:sz="0" w:space="0" w:color="auto"/>
        <w:left w:val="none" w:sz="0" w:space="0" w:color="auto"/>
        <w:bottom w:val="none" w:sz="0" w:space="0" w:color="auto"/>
        <w:right w:val="none" w:sz="0" w:space="0" w:color="auto"/>
      </w:divBdr>
    </w:div>
    <w:div w:id="1550797623">
      <w:bodyDiv w:val="1"/>
      <w:marLeft w:val="0"/>
      <w:marRight w:val="0"/>
      <w:marTop w:val="0"/>
      <w:marBottom w:val="0"/>
      <w:divBdr>
        <w:top w:val="none" w:sz="0" w:space="0" w:color="auto"/>
        <w:left w:val="none" w:sz="0" w:space="0" w:color="auto"/>
        <w:bottom w:val="none" w:sz="0" w:space="0" w:color="auto"/>
        <w:right w:val="none" w:sz="0" w:space="0" w:color="auto"/>
      </w:divBdr>
    </w:div>
    <w:div w:id="1553494190">
      <w:bodyDiv w:val="1"/>
      <w:marLeft w:val="0"/>
      <w:marRight w:val="0"/>
      <w:marTop w:val="0"/>
      <w:marBottom w:val="0"/>
      <w:divBdr>
        <w:top w:val="none" w:sz="0" w:space="0" w:color="auto"/>
        <w:left w:val="none" w:sz="0" w:space="0" w:color="auto"/>
        <w:bottom w:val="none" w:sz="0" w:space="0" w:color="auto"/>
        <w:right w:val="none" w:sz="0" w:space="0" w:color="auto"/>
      </w:divBdr>
    </w:div>
    <w:div w:id="1557735698">
      <w:bodyDiv w:val="1"/>
      <w:marLeft w:val="0"/>
      <w:marRight w:val="0"/>
      <w:marTop w:val="0"/>
      <w:marBottom w:val="0"/>
      <w:divBdr>
        <w:top w:val="none" w:sz="0" w:space="0" w:color="auto"/>
        <w:left w:val="none" w:sz="0" w:space="0" w:color="auto"/>
        <w:bottom w:val="none" w:sz="0" w:space="0" w:color="auto"/>
        <w:right w:val="none" w:sz="0" w:space="0" w:color="auto"/>
      </w:divBdr>
    </w:div>
    <w:div w:id="1573851105">
      <w:bodyDiv w:val="1"/>
      <w:marLeft w:val="0"/>
      <w:marRight w:val="0"/>
      <w:marTop w:val="0"/>
      <w:marBottom w:val="0"/>
      <w:divBdr>
        <w:top w:val="none" w:sz="0" w:space="0" w:color="auto"/>
        <w:left w:val="none" w:sz="0" w:space="0" w:color="auto"/>
        <w:bottom w:val="none" w:sz="0" w:space="0" w:color="auto"/>
        <w:right w:val="none" w:sz="0" w:space="0" w:color="auto"/>
      </w:divBdr>
    </w:div>
    <w:div w:id="1581021596">
      <w:bodyDiv w:val="1"/>
      <w:marLeft w:val="0"/>
      <w:marRight w:val="0"/>
      <w:marTop w:val="0"/>
      <w:marBottom w:val="0"/>
      <w:divBdr>
        <w:top w:val="none" w:sz="0" w:space="0" w:color="auto"/>
        <w:left w:val="none" w:sz="0" w:space="0" w:color="auto"/>
        <w:bottom w:val="none" w:sz="0" w:space="0" w:color="auto"/>
        <w:right w:val="none" w:sz="0" w:space="0" w:color="auto"/>
      </w:divBdr>
    </w:div>
    <w:div w:id="1583219290">
      <w:bodyDiv w:val="1"/>
      <w:marLeft w:val="0"/>
      <w:marRight w:val="0"/>
      <w:marTop w:val="0"/>
      <w:marBottom w:val="0"/>
      <w:divBdr>
        <w:top w:val="none" w:sz="0" w:space="0" w:color="auto"/>
        <w:left w:val="none" w:sz="0" w:space="0" w:color="auto"/>
        <w:bottom w:val="none" w:sz="0" w:space="0" w:color="auto"/>
        <w:right w:val="none" w:sz="0" w:space="0" w:color="auto"/>
      </w:divBdr>
    </w:div>
    <w:div w:id="1585138805">
      <w:bodyDiv w:val="1"/>
      <w:marLeft w:val="0"/>
      <w:marRight w:val="0"/>
      <w:marTop w:val="0"/>
      <w:marBottom w:val="0"/>
      <w:divBdr>
        <w:top w:val="none" w:sz="0" w:space="0" w:color="auto"/>
        <w:left w:val="none" w:sz="0" w:space="0" w:color="auto"/>
        <w:bottom w:val="none" w:sz="0" w:space="0" w:color="auto"/>
        <w:right w:val="none" w:sz="0" w:space="0" w:color="auto"/>
      </w:divBdr>
    </w:div>
    <w:div w:id="1588270354">
      <w:bodyDiv w:val="1"/>
      <w:marLeft w:val="0"/>
      <w:marRight w:val="0"/>
      <w:marTop w:val="0"/>
      <w:marBottom w:val="0"/>
      <w:divBdr>
        <w:top w:val="none" w:sz="0" w:space="0" w:color="auto"/>
        <w:left w:val="none" w:sz="0" w:space="0" w:color="auto"/>
        <w:bottom w:val="none" w:sz="0" w:space="0" w:color="auto"/>
        <w:right w:val="none" w:sz="0" w:space="0" w:color="auto"/>
      </w:divBdr>
    </w:div>
    <w:div w:id="1591550135">
      <w:bodyDiv w:val="1"/>
      <w:marLeft w:val="0"/>
      <w:marRight w:val="0"/>
      <w:marTop w:val="0"/>
      <w:marBottom w:val="0"/>
      <w:divBdr>
        <w:top w:val="none" w:sz="0" w:space="0" w:color="auto"/>
        <w:left w:val="none" w:sz="0" w:space="0" w:color="auto"/>
        <w:bottom w:val="none" w:sz="0" w:space="0" w:color="auto"/>
        <w:right w:val="none" w:sz="0" w:space="0" w:color="auto"/>
      </w:divBdr>
    </w:div>
    <w:div w:id="1601716377">
      <w:bodyDiv w:val="1"/>
      <w:marLeft w:val="0"/>
      <w:marRight w:val="0"/>
      <w:marTop w:val="0"/>
      <w:marBottom w:val="0"/>
      <w:divBdr>
        <w:top w:val="none" w:sz="0" w:space="0" w:color="auto"/>
        <w:left w:val="none" w:sz="0" w:space="0" w:color="auto"/>
        <w:bottom w:val="none" w:sz="0" w:space="0" w:color="auto"/>
        <w:right w:val="none" w:sz="0" w:space="0" w:color="auto"/>
      </w:divBdr>
    </w:div>
    <w:div w:id="1607734242">
      <w:bodyDiv w:val="1"/>
      <w:marLeft w:val="0"/>
      <w:marRight w:val="0"/>
      <w:marTop w:val="0"/>
      <w:marBottom w:val="0"/>
      <w:divBdr>
        <w:top w:val="none" w:sz="0" w:space="0" w:color="auto"/>
        <w:left w:val="none" w:sz="0" w:space="0" w:color="auto"/>
        <w:bottom w:val="none" w:sz="0" w:space="0" w:color="auto"/>
        <w:right w:val="none" w:sz="0" w:space="0" w:color="auto"/>
      </w:divBdr>
    </w:div>
    <w:div w:id="1609311954">
      <w:bodyDiv w:val="1"/>
      <w:marLeft w:val="0"/>
      <w:marRight w:val="0"/>
      <w:marTop w:val="0"/>
      <w:marBottom w:val="0"/>
      <w:divBdr>
        <w:top w:val="none" w:sz="0" w:space="0" w:color="auto"/>
        <w:left w:val="none" w:sz="0" w:space="0" w:color="auto"/>
        <w:bottom w:val="none" w:sz="0" w:space="0" w:color="auto"/>
        <w:right w:val="none" w:sz="0" w:space="0" w:color="auto"/>
      </w:divBdr>
    </w:div>
    <w:div w:id="1614630372">
      <w:bodyDiv w:val="1"/>
      <w:marLeft w:val="0"/>
      <w:marRight w:val="0"/>
      <w:marTop w:val="0"/>
      <w:marBottom w:val="0"/>
      <w:divBdr>
        <w:top w:val="none" w:sz="0" w:space="0" w:color="auto"/>
        <w:left w:val="none" w:sz="0" w:space="0" w:color="auto"/>
        <w:bottom w:val="none" w:sz="0" w:space="0" w:color="auto"/>
        <w:right w:val="none" w:sz="0" w:space="0" w:color="auto"/>
      </w:divBdr>
    </w:div>
    <w:div w:id="1615402869">
      <w:bodyDiv w:val="1"/>
      <w:marLeft w:val="0"/>
      <w:marRight w:val="0"/>
      <w:marTop w:val="0"/>
      <w:marBottom w:val="0"/>
      <w:divBdr>
        <w:top w:val="none" w:sz="0" w:space="0" w:color="auto"/>
        <w:left w:val="none" w:sz="0" w:space="0" w:color="auto"/>
        <w:bottom w:val="none" w:sz="0" w:space="0" w:color="auto"/>
        <w:right w:val="none" w:sz="0" w:space="0" w:color="auto"/>
      </w:divBdr>
    </w:div>
    <w:div w:id="1621911947">
      <w:bodyDiv w:val="1"/>
      <w:marLeft w:val="0"/>
      <w:marRight w:val="0"/>
      <w:marTop w:val="0"/>
      <w:marBottom w:val="0"/>
      <w:divBdr>
        <w:top w:val="none" w:sz="0" w:space="0" w:color="auto"/>
        <w:left w:val="none" w:sz="0" w:space="0" w:color="auto"/>
        <w:bottom w:val="none" w:sz="0" w:space="0" w:color="auto"/>
        <w:right w:val="none" w:sz="0" w:space="0" w:color="auto"/>
      </w:divBdr>
    </w:div>
    <w:div w:id="1623463469">
      <w:bodyDiv w:val="1"/>
      <w:marLeft w:val="0"/>
      <w:marRight w:val="0"/>
      <w:marTop w:val="0"/>
      <w:marBottom w:val="0"/>
      <w:divBdr>
        <w:top w:val="none" w:sz="0" w:space="0" w:color="auto"/>
        <w:left w:val="none" w:sz="0" w:space="0" w:color="auto"/>
        <w:bottom w:val="none" w:sz="0" w:space="0" w:color="auto"/>
        <w:right w:val="none" w:sz="0" w:space="0" w:color="auto"/>
      </w:divBdr>
    </w:div>
    <w:div w:id="1631587951">
      <w:bodyDiv w:val="1"/>
      <w:marLeft w:val="0"/>
      <w:marRight w:val="0"/>
      <w:marTop w:val="0"/>
      <w:marBottom w:val="0"/>
      <w:divBdr>
        <w:top w:val="none" w:sz="0" w:space="0" w:color="auto"/>
        <w:left w:val="none" w:sz="0" w:space="0" w:color="auto"/>
        <w:bottom w:val="none" w:sz="0" w:space="0" w:color="auto"/>
        <w:right w:val="none" w:sz="0" w:space="0" w:color="auto"/>
      </w:divBdr>
    </w:div>
    <w:div w:id="1632125502">
      <w:bodyDiv w:val="1"/>
      <w:marLeft w:val="0"/>
      <w:marRight w:val="0"/>
      <w:marTop w:val="0"/>
      <w:marBottom w:val="0"/>
      <w:divBdr>
        <w:top w:val="none" w:sz="0" w:space="0" w:color="auto"/>
        <w:left w:val="none" w:sz="0" w:space="0" w:color="auto"/>
        <w:bottom w:val="none" w:sz="0" w:space="0" w:color="auto"/>
        <w:right w:val="none" w:sz="0" w:space="0" w:color="auto"/>
      </w:divBdr>
    </w:div>
    <w:div w:id="1632858236">
      <w:bodyDiv w:val="1"/>
      <w:marLeft w:val="0"/>
      <w:marRight w:val="0"/>
      <w:marTop w:val="0"/>
      <w:marBottom w:val="0"/>
      <w:divBdr>
        <w:top w:val="none" w:sz="0" w:space="0" w:color="auto"/>
        <w:left w:val="none" w:sz="0" w:space="0" w:color="auto"/>
        <w:bottom w:val="none" w:sz="0" w:space="0" w:color="auto"/>
        <w:right w:val="none" w:sz="0" w:space="0" w:color="auto"/>
      </w:divBdr>
    </w:div>
    <w:div w:id="1632903870">
      <w:bodyDiv w:val="1"/>
      <w:marLeft w:val="0"/>
      <w:marRight w:val="0"/>
      <w:marTop w:val="0"/>
      <w:marBottom w:val="0"/>
      <w:divBdr>
        <w:top w:val="none" w:sz="0" w:space="0" w:color="auto"/>
        <w:left w:val="none" w:sz="0" w:space="0" w:color="auto"/>
        <w:bottom w:val="none" w:sz="0" w:space="0" w:color="auto"/>
        <w:right w:val="none" w:sz="0" w:space="0" w:color="auto"/>
      </w:divBdr>
    </w:div>
    <w:div w:id="1639187550">
      <w:bodyDiv w:val="1"/>
      <w:marLeft w:val="0"/>
      <w:marRight w:val="0"/>
      <w:marTop w:val="0"/>
      <w:marBottom w:val="0"/>
      <w:divBdr>
        <w:top w:val="none" w:sz="0" w:space="0" w:color="auto"/>
        <w:left w:val="none" w:sz="0" w:space="0" w:color="auto"/>
        <w:bottom w:val="none" w:sz="0" w:space="0" w:color="auto"/>
        <w:right w:val="none" w:sz="0" w:space="0" w:color="auto"/>
      </w:divBdr>
    </w:div>
    <w:div w:id="1639216558">
      <w:bodyDiv w:val="1"/>
      <w:marLeft w:val="0"/>
      <w:marRight w:val="0"/>
      <w:marTop w:val="0"/>
      <w:marBottom w:val="0"/>
      <w:divBdr>
        <w:top w:val="none" w:sz="0" w:space="0" w:color="auto"/>
        <w:left w:val="none" w:sz="0" w:space="0" w:color="auto"/>
        <w:bottom w:val="none" w:sz="0" w:space="0" w:color="auto"/>
        <w:right w:val="none" w:sz="0" w:space="0" w:color="auto"/>
      </w:divBdr>
    </w:div>
    <w:div w:id="1640650227">
      <w:bodyDiv w:val="1"/>
      <w:marLeft w:val="0"/>
      <w:marRight w:val="0"/>
      <w:marTop w:val="0"/>
      <w:marBottom w:val="0"/>
      <w:divBdr>
        <w:top w:val="none" w:sz="0" w:space="0" w:color="auto"/>
        <w:left w:val="none" w:sz="0" w:space="0" w:color="auto"/>
        <w:bottom w:val="none" w:sz="0" w:space="0" w:color="auto"/>
        <w:right w:val="none" w:sz="0" w:space="0" w:color="auto"/>
      </w:divBdr>
    </w:div>
    <w:div w:id="1645818639">
      <w:bodyDiv w:val="1"/>
      <w:marLeft w:val="0"/>
      <w:marRight w:val="0"/>
      <w:marTop w:val="0"/>
      <w:marBottom w:val="0"/>
      <w:divBdr>
        <w:top w:val="none" w:sz="0" w:space="0" w:color="auto"/>
        <w:left w:val="none" w:sz="0" w:space="0" w:color="auto"/>
        <w:bottom w:val="none" w:sz="0" w:space="0" w:color="auto"/>
        <w:right w:val="none" w:sz="0" w:space="0" w:color="auto"/>
      </w:divBdr>
    </w:div>
    <w:div w:id="1649897701">
      <w:bodyDiv w:val="1"/>
      <w:marLeft w:val="0"/>
      <w:marRight w:val="0"/>
      <w:marTop w:val="0"/>
      <w:marBottom w:val="0"/>
      <w:divBdr>
        <w:top w:val="none" w:sz="0" w:space="0" w:color="auto"/>
        <w:left w:val="none" w:sz="0" w:space="0" w:color="auto"/>
        <w:bottom w:val="none" w:sz="0" w:space="0" w:color="auto"/>
        <w:right w:val="none" w:sz="0" w:space="0" w:color="auto"/>
      </w:divBdr>
    </w:div>
    <w:div w:id="1653095616">
      <w:bodyDiv w:val="1"/>
      <w:marLeft w:val="0"/>
      <w:marRight w:val="0"/>
      <w:marTop w:val="0"/>
      <w:marBottom w:val="0"/>
      <w:divBdr>
        <w:top w:val="none" w:sz="0" w:space="0" w:color="auto"/>
        <w:left w:val="none" w:sz="0" w:space="0" w:color="auto"/>
        <w:bottom w:val="none" w:sz="0" w:space="0" w:color="auto"/>
        <w:right w:val="none" w:sz="0" w:space="0" w:color="auto"/>
      </w:divBdr>
    </w:div>
    <w:div w:id="1654992914">
      <w:bodyDiv w:val="1"/>
      <w:marLeft w:val="0"/>
      <w:marRight w:val="0"/>
      <w:marTop w:val="0"/>
      <w:marBottom w:val="0"/>
      <w:divBdr>
        <w:top w:val="none" w:sz="0" w:space="0" w:color="auto"/>
        <w:left w:val="none" w:sz="0" w:space="0" w:color="auto"/>
        <w:bottom w:val="none" w:sz="0" w:space="0" w:color="auto"/>
        <w:right w:val="none" w:sz="0" w:space="0" w:color="auto"/>
      </w:divBdr>
    </w:div>
    <w:div w:id="1658804577">
      <w:bodyDiv w:val="1"/>
      <w:marLeft w:val="0"/>
      <w:marRight w:val="0"/>
      <w:marTop w:val="0"/>
      <w:marBottom w:val="0"/>
      <w:divBdr>
        <w:top w:val="none" w:sz="0" w:space="0" w:color="auto"/>
        <w:left w:val="none" w:sz="0" w:space="0" w:color="auto"/>
        <w:bottom w:val="none" w:sz="0" w:space="0" w:color="auto"/>
        <w:right w:val="none" w:sz="0" w:space="0" w:color="auto"/>
      </w:divBdr>
    </w:div>
    <w:div w:id="1658847676">
      <w:bodyDiv w:val="1"/>
      <w:marLeft w:val="0"/>
      <w:marRight w:val="0"/>
      <w:marTop w:val="0"/>
      <w:marBottom w:val="0"/>
      <w:divBdr>
        <w:top w:val="none" w:sz="0" w:space="0" w:color="auto"/>
        <w:left w:val="none" w:sz="0" w:space="0" w:color="auto"/>
        <w:bottom w:val="none" w:sz="0" w:space="0" w:color="auto"/>
        <w:right w:val="none" w:sz="0" w:space="0" w:color="auto"/>
      </w:divBdr>
    </w:div>
    <w:div w:id="1661084161">
      <w:bodyDiv w:val="1"/>
      <w:marLeft w:val="0"/>
      <w:marRight w:val="0"/>
      <w:marTop w:val="0"/>
      <w:marBottom w:val="0"/>
      <w:divBdr>
        <w:top w:val="none" w:sz="0" w:space="0" w:color="auto"/>
        <w:left w:val="none" w:sz="0" w:space="0" w:color="auto"/>
        <w:bottom w:val="none" w:sz="0" w:space="0" w:color="auto"/>
        <w:right w:val="none" w:sz="0" w:space="0" w:color="auto"/>
      </w:divBdr>
    </w:div>
    <w:div w:id="1663580122">
      <w:bodyDiv w:val="1"/>
      <w:marLeft w:val="0"/>
      <w:marRight w:val="0"/>
      <w:marTop w:val="0"/>
      <w:marBottom w:val="0"/>
      <w:divBdr>
        <w:top w:val="none" w:sz="0" w:space="0" w:color="auto"/>
        <w:left w:val="none" w:sz="0" w:space="0" w:color="auto"/>
        <w:bottom w:val="none" w:sz="0" w:space="0" w:color="auto"/>
        <w:right w:val="none" w:sz="0" w:space="0" w:color="auto"/>
      </w:divBdr>
    </w:div>
    <w:div w:id="1664118283">
      <w:bodyDiv w:val="1"/>
      <w:marLeft w:val="0"/>
      <w:marRight w:val="0"/>
      <w:marTop w:val="0"/>
      <w:marBottom w:val="0"/>
      <w:divBdr>
        <w:top w:val="none" w:sz="0" w:space="0" w:color="auto"/>
        <w:left w:val="none" w:sz="0" w:space="0" w:color="auto"/>
        <w:bottom w:val="none" w:sz="0" w:space="0" w:color="auto"/>
        <w:right w:val="none" w:sz="0" w:space="0" w:color="auto"/>
      </w:divBdr>
    </w:div>
    <w:div w:id="1668628896">
      <w:bodyDiv w:val="1"/>
      <w:marLeft w:val="0"/>
      <w:marRight w:val="0"/>
      <w:marTop w:val="0"/>
      <w:marBottom w:val="0"/>
      <w:divBdr>
        <w:top w:val="none" w:sz="0" w:space="0" w:color="auto"/>
        <w:left w:val="none" w:sz="0" w:space="0" w:color="auto"/>
        <w:bottom w:val="none" w:sz="0" w:space="0" w:color="auto"/>
        <w:right w:val="none" w:sz="0" w:space="0" w:color="auto"/>
      </w:divBdr>
    </w:div>
    <w:div w:id="1668904452">
      <w:bodyDiv w:val="1"/>
      <w:marLeft w:val="0"/>
      <w:marRight w:val="0"/>
      <w:marTop w:val="0"/>
      <w:marBottom w:val="0"/>
      <w:divBdr>
        <w:top w:val="none" w:sz="0" w:space="0" w:color="auto"/>
        <w:left w:val="none" w:sz="0" w:space="0" w:color="auto"/>
        <w:bottom w:val="none" w:sz="0" w:space="0" w:color="auto"/>
        <w:right w:val="none" w:sz="0" w:space="0" w:color="auto"/>
      </w:divBdr>
    </w:div>
    <w:div w:id="1669675471">
      <w:bodyDiv w:val="1"/>
      <w:marLeft w:val="0"/>
      <w:marRight w:val="0"/>
      <w:marTop w:val="0"/>
      <w:marBottom w:val="0"/>
      <w:divBdr>
        <w:top w:val="none" w:sz="0" w:space="0" w:color="auto"/>
        <w:left w:val="none" w:sz="0" w:space="0" w:color="auto"/>
        <w:bottom w:val="none" w:sz="0" w:space="0" w:color="auto"/>
        <w:right w:val="none" w:sz="0" w:space="0" w:color="auto"/>
      </w:divBdr>
    </w:div>
    <w:div w:id="1675692300">
      <w:bodyDiv w:val="1"/>
      <w:marLeft w:val="0"/>
      <w:marRight w:val="0"/>
      <w:marTop w:val="0"/>
      <w:marBottom w:val="0"/>
      <w:divBdr>
        <w:top w:val="none" w:sz="0" w:space="0" w:color="auto"/>
        <w:left w:val="none" w:sz="0" w:space="0" w:color="auto"/>
        <w:bottom w:val="none" w:sz="0" w:space="0" w:color="auto"/>
        <w:right w:val="none" w:sz="0" w:space="0" w:color="auto"/>
      </w:divBdr>
    </w:div>
    <w:div w:id="1677078589">
      <w:bodyDiv w:val="1"/>
      <w:marLeft w:val="0"/>
      <w:marRight w:val="0"/>
      <w:marTop w:val="0"/>
      <w:marBottom w:val="0"/>
      <w:divBdr>
        <w:top w:val="none" w:sz="0" w:space="0" w:color="auto"/>
        <w:left w:val="none" w:sz="0" w:space="0" w:color="auto"/>
        <w:bottom w:val="none" w:sz="0" w:space="0" w:color="auto"/>
        <w:right w:val="none" w:sz="0" w:space="0" w:color="auto"/>
      </w:divBdr>
    </w:div>
    <w:div w:id="1677268366">
      <w:bodyDiv w:val="1"/>
      <w:marLeft w:val="0"/>
      <w:marRight w:val="0"/>
      <w:marTop w:val="0"/>
      <w:marBottom w:val="0"/>
      <w:divBdr>
        <w:top w:val="none" w:sz="0" w:space="0" w:color="auto"/>
        <w:left w:val="none" w:sz="0" w:space="0" w:color="auto"/>
        <w:bottom w:val="none" w:sz="0" w:space="0" w:color="auto"/>
        <w:right w:val="none" w:sz="0" w:space="0" w:color="auto"/>
      </w:divBdr>
    </w:div>
    <w:div w:id="1679233288">
      <w:bodyDiv w:val="1"/>
      <w:marLeft w:val="0"/>
      <w:marRight w:val="0"/>
      <w:marTop w:val="0"/>
      <w:marBottom w:val="0"/>
      <w:divBdr>
        <w:top w:val="none" w:sz="0" w:space="0" w:color="auto"/>
        <w:left w:val="none" w:sz="0" w:space="0" w:color="auto"/>
        <w:bottom w:val="none" w:sz="0" w:space="0" w:color="auto"/>
        <w:right w:val="none" w:sz="0" w:space="0" w:color="auto"/>
      </w:divBdr>
    </w:div>
    <w:div w:id="1684239854">
      <w:bodyDiv w:val="1"/>
      <w:marLeft w:val="0"/>
      <w:marRight w:val="0"/>
      <w:marTop w:val="0"/>
      <w:marBottom w:val="0"/>
      <w:divBdr>
        <w:top w:val="none" w:sz="0" w:space="0" w:color="auto"/>
        <w:left w:val="none" w:sz="0" w:space="0" w:color="auto"/>
        <w:bottom w:val="none" w:sz="0" w:space="0" w:color="auto"/>
        <w:right w:val="none" w:sz="0" w:space="0" w:color="auto"/>
      </w:divBdr>
    </w:div>
    <w:div w:id="1684892851">
      <w:bodyDiv w:val="1"/>
      <w:marLeft w:val="0"/>
      <w:marRight w:val="0"/>
      <w:marTop w:val="0"/>
      <w:marBottom w:val="0"/>
      <w:divBdr>
        <w:top w:val="none" w:sz="0" w:space="0" w:color="auto"/>
        <w:left w:val="none" w:sz="0" w:space="0" w:color="auto"/>
        <w:bottom w:val="none" w:sz="0" w:space="0" w:color="auto"/>
        <w:right w:val="none" w:sz="0" w:space="0" w:color="auto"/>
      </w:divBdr>
    </w:div>
    <w:div w:id="1687755144">
      <w:bodyDiv w:val="1"/>
      <w:marLeft w:val="0"/>
      <w:marRight w:val="0"/>
      <w:marTop w:val="0"/>
      <w:marBottom w:val="0"/>
      <w:divBdr>
        <w:top w:val="none" w:sz="0" w:space="0" w:color="auto"/>
        <w:left w:val="none" w:sz="0" w:space="0" w:color="auto"/>
        <w:bottom w:val="none" w:sz="0" w:space="0" w:color="auto"/>
        <w:right w:val="none" w:sz="0" w:space="0" w:color="auto"/>
      </w:divBdr>
    </w:div>
    <w:div w:id="1693145898">
      <w:bodyDiv w:val="1"/>
      <w:marLeft w:val="0"/>
      <w:marRight w:val="0"/>
      <w:marTop w:val="0"/>
      <w:marBottom w:val="0"/>
      <w:divBdr>
        <w:top w:val="none" w:sz="0" w:space="0" w:color="auto"/>
        <w:left w:val="none" w:sz="0" w:space="0" w:color="auto"/>
        <w:bottom w:val="none" w:sz="0" w:space="0" w:color="auto"/>
        <w:right w:val="none" w:sz="0" w:space="0" w:color="auto"/>
      </w:divBdr>
    </w:div>
    <w:div w:id="1696006264">
      <w:bodyDiv w:val="1"/>
      <w:marLeft w:val="0"/>
      <w:marRight w:val="0"/>
      <w:marTop w:val="0"/>
      <w:marBottom w:val="0"/>
      <w:divBdr>
        <w:top w:val="none" w:sz="0" w:space="0" w:color="auto"/>
        <w:left w:val="none" w:sz="0" w:space="0" w:color="auto"/>
        <w:bottom w:val="none" w:sz="0" w:space="0" w:color="auto"/>
        <w:right w:val="none" w:sz="0" w:space="0" w:color="auto"/>
      </w:divBdr>
    </w:div>
    <w:div w:id="1706439919">
      <w:bodyDiv w:val="1"/>
      <w:marLeft w:val="0"/>
      <w:marRight w:val="0"/>
      <w:marTop w:val="0"/>
      <w:marBottom w:val="0"/>
      <w:divBdr>
        <w:top w:val="none" w:sz="0" w:space="0" w:color="auto"/>
        <w:left w:val="none" w:sz="0" w:space="0" w:color="auto"/>
        <w:bottom w:val="none" w:sz="0" w:space="0" w:color="auto"/>
        <w:right w:val="none" w:sz="0" w:space="0" w:color="auto"/>
      </w:divBdr>
    </w:div>
    <w:div w:id="1706909716">
      <w:bodyDiv w:val="1"/>
      <w:marLeft w:val="0"/>
      <w:marRight w:val="0"/>
      <w:marTop w:val="0"/>
      <w:marBottom w:val="0"/>
      <w:divBdr>
        <w:top w:val="none" w:sz="0" w:space="0" w:color="auto"/>
        <w:left w:val="none" w:sz="0" w:space="0" w:color="auto"/>
        <w:bottom w:val="none" w:sz="0" w:space="0" w:color="auto"/>
        <w:right w:val="none" w:sz="0" w:space="0" w:color="auto"/>
      </w:divBdr>
    </w:div>
    <w:div w:id="1706980314">
      <w:bodyDiv w:val="1"/>
      <w:marLeft w:val="0"/>
      <w:marRight w:val="0"/>
      <w:marTop w:val="0"/>
      <w:marBottom w:val="0"/>
      <w:divBdr>
        <w:top w:val="none" w:sz="0" w:space="0" w:color="auto"/>
        <w:left w:val="none" w:sz="0" w:space="0" w:color="auto"/>
        <w:bottom w:val="none" w:sz="0" w:space="0" w:color="auto"/>
        <w:right w:val="none" w:sz="0" w:space="0" w:color="auto"/>
      </w:divBdr>
    </w:div>
    <w:div w:id="1713919505">
      <w:bodyDiv w:val="1"/>
      <w:marLeft w:val="0"/>
      <w:marRight w:val="0"/>
      <w:marTop w:val="0"/>
      <w:marBottom w:val="0"/>
      <w:divBdr>
        <w:top w:val="none" w:sz="0" w:space="0" w:color="auto"/>
        <w:left w:val="none" w:sz="0" w:space="0" w:color="auto"/>
        <w:bottom w:val="none" w:sz="0" w:space="0" w:color="auto"/>
        <w:right w:val="none" w:sz="0" w:space="0" w:color="auto"/>
      </w:divBdr>
    </w:div>
    <w:div w:id="1720780036">
      <w:bodyDiv w:val="1"/>
      <w:marLeft w:val="0"/>
      <w:marRight w:val="0"/>
      <w:marTop w:val="0"/>
      <w:marBottom w:val="0"/>
      <w:divBdr>
        <w:top w:val="none" w:sz="0" w:space="0" w:color="auto"/>
        <w:left w:val="none" w:sz="0" w:space="0" w:color="auto"/>
        <w:bottom w:val="none" w:sz="0" w:space="0" w:color="auto"/>
        <w:right w:val="none" w:sz="0" w:space="0" w:color="auto"/>
      </w:divBdr>
    </w:div>
    <w:div w:id="1723676631">
      <w:bodyDiv w:val="1"/>
      <w:marLeft w:val="0"/>
      <w:marRight w:val="0"/>
      <w:marTop w:val="0"/>
      <w:marBottom w:val="0"/>
      <w:divBdr>
        <w:top w:val="none" w:sz="0" w:space="0" w:color="auto"/>
        <w:left w:val="none" w:sz="0" w:space="0" w:color="auto"/>
        <w:bottom w:val="none" w:sz="0" w:space="0" w:color="auto"/>
        <w:right w:val="none" w:sz="0" w:space="0" w:color="auto"/>
      </w:divBdr>
    </w:div>
    <w:div w:id="1731034252">
      <w:bodyDiv w:val="1"/>
      <w:marLeft w:val="0"/>
      <w:marRight w:val="0"/>
      <w:marTop w:val="0"/>
      <w:marBottom w:val="0"/>
      <w:divBdr>
        <w:top w:val="none" w:sz="0" w:space="0" w:color="auto"/>
        <w:left w:val="none" w:sz="0" w:space="0" w:color="auto"/>
        <w:bottom w:val="none" w:sz="0" w:space="0" w:color="auto"/>
        <w:right w:val="none" w:sz="0" w:space="0" w:color="auto"/>
      </w:divBdr>
    </w:div>
    <w:div w:id="1734936252">
      <w:bodyDiv w:val="1"/>
      <w:marLeft w:val="0"/>
      <w:marRight w:val="0"/>
      <w:marTop w:val="0"/>
      <w:marBottom w:val="0"/>
      <w:divBdr>
        <w:top w:val="none" w:sz="0" w:space="0" w:color="auto"/>
        <w:left w:val="none" w:sz="0" w:space="0" w:color="auto"/>
        <w:bottom w:val="none" w:sz="0" w:space="0" w:color="auto"/>
        <w:right w:val="none" w:sz="0" w:space="0" w:color="auto"/>
      </w:divBdr>
    </w:div>
    <w:div w:id="1737897267">
      <w:bodyDiv w:val="1"/>
      <w:marLeft w:val="0"/>
      <w:marRight w:val="0"/>
      <w:marTop w:val="0"/>
      <w:marBottom w:val="0"/>
      <w:divBdr>
        <w:top w:val="none" w:sz="0" w:space="0" w:color="auto"/>
        <w:left w:val="none" w:sz="0" w:space="0" w:color="auto"/>
        <w:bottom w:val="none" w:sz="0" w:space="0" w:color="auto"/>
        <w:right w:val="none" w:sz="0" w:space="0" w:color="auto"/>
      </w:divBdr>
    </w:div>
    <w:div w:id="1738017863">
      <w:bodyDiv w:val="1"/>
      <w:marLeft w:val="0"/>
      <w:marRight w:val="0"/>
      <w:marTop w:val="0"/>
      <w:marBottom w:val="0"/>
      <w:divBdr>
        <w:top w:val="none" w:sz="0" w:space="0" w:color="auto"/>
        <w:left w:val="none" w:sz="0" w:space="0" w:color="auto"/>
        <w:bottom w:val="none" w:sz="0" w:space="0" w:color="auto"/>
        <w:right w:val="none" w:sz="0" w:space="0" w:color="auto"/>
      </w:divBdr>
    </w:div>
    <w:div w:id="1745907884">
      <w:bodyDiv w:val="1"/>
      <w:marLeft w:val="0"/>
      <w:marRight w:val="0"/>
      <w:marTop w:val="0"/>
      <w:marBottom w:val="0"/>
      <w:divBdr>
        <w:top w:val="none" w:sz="0" w:space="0" w:color="auto"/>
        <w:left w:val="none" w:sz="0" w:space="0" w:color="auto"/>
        <w:bottom w:val="none" w:sz="0" w:space="0" w:color="auto"/>
        <w:right w:val="none" w:sz="0" w:space="0" w:color="auto"/>
      </w:divBdr>
    </w:div>
    <w:div w:id="1747531796">
      <w:bodyDiv w:val="1"/>
      <w:marLeft w:val="0"/>
      <w:marRight w:val="0"/>
      <w:marTop w:val="0"/>
      <w:marBottom w:val="0"/>
      <w:divBdr>
        <w:top w:val="none" w:sz="0" w:space="0" w:color="auto"/>
        <w:left w:val="none" w:sz="0" w:space="0" w:color="auto"/>
        <w:bottom w:val="none" w:sz="0" w:space="0" w:color="auto"/>
        <w:right w:val="none" w:sz="0" w:space="0" w:color="auto"/>
      </w:divBdr>
    </w:div>
    <w:div w:id="1756434207">
      <w:bodyDiv w:val="1"/>
      <w:marLeft w:val="0"/>
      <w:marRight w:val="0"/>
      <w:marTop w:val="0"/>
      <w:marBottom w:val="0"/>
      <w:divBdr>
        <w:top w:val="none" w:sz="0" w:space="0" w:color="auto"/>
        <w:left w:val="none" w:sz="0" w:space="0" w:color="auto"/>
        <w:bottom w:val="none" w:sz="0" w:space="0" w:color="auto"/>
        <w:right w:val="none" w:sz="0" w:space="0" w:color="auto"/>
      </w:divBdr>
    </w:div>
    <w:div w:id="1761827841">
      <w:bodyDiv w:val="1"/>
      <w:marLeft w:val="0"/>
      <w:marRight w:val="0"/>
      <w:marTop w:val="0"/>
      <w:marBottom w:val="0"/>
      <w:divBdr>
        <w:top w:val="none" w:sz="0" w:space="0" w:color="auto"/>
        <w:left w:val="none" w:sz="0" w:space="0" w:color="auto"/>
        <w:bottom w:val="none" w:sz="0" w:space="0" w:color="auto"/>
        <w:right w:val="none" w:sz="0" w:space="0" w:color="auto"/>
      </w:divBdr>
    </w:div>
    <w:div w:id="1764917147">
      <w:bodyDiv w:val="1"/>
      <w:marLeft w:val="0"/>
      <w:marRight w:val="0"/>
      <w:marTop w:val="0"/>
      <w:marBottom w:val="0"/>
      <w:divBdr>
        <w:top w:val="none" w:sz="0" w:space="0" w:color="auto"/>
        <w:left w:val="none" w:sz="0" w:space="0" w:color="auto"/>
        <w:bottom w:val="none" w:sz="0" w:space="0" w:color="auto"/>
        <w:right w:val="none" w:sz="0" w:space="0" w:color="auto"/>
      </w:divBdr>
    </w:div>
    <w:div w:id="1766221556">
      <w:bodyDiv w:val="1"/>
      <w:marLeft w:val="0"/>
      <w:marRight w:val="0"/>
      <w:marTop w:val="0"/>
      <w:marBottom w:val="0"/>
      <w:divBdr>
        <w:top w:val="none" w:sz="0" w:space="0" w:color="auto"/>
        <w:left w:val="none" w:sz="0" w:space="0" w:color="auto"/>
        <w:bottom w:val="none" w:sz="0" w:space="0" w:color="auto"/>
        <w:right w:val="none" w:sz="0" w:space="0" w:color="auto"/>
      </w:divBdr>
    </w:div>
    <w:div w:id="1780099498">
      <w:bodyDiv w:val="1"/>
      <w:marLeft w:val="0"/>
      <w:marRight w:val="0"/>
      <w:marTop w:val="0"/>
      <w:marBottom w:val="0"/>
      <w:divBdr>
        <w:top w:val="none" w:sz="0" w:space="0" w:color="auto"/>
        <w:left w:val="none" w:sz="0" w:space="0" w:color="auto"/>
        <w:bottom w:val="none" w:sz="0" w:space="0" w:color="auto"/>
        <w:right w:val="none" w:sz="0" w:space="0" w:color="auto"/>
      </w:divBdr>
    </w:div>
    <w:div w:id="1784494007">
      <w:bodyDiv w:val="1"/>
      <w:marLeft w:val="0"/>
      <w:marRight w:val="0"/>
      <w:marTop w:val="0"/>
      <w:marBottom w:val="0"/>
      <w:divBdr>
        <w:top w:val="none" w:sz="0" w:space="0" w:color="auto"/>
        <w:left w:val="none" w:sz="0" w:space="0" w:color="auto"/>
        <w:bottom w:val="none" w:sz="0" w:space="0" w:color="auto"/>
        <w:right w:val="none" w:sz="0" w:space="0" w:color="auto"/>
      </w:divBdr>
    </w:div>
    <w:div w:id="1786997467">
      <w:bodyDiv w:val="1"/>
      <w:marLeft w:val="0"/>
      <w:marRight w:val="0"/>
      <w:marTop w:val="0"/>
      <w:marBottom w:val="0"/>
      <w:divBdr>
        <w:top w:val="none" w:sz="0" w:space="0" w:color="auto"/>
        <w:left w:val="none" w:sz="0" w:space="0" w:color="auto"/>
        <w:bottom w:val="none" w:sz="0" w:space="0" w:color="auto"/>
        <w:right w:val="none" w:sz="0" w:space="0" w:color="auto"/>
      </w:divBdr>
    </w:div>
    <w:div w:id="1793593818">
      <w:bodyDiv w:val="1"/>
      <w:marLeft w:val="0"/>
      <w:marRight w:val="0"/>
      <w:marTop w:val="0"/>
      <w:marBottom w:val="0"/>
      <w:divBdr>
        <w:top w:val="none" w:sz="0" w:space="0" w:color="auto"/>
        <w:left w:val="none" w:sz="0" w:space="0" w:color="auto"/>
        <w:bottom w:val="none" w:sz="0" w:space="0" w:color="auto"/>
        <w:right w:val="none" w:sz="0" w:space="0" w:color="auto"/>
      </w:divBdr>
    </w:div>
    <w:div w:id="1797598720">
      <w:bodyDiv w:val="1"/>
      <w:marLeft w:val="0"/>
      <w:marRight w:val="0"/>
      <w:marTop w:val="0"/>
      <w:marBottom w:val="0"/>
      <w:divBdr>
        <w:top w:val="none" w:sz="0" w:space="0" w:color="auto"/>
        <w:left w:val="none" w:sz="0" w:space="0" w:color="auto"/>
        <w:bottom w:val="none" w:sz="0" w:space="0" w:color="auto"/>
        <w:right w:val="none" w:sz="0" w:space="0" w:color="auto"/>
      </w:divBdr>
    </w:div>
    <w:div w:id="1798597135">
      <w:bodyDiv w:val="1"/>
      <w:marLeft w:val="0"/>
      <w:marRight w:val="0"/>
      <w:marTop w:val="0"/>
      <w:marBottom w:val="0"/>
      <w:divBdr>
        <w:top w:val="none" w:sz="0" w:space="0" w:color="auto"/>
        <w:left w:val="none" w:sz="0" w:space="0" w:color="auto"/>
        <w:bottom w:val="none" w:sz="0" w:space="0" w:color="auto"/>
        <w:right w:val="none" w:sz="0" w:space="0" w:color="auto"/>
      </w:divBdr>
    </w:div>
    <w:div w:id="1799108417">
      <w:bodyDiv w:val="1"/>
      <w:marLeft w:val="0"/>
      <w:marRight w:val="0"/>
      <w:marTop w:val="0"/>
      <w:marBottom w:val="0"/>
      <w:divBdr>
        <w:top w:val="none" w:sz="0" w:space="0" w:color="auto"/>
        <w:left w:val="none" w:sz="0" w:space="0" w:color="auto"/>
        <w:bottom w:val="none" w:sz="0" w:space="0" w:color="auto"/>
        <w:right w:val="none" w:sz="0" w:space="0" w:color="auto"/>
      </w:divBdr>
    </w:div>
    <w:div w:id="1801148813">
      <w:bodyDiv w:val="1"/>
      <w:marLeft w:val="0"/>
      <w:marRight w:val="0"/>
      <w:marTop w:val="0"/>
      <w:marBottom w:val="0"/>
      <w:divBdr>
        <w:top w:val="none" w:sz="0" w:space="0" w:color="auto"/>
        <w:left w:val="none" w:sz="0" w:space="0" w:color="auto"/>
        <w:bottom w:val="none" w:sz="0" w:space="0" w:color="auto"/>
        <w:right w:val="none" w:sz="0" w:space="0" w:color="auto"/>
      </w:divBdr>
    </w:div>
    <w:div w:id="1812361982">
      <w:bodyDiv w:val="1"/>
      <w:marLeft w:val="0"/>
      <w:marRight w:val="0"/>
      <w:marTop w:val="0"/>
      <w:marBottom w:val="0"/>
      <w:divBdr>
        <w:top w:val="none" w:sz="0" w:space="0" w:color="auto"/>
        <w:left w:val="none" w:sz="0" w:space="0" w:color="auto"/>
        <w:bottom w:val="none" w:sz="0" w:space="0" w:color="auto"/>
        <w:right w:val="none" w:sz="0" w:space="0" w:color="auto"/>
      </w:divBdr>
    </w:div>
    <w:div w:id="1827162330">
      <w:bodyDiv w:val="1"/>
      <w:marLeft w:val="0"/>
      <w:marRight w:val="0"/>
      <w:marTop w:val="0"/>
      <w:marBottom w:val="0"/>
      <w:divBdr>
        <w:top w:val="none" w:sz="0" w:space="0" w:color="auto"/>
        <w:left w:val="none" w:sz="0" w:space="0" w:color="auto"/>
        <w:bottom w:val="none" w:sz="0" w:space="0" w:color="auto"/>
        <w:right w:val="none" w:sz="0" w:space="0" w:color="auto"/>
      </w:divBdr>
    </w:div>
    <w:div w:id="1827932491">
      <w:bodyDiv w:val="1"/>
      <w:marLeft w:val="0"/>
      <w:marRight w:val="0"/>
      <w:marTop w:val="0"/>
      <w:marBottom w:val="0"/>
      <w:divBdr>
        <w:top w:val="none" w:sz="0" w:space="0" w:color="auto"/>
        <w:left w:val="none" w:sz="0" w:space="0" w:color="auto"/>
        <w:bottom w:val="none" w:sz="0" w:space="0" w:color="auto"/>
        <w:right w:val="none" w:sz="0" w:space="0" w:color="auto"/>
      </w:divBdr>
    </w:div>
    <w:div w:id="1827941487">
      <w:bodyDiv w:val="1"/>
      <w:marLeft w:val="0"/>
      <w:marRight w:val="0"/>
      <w:marTop w:val="0"/>
      <w:marBottom w:val="0"/>
      <w:divBdr>
        <w:top w:val="none" w:sz="0" w:space="0" w:color="auto"/>
        <w:left w:val="none" w:sz="0" w:space="0" w:color="auto"/>
        <w:bottom w:val="none" w:sz="0" w:space="0" w:color="auto"/>
        <w:right w:val="none" w:sz="0" w:space="0" w:color="auto"/>
      </w:divBdr>
    </w:div>
    <w:div w:id="1828091420">
      <w:bodyDiv w:val="1"/>
      <w:marLeft w:val="0"/>
      <w:marRight w:val="0"/>
      <w:marTop w:val="0"/>
      <w:marBottom w:val="0"/>
      <w:divBdr>
        <w:top w:val="none" w:sz="0" w:space="0" w:color="auto"/>
        <w:left w:val="none" w:sz="0" w:space="0" w:color="auto"/>
        <w:bottom w:val="none" w:sz="0" w:space="0" w:color="auto"/>
        <w:right w:val="none" w:sz="0" w:space="0" w:color="auto"/>
      </w:divBdr>
    </w:div>
    <w:div w:id="1828663848">
      <w:bodyDiv w:val="1"/>
      <w:marLeft w:val="0"/>
      <w:marRight w:val="0"/>
      <w:marTop w:val="0"/>
      <w:marBottom w:val="0"/>
      <w:divBdr>
        <w:top w:val="none" w:sz="0" w:space="0" w:color="auto"/>
        <w:left w:val="none" w:sz="0" w:space="0" w:color="auto"/>
        <w:bottom w:val="none" w:sz="0" w:space="0" w:color="auto"/>
        <w:right w:val="none" w:sz="0" w:space="0" w:color="auto"/>
      </w:divBdr>
    </w:div>
    <w:div w:id="1829400647">
      <w:bodyDiv w:val="1"/>
      <w:marLeft w:val="0"/>
      <w:marRight w:val="0"/>
      <w:marTop w:val="0"/>
      <w:marBottom w:val="0"/>
      <w:divBdr>
        <w:top w:val="none" w:sz="0" w:space="0" w:color="auto"/>
        <w:left w:val="none" w:sz="0" w:space="0" w:color="auto"/>
        <w:bottom w:val="none" w:sz="0" w:space="0" w:color="auto"/>
        <w:right w:val="none" w:sz="0" w:space="0" w:color="auto"/>
      </w:divBdr>
    </w:div>
    <w:div w:id="1829445815">
      <w:bodyDiv w:val="1"/>
      <w:marLeft w:val="0"/>
      <w:marRight w:val="0"/>
      <w:marTop w:val="0"/>
      <w:marBottom w:val="0"/>
      <w:divBdr>
        <w:top w:val="none" w:sz="0" w:space="0" w:color="auto"/>
        <w:left w:val="none" w:sz="0" w:space="0" w:color="auto"/>
        <w:bottom w:val="none" w:sz="0" w:space="0" w:color="auto"/>
        <w:right w:val="none" w:sz="0" w:space="0" w:color="auto"/>
      </w:divBdr>
    </w:div>
    <w:div w:id="1839495857">
      <w:bodyDiv w:val="1"/>
      <w:marLeft w:val="0"/>
      <w:marRight w:val="0"/>
      <w:marTop w:val="0"/>
      <w:marBottom w:val="0"/>
      <w:divBdr>
        <w:top w:val="none" w:sz="0" w:space="0" w:color="auto"/>
        <w:left w:val="none" w:sz="0" w:space="0" w:color="auto"/>
        <w:bottom w:val="none" w:sz="0" w:space="0" w:color="auto"/>
        <w:right w:val="none" w:sz="0" w:space="0" w:color="auto"/>
      </w:divBdr>
    </w:div>
    <w:div w:id="1841695694">
      <w:bodyDiv w:val="1"/>
      <w:marLeft w:val="0"/>
      <w:marRight w:val="0"/>
      <w:marTop w:val="0"/>
      <w:marBottom w:val="0"/>
      <w:divBdr>
        <w:top w:val="none" w:sz="0" w:space="0" w:color="auto"/>
        <w:left w:val="none" w:sz="0" w:space="0" w:color="auto"/>
        <w:bottom w:val="none" w:sz="0" w:space="0" w:color="auto"/>
        <w:right w:val="none" w:sz="0" w:space="0" w:color="auto"/>
      </w:divBdr>
    </w:div>
    <w:div w:id="1845314568">
      <w:bodyDiv w:val="1"/>
      <w:marLeft w:val="0"/>
      <w:marRight w:val="0"/>
      <w:marTop w:val="0"/>
      <w:marBottom w:val="0"/>
      <w:divBdr>
        <w:top w:val="none" w:sz="0" w:space="0" w:color="auto"/>
        <w:left w:val="none" w:sz="0" w:space="0" w:color="auto"/>
        <w:bottom w:val="none" w:sz="0" w:space="0" w:color="auto"/>
        <w:right w:val="none" w:sz="0" w:space="0" w:color="auto"/>
      </w:divBdr>
    </w:div>
    <w:div w:id="1849517881">
      <w:bodyDiv w:val="1"/>
      <w:marLeft w:val="0"/>
      <w:marRight w:val="0"/>
      <w:marTop w:val="0"/>
      <w:marBottom w:val="0"/>
      <w:divBdr>
        <w:top w:val="none" w:sz="0" w:space="0" w:color="auto"/>
        <w:left w:val="none" w:sz="0" w:space="0" w:color="auto"/>
        <w:bottom w:val="none" w:sz="0" w:space="0" w:color="auto"/>
        <w:right w:val="none" w:sz="0" w:space="0" w:color="auto"/>
      </w:divBdr>
    </w:div>
    <w:div w:id="1851719930">
      <w:bodyDiv w:val="1"/>
      <w:marLeft w:val="0"/>
      <w:marRight w:val="0"/>
      <w:marTop w:val="0"/>
      <w:marBottom w:val="0"/>
      <w:divBdr>
        <w:top w:val="none" w:sz="0" w:space="0" w:color="auto"/>
        <w:left w:val="none" w:sz="0" w:space="0" w:color="auto"/>
        <w:bottom w:val="none" w:sz="0" w:space="0" w:color="auto"/>
        <w:right w:val="none" w:sz="0" w:space="0" w:color="auto"/>
      </w:divBdr>
    </w:div>
    <w:div w:id="1852451268">
      <w:bodyDiv w:val="1"/>
      <w:marLeft w:val="0"/>
      <w:marRight w:val="0"/>
      <w:marTop w:val="0"/>
      <w:marBottom w:val="0"/>
      <w:divBdr>
        <w:top w:val="none" w:sz="0" w:space="0" w:color="auto"/>
        <w:left w:val="none" w:sz="0" w:space="0" w:color="auto"/>
        <w:bottom w:val="none" w:sz="0" w:space="0" w:color="auto"/>
        <w:right w:val="none" w:sz="0" w:space="0" w:color="auto"/>
      </w:divBdr>
    </w:div>
    <w:div w:id="1853108488">
      <w:bodyDiv w:val="1"/>
      <w:marLeft w:val="0"/>
      <w:marRight w:val="0"/>
      <w:marTop w:val="0"/>
      <w:marBottom w:val="0"/>
      <w:divBdr>
        <w:top w:val="none" w:sz="0" w:space="0" w:color="auto"/>
        <w:left w:val="none" w:sz="0" w:space="0" w:color="auto"/>
        <w:bottom w:val="none" w:sz="0" w:space="0" w:color="auto"/>
        <w:right w:val="none" w:sz="0" w:space="0" w:color="auto"/>
      </w:divBdr>
    </w:div>
    <w:div w:id="1854223774">
      <w:bodyDiv w:val="1"/>
      <w:marLeft w:val="0"/>
      <w:marRight w:val="0"/>
      <w:marTop w:val="0"/>
      <w:marBottom w:val="0"/>
      <w:divBdr>
        <w:top w:val="none" w:sz="0" w:space="0" w:color="auto"/>
        <w:left w:val="none" w:sz="0" w:space="0" w:color="auto"/>
        <w:bottom w:val="none" w:sz="0" w:space="0" w:color="auto"/>
        <w:right w:val="none" w:sz="0" w:space="0" w:color="auto"/>
      </w:divBdr>
    </w:div>
    <w:div w:id="1854685041">
      <w:bodyDiv w:val="1"/>
      <w:marLeft w:val="0"/>
      <w:marRight w:val="0"/>
      <w:marTop w:val="0"/>
      <w:marBottom w:val="0"/>
      <w:divBdr>
        <w:top w:val="none" w:sz="0" w:space="0" w:color="auto"/>
        <w:left w:val="none" w:sz="0" w:space="0" w:color="auto"/>
        <w:bottom w:val="none" w:sz="0" w:space="0" w:color="auto"/>
        <w:right w:val="none" w:sz="0" w:space="0" w:color="auto"/>
      </w:divBdr>
    </w:div>
    <w:div w:id="1863279259">
      <w:bodyDiv w:val="1"/>
      <w:marLeft w:val="0"/>
      <w:marRight w:val="0"/>
      <w:marTop w:val="0"/>
      <w:marBottom w:val="0"/>
      <w:divBdr>
        <w:top w:val="none" w:sz="0" w:space="0" w:color="auto"/>
        <w:left w:val="none" w:sz="0" w:space="0" w:color="auto"/>
        <w:bottom w:val="none" w:sz="0" w:space="0" w:color="auto"/>
        <w:right w:val="none" w:sz="0" w:space="0" w:color="auto"/>
      </w:divBdr>
    </w:div>
    <w:div w:id="1866551499">
      <w:bodyDiv w:val="1"/>
      <w:marLeft w:val="0"/>
      <w:marRight w:val="0"/>
      <w:marTop w:val="0"/>
      <w:marBottom w:val="0"/>
      <w:divBdr>
        <w:top w:val="none" w:sz="0" w:space="0" w:color="auto"/>
        <w:left w:val="none" w:sz="0" w:space="0" w:color="auto"/>
        <w:bottom w:val="none" w:sz="0" w:space="0" w:color="auto"/>
        <w:right w:val="none" w:sz="0" w:space="0" w:color="auto"/>
      </w:divBdr>
    </w:div>
    <w:div w:id="1868522730">
      <w:bodyDiv w:val="1"/>
      <w:marLeft w:val="0"/>
      <w:marRight w:val="0"/>
      <w:marTop w:val="0"/>
      <w:marBottom w:val="0"/>
      <w:divBdr>
        <w:top w:val="none" w:sz="0" w:space="0" w:color="auto"/>
        <w:left w:val="none" w:sz="0" w:space="0" w:color="auto"/>
        <w:bottom w:val="none" w:sz="0" w:space="0" w:color="auto"/>
        <w:right w:val="none" w:sz="0" w:space="0" w:color="auto"/>
      </w:divBdr>
    </w:div>
    <w:div w:id="1878740929">
      <w:bodyDiv w:val="1"/>
      <w:marLeft w:val="0"/>
      <w:marRight w:val="0"/>
      <w:marTop w:val="0"/>
      <w:marBottom w:val="0"/>
      <w:divBdr>
        <w:top w:val="none" w:sz="0" w:space="0" w:color="auto"/>
        <w:left w:val="none" w:sz="0" w:space="0" w:color="auto"/>
        <w:bottom w:val="none" w:sz="0" w:space="0" w:color="auto"/>
        <w:right w:val="none" w:sz="0" w:space="0" w:color="auto"/>
      </w:divBdr>
    </w:div>
    <w:div w:id="1884752579">
      <w:bodyDiv w:val="1"/>
      <w:marLeft w:val="0"/>
      <w:marRight w:val="0"/>
      <w:marTop w:val="0"/>
      <w:marBottom w:val="0"/>
      <w:divBdr>
        <w:top w:val="none" w:sz="0" w:space="0" w:color="auto"/>
        <w:left w:val="none" w:sz="0" w:space="0" w:color="auto"/>
        <w:bottom w:val="none" w:sz="0" w:space="0" w:color="auto"/>
        <w:right w:val="none" w:sz="0" w:space="0" w:color="auto"/>
      </w:divBdr>
    </w:div>
    <w:div w:id="1886327682">
      <w:bodyDiv w:val="1"/>
      <w:marLeft w:val="0"/>
      <w:marRight w:val="0"/>
      <w:marTop w:val="0"/>
      <w:marBottom w:val="0"/>
      <w:divBdr>
        <w:top w:val="none" w:sz="0" w:space="0" w:color="auto"/>
        <w:left w:val="none" w:sz="0" w:space="0" w:color="auto"/>
        <w:bottom w:val="none" w:sz="0" w:space="0" w:color="auto"/>
        <w:right w:val="none" w:sz="0" w:space="0" w:color="auto"/>
      </w:divBdr>
    </w:div>
    <w:div w:id="1893492804">
      <w:bodyDiv w:val="1"/>
      <w:marLeft w:val="0"/>
      <w:marRight w:val="0"/>
      <w:marTop w:val="0"/>
      <w:marBottom w:val="0"/>
      <w:divBdr>
        <w:top w:val="none" w:sz="0" w:space="0" w:color="auto"/>
        <w:left w:val="none" w:sz="0" w:space="0" w:color="auto"/>
        <w:bottom w:val="none" w:sz="0" w:space="0" w:color="auto"/>
        <w:right w:val="none" w:sz="0" w:space="0" w:color="auto"/>
      </w:divBdr>
    </w:div>
    <w:div w:id="1898472512">
      <w:bodyDiv w:val="1"/>
      <w:marLeft w:val="0"/>
      <w:marRight w:val="0"/>
      <w:marTop w:val="0"/>
      <w:marBottom w:val="0"/>
      <w:divBdr>
        <w:top w:val="none" w:sz="0" w:space="0" w:color="auto"/>
        <w:left w:val="none" w:sz="0" w:space="0" w:color="auto"/>
        <w:bottom w:val="none" w:sz="0" w:space="0" w:color="auto"/>
        <w:right w:val="none" w:sz="0" w:space="0" w:color="auto"/>
      </w:divBdr>
    </w:div>
    <w:div w:id="1899583139">
      <w:bodyDiv w:val="1"/>
      <w:marLeft w:val="0"/>
      <w:marRight w:val="0"/>
      <w:marTop w:val="0"/>
      <w:marBottom w:val="0"/>
      <w:divBdr>
        <w:top w:val="none" w:sz="0" w:space="0" w:color="auto"/>
        <w:left w:val="none" w:sz="0" w:space="0" w:color="auto"/>
        <w:bottom w:val="none" w:sz="0" w:space="0" w:color="auto"/>
        <w:right w:val="none" w:sz="0" w:space="0" w:color="auto"/>
      </w:divBdr>
    </w:div>
    <w:div w:id="1901554242">
      <w:bodyDiv w:val="1"/>
      <w:marLeft w:val="0"/>
      <w:marRight w:val="0"/>
      <w:marTop w:val="0"/>
      <w:marBottom w:val="0"/>
      <w:divBdr>
        <w:top w:val="none" w:sz="0" w:space="0" w:color="auto"/>
        <w:left w:val="none" w:sz="0" w:space="0" w:color="auto"/>
        <w:bottom w:val="none" w:sz="0" w:space="0" w:color="auto"/>
        <w:right w:val="none" w:sz="0" w:space="0" w:color="auto"/>
      </w:divBdr>
    </w:div>
    <w:div w:id="1902784395">
      <w:bodyDiv w:val="1"/>
      <w:marLeft w:val="0"/>
      <w:marRight w:val="0"/>
      <w:marTop w:val="0"/>
      <w:marBottom w:val="0"/>
      <w:divBdr>
        <w:top w:val="none" w:sz="0" w:space="0" w:color="auto"/>
        <w:left w:val="none" w:sz="0" w:space="0" w:color="auto"/>
        <w:bottom w:val="none" w:sz="0" w:space="0" w:color="auto"/>
        <w:right w:val="none" w:sz="0" w:space="0" w:color="auto"/>
      </w:divBdr>
    </w:div>
    <w:div w:id="1906722658">
      <w:bodyDiv w:val="1"/>
      <w:marLeft w:val="0"/>
      <w:marRight w:val="0"/>
      <w:marTop w:val="0"/>
      <w:marBottom w:val="0"/>
      <w:divBdr>
        <w:top w:val="none" w:sz="0" w:space="0" w:color="auto"/>
        <w:left w:val="none" w:sz="0" w:space="0" w:color="auto"/>
        <w:bottom w:val="none" w:sz="0" w:space="0" w:color="auto"/>
        <w:right w:val="none" w:sz="0" w:space="0" w:color="auto"/>
      </w:divBdr>
    </w:div>
    <w:div w:id="1911234740">
      <w:bodyDiv w:val="1"/>
      <w:marLeft w:val="0"/>
      <w:marRight w:val="0"/>
      <w:marTop w:val="0"/>
      <w:marBottom w:val="0"/>
      <w:divBdr>
        <w:top w:val="none" w:sz="0" w:space="0" w:color="auto"/>
        <w:left w:val="none" w:sz="0" w:space="0" w:color="auto"/>
        <w:bottom w:val="none" w:sz="0" w:space="0" w:color="auto"/>
        <w:right w:val="none" w:sz="0" w:space="0" w:color="auto"/>
      </w:divBdr>
    </w:div>
    <w:div w:id="1927302065">
      <w:bodyDiv w:val="1"/>
      <w:marLeft w:val="0"/>
      <w:marRight w:val="0"/>
      <w:marTop w:val="0"/>
      <w:marBottom w:val="0"/>
      <w:divBdr>
        <w:top w:val="none" w:sz="0" w:space="0" w:color="auto"/>
        <w:left w:val="none" w:sz="0" w:space="0" w:color="auto"/>
        <w:bottom w:val="none" w:sz="0" w:space="0" w:color="auto"/>
        <w:right w:val="none" w:sz="0" w:space="0" w:color="auto"/>
      </w:divBdr>
    </w:div>
    <w:div w:id="1929658518">
      <w:bodyDiv w:val="1"/>
      <w:marLeft w:val="0"/>
      <w:marRight w:val="0"/>
      <w:marTop w:val="0"/>
      <w:marBottom w:val="0"/>
      <w:divBdr>
        <w:top w:val="none" w:sz="0" w:space="0" w:color="auto"/>
        <w:left w:val="none" w:sz="0" w:space="0" w:color="auto"/>
        <w:bottom w:val="none" w:sz="0" w:space="0" w:color="auto"/>
        <w:right w:val="none" w:sz="0" w:space="0" w:color="auto"/>
      </w:divBdr>
    </w:div>
    <w:div w:id="1937978786">
      <w:bodyDiv w:val="1"/>
      <w:marLeft w:val="0"/>
      <w:marRight w:val="0"/>
      <w:marTop w:val="0"/>
      <w:marBottom w:val="0"/>
      <w:divBdr>
        <w:top w:val="none" w:sz="0" w:space="0" w:color="auto"/>
        <w:left w:val="none" w:sz="0" w:space="0" w:color="auto"/>
        <w:bottom w:val="none" w:sz="0" w:space="0" w:color="auto"/>
        <w:right w:val="none" w:sz="0" w:space="0" w:color="auto"/>
      </w:divBdr>
    </w:div>
    <w:div w:id="1938322073">
      <w:bodyDiv w:val="1"/>
      <w:marLeft w:val="0"/>
      <w:marRight w:val="0"/>
      <w:marTop w:val="0"/>
      <w:marBottom w:val="0"/>
      <w:divBdr>
        <w:top w:val="none" w:sz="0" w:space="0" w:color="auto"/>
        <w:left w:val="none" w:sz="0" w:space="0" w:color="auto"/>
        <w:bottom w:val="none" w:sz="0" w:space="0" w:color="auto"/>
        <w:right w:val="none" w:sz="0" w:space="0" w:color="auto"/>
      </w:divBdr>
    </w:div>
    <w:div w:id="1940673738">
      <w:bodyDiv w:val="1"/>
      <w:marLeft w:val="0"/>
      <w:marRight w:val="0"/>
      <w:marTop w:val="0"/>
      <w:marBottom w:val="0"/>
      <w:divBdr>
        <w:top w:val="none" w:sz="0" w:space="0" w:color="auto"/>
        <w:left w:val="none" w:sz="0" w:space="0" w:color="auto"/>
        <w:bottom w:val="none" w:sz="0" w:space="0" w:color="auto"/>
        <w:right w:val="none" w:sz="0" w:space="0" w:color="auto"/>
      </w:divBdr>
    </w:div>
    <w:div w:id="1943688062">
      <w:bodyDiv w:val="1"/>
      <w:marLeft w:val="0"/>
      <w:marRight w:val="0"/>
      <w:marTop w:val="0"/>
      <w:marBottom w:val="0"/>
      <w:divBdr>
        <w:top w:val="none" w:sz="0" w:space="0" w:color="auto"/>
        <w:left w:val="none" w:sz="0" w:space="0" w:color="auto"/>
        <w:bottom w:val="none" w:sz="0" w:space="0" w:color="auto"/>
        <w:right w:val="none" w:sz="0" w:space="0" w:color="auto"/>
      </w:divBdr>
    </w:div>
    <w:div w:id="1948808486">
      <w:bodyDiv w:val="1"/>
      <w:marLeft w:val="0"/>
      <w:marRight w:val="0"/>
      <w:marTop w:val="0"/>
      <w:marBottom w:val="0"/>
      <w:divBdr>
        <w:top w:val="none" w:sz="0" w:space="0" w:color="auto"/>
        <w:left w:val="none" w:sz="0" w:space="0" w:color="auto"/>
        <w:bottom w:val="none" w:sz="0" w:space="0" w:color="auto"/>
        <w:right w:val="none" w:sz="0" w:space="0" w:color="auto"/>
      </w:divBdr>
    </w:div>
    <w:div w:id="1958487589">
      <w:bodyDiv w:val="1"/>
      <w:marLeft w:val="0"/>
      <w:marRight w:val="0"/>
      <w:marTop w:val="0"/>
      <w:marBottom w:val="0"/>
      <w:divBdr>
        <w:top w:val="none" w:sz="0" w:space="0" w:color="auto"/>
        <w:left w:val="none" w:sz="0" w:space="0" w:color="auto"/>
        <w:bottom w:val="none" w:sz="0" w:space="0" w:color="auto"/>
        <w:right w:val="none" w:sz="0" w:space="0" w:color="auto"/>
      </w:divBdr>
    </w:div>
    <w:div w:id="1958632327">
      <w:bodyDiv w:val="1"/>
      <w:marLeft w:val="0"/>
      <w:marRight w:val="0"/>
      <w:marTop w:val="0"/>
      <w:marBottom w:val="0"/>
      <w:divBdr>
        <w:top w:val="none" w:sz="0" w:space="0" w:color="auto"/>
        <w:left w:val="none" w:sz="0" w:space="0" w:color="auto"/>
        <w:bottom w:val="none" w:sz="0" w:space="0" w:color="auto"/>
        <w:right w:val="none" w:sz="0" w:space="0" w:color="auto"/>
      </w:divBdr>
    </w:div>
    <w:div w:id="1958757246">
      <w:bodyDiv w:val="1"/>
      <w:marLeft w:val="0"/>
      <w:marRight w:val="0"/>
      <w:marTop w:val="0"/>
      <w:marBottom w:val="0"/>
      <w:divBdr>
        <w:top w:val="none" w:sz="0" w:space="0" w:color="auto"/>
        <w:left w:val="none" w:sz="0" w:space="0" w:color="auto"/>
        <w:bottom w:val="none" w:sz="0" w:space="0" w:color="auto"/>
        <w:right w:val="none" w:sz="0" w:space="0" w:color="auto"/>
      </w:divBdr>
    </w:div>
    <w:div w:id="1964115746">
      <w:bodyDiv w:val="1"/>
      <w:marLeft w:val="0"/>
      <w:marRight w:val="0"/>
      <w:marTop w:val="0"/>
      <w:marBottom w:val="0"/>
      <w:divBdr>
        <w:top w:val="none" w:sz="0" w:space="0" w:color="auto"/>
        <w:left w:val="none" w:sz="0" w:space="0" w:color="auto"/>
        <w:bottom w:val="none" w:sz="0" w:space="0" w:color="auto"/>
        <w:right w:val="none" w:sz="0" w:space="0" w:color="auto"/>
      </w:divBdr>
    </w:div>
    <w:div w:id="1964264222">
      <w:bodyDiv w:val="1"/>
      <w:marLeft w:val="0"/>
      <w:marRight w:val="0"/>
      <w:marTop w:val="0"/>
      <w:marBottom w:val="0"/>
      <w:divBdr>
        <w:top w:val="none" w:sz="0" w:space="0" w:color="auto"/>
        <w:left w:val="none" w:sz="0" w:space="0" w:color="auto"/>
        <w:bottom w:val="none" w:sz="0" w:space="0" w:color="auto"/>
        <w:right w:val="none" w:sz="0" w:space="0" w:color="auto"/>
      </w:divBdr>
    </w:div>
    <w:div w:id="1964846280">
      <w:bodyDiv w:val="1"/>
      <w:marLeft w:val="0"/>
      <w:marRight w:val="0"/>
      <w:marTop w:val="0"/>
      <w:marBottom w:val="0"/>
      <w:divBdr>
        <w:top w:val="none" w:sz="0" w:space="0" w:color="auto"/>
        <w:left w:val="none" w:sz="0" w:space="0" w:color="auto"/>
        <w:bottom w:val="none" w:sz="0" w:space="0" w:color="auto"/>
        <w:right w:val="none" w:sz="0" w:space="0" w:color="auto"/>
      </w:divBdr>
    </w:div>
    <w:div w:id="1965229569">
      <w:bodyDiv w:val="1"/>
      <w:marLeft w:val="0"/>
      <w:marRight w:val="0"/>
      <w:marTop w:val="0"/>
      <w:marBottom w:val="0"/>
      <w:divBdr>
        <w:top w:val="none" w:sz="0" w:space="0" w:color="auto"/>
        <w:left w:val="none" w:sz="0" w:space="0" w:color="auto"/>
        <w:bottom w:val="none" w:sz="0" w:space="0" w:color="auto"/>
        <w:right w:val="none" w:sz="0" w:space="0" w:color="auto"/>
      </w:divBdr>
    </w:div>
    <w:div w:id="1966767435">
      <w:bodyDiv w:val="1"/>
      <w:marLeft w:val="0"/>
      <w:marRight w:val="0"/>
      <w:marTop w:val="0"/>
      <w:marBottom w:val="0"/>
      <w:divBdr>
        <w:top w:val="none" w:sz="0" w:space="0" w:color="auto"/>
        <w:left w:val="none" w:sz="0" w:space="0" w:color="auto"/>
        <w:bottom w:val="none" w:sz="0" w:space="0" w:color="auto"/>
        <w:right w:val="none" w:sz="0" w:space="0" w:color="auto"/>
      </w:divBdr>
    </w:div>
    <w:div w:id="1976372707">
      <w:bodyDiv w:val="1"/>
      <w:marLeft w:val="0"/>
      <w:marRight w:val="0"/>
      <w:marTop w:val="0"/>
      <w:marBottom w:val="0"/>
      <w:divBdr>
        <w:top w:val="none" w:sz="0" w:space="0" w:color="auto"/>
        <w:left w:val="none" w:sz="0" w:space="0" w:color="auto"/>
        <w:bottom w:val="none" w:sz="0" w:space="0" w:color="auto"/>
        <w:right w:val="none" w:sz="0" w:space="0" w:color="auto"/>
      </w:divBdr>
    </w:div>
    <w:div w:id="1976645239">
      <w:bodyDiv w:val="1"/>
      <w:marLeft w:val="0"/>
      <w:marRight w:val="0"/>
      <w:marTop w:val="0"/>
      <w:marBottom w:val="0"/>
      <w:divBdr>
        <w:top w:val="none" w:sz="0" w:space="0" w:color="auto"/>
        <w:left w:val="none" w:sz="0" w:space="0" w:color="auto"/>
        <w:bottom w:val="none" w:sz="0" w:space="0" w:color="auto"/>
        <w:right w:val="none" w:sz="0" w:space="0" w:color="auto"/>
      </w:divBdr>
    </w:div>
    <w:div w:id="1977954783">
      <w:bodyDiv w:val="1"/>
      <w:marLeft w:val="0"/>
      <w:marRight w:val="0"/>
      <w:marTop w:val="0"/>
      <w:marBottom w:val="0"/>
      <w:divBdr>
        <w:top w:val="none" w:sz="0" w:space="0" w:color="auto"/>
        <w:left w:val="none" w:sz="0" w:space="0" w:color="auto"/>
        <w:bottom w:val="none" w:sz="0" w:space="0" w:color="auto"/>
        <w:right w:val="none" w:sz="0" w:space="0" w:color="auto"/>
      </w:divBdr>
    </w:div>
    <w:div w:id="1981690100">
      <w:bodyDiv w:val="1"/>
      <w:marLeft w:val="0"/>
      <w:marRight w:val="0"/>
      <w:marTop w:val="0"/>
      <w:marBottom w:val="0"/>
      <w:divBdr>
        <w:top w:val="none" w:sz="0" w:space="0" w:color="auto"/>
        <w:left w:val="none" w:sz="0" w:space="0" w:color="auto"/>
        <w:bottom w:val="none" w:sz="0" w:space="0" w:color="auto"/>
        <w:right w:val="none" w:sz="0" w:space="0" w:color="auto"/>
      </w:divBdr>
    </w:div>
    <w:div w:id="1983996103">
      <w:bodyDiv w:val="1"/>
      <w:marLeft w:val="0"/>
      <w:marRight w:val="0"/>
      <w:marTop w:val="0"/>
      <w:marBottom w:val="0"/>
      <w:divBdr>
        <w:top w:val="none" w:sz="0" w:space="0" w:color="auto"/>
        <w:left w:val="none" w:sz="0" w:space="0" w:color="auto"/>
        <w:bottom w:val="none" w:sz="0" w:space="0" w:color="auto"/>
        <w:right w:val="none" w:sz="0" w:space="0" w:color="auto"/>
      </w:divBdr>
    </w:div>
    <w:div w:id="1989046860">
      <w:bodyDiv w:val="1"/>
      <w:marLeft w:val="0"/>
      <w:marRight w:val="0"/>
      <w:marTop w:val="0"/>
      <w:marBottom w:val="0"/>
      <w:divBdr>
        <w:top w:val="none" w:sz="0" w:space="0" w:color="auto"/>
        <w:left w:val="none" w:sz="0" w:space="0" w:color="auto"/>
        <w:bottom w:val="none" w:sz="0" w:space="0" w:color="auto"/>
        <w:right w:val="none" w:sz="0" w:space="0" w:color="auto"/>
      </w:divBdr>
    </w:div>
    <w:div w:id="1995376588">
      <w:bodyDiv w:val="1"/>
      <w:marLeft w:val="0"/>
      <w:marRight w:val="0"/>
      <w:marTop w:val="0"/>
      <w:marBottom w:val="0"/>
      <w:divBdr>
        <w:top w:val="none" w:sz="0" w:space="0" w:color="auto"/>
        <w:left w:val="none" w:sz="0" w:space="0" w:color="auto"/>
        <w:bottom w:val="none" w:sz="0" w:space="0" w:color="auto"/>
        <w:right w:val="none" w:sz="0" w:space="0" w:color="auto"/>
      </w:divBdr>
    </w:div>
    <w:div w:id="2005012774">
      <w:bodyDiv w:val="1"/>
      <w:marLeft w:val="0"/>
      <w:marRight w:val="0"/>
      <w:marTop w:val="0"/>
      <w:marBottom w:val="0"/>
      <w:divBdr>
        <w:top w:val="none" w:sz="0" w:space="0" w:color="auto"/>
        <w:left w:val="none" w:sz="0" w:space="0" w:color="auto"/>
        <w:bottom w:val="none" w:sz="0" w:space="0" w:color="auto"/>
        <w:right w:val="none" w:sz="0" w:space="0" w:color="auto"/>
      </w:divBdr>
    </w:div>
    <w:div w:id="2005355216">
      <w:bodyDiv w:val="1"/>
      <w:marLeft w:val="0"/>
      <w:marRight w:val="0"/>
      <w:marTop w:val="0"/>
      <w:marBottom w:val="0"/>
      <w:divBdr>
        <w:top w:val="none" w:sz="0" w:space="0" w:color="auto"/>
        <w:left w:val="none" w:sz="0" w:space="0" w:color="auto"/>
        <w:bottom w:val="none" w:sz="0" w:space="0" w:color="auto"/>
        <w:right w:val="none" w:sz="0" w:space="0" w:color="auto"/>
      </w:divBdr>
    </w:div>
    <w:div w:id="2015526126">
      <w:bodyDiv w:val="1"/>
      <w:marLeft w:val="0"/>
      <w:marRight w:val="0"/>
      <w:marTop w:val="0"/>
      <w:marBottom w:val="0"/>
      <w:divBdr>
        <w:top w:val="none" w:sz="0" w:space="0" w:color="auto"/>
        <w:left w:val="none" w:sz="0" w:space="0" w:color="auto"/>
        <w:bottom w:val="none" w:sz="0" w:space="0" w:color="auto"/>
        <w:right w:val="none" w:sz="0" w:space="0" w:color="auto"/>
      </w:divBdr>
    </w:div>
    <w:div w:id="2017460287">
      <w:bodyDiv w:val="1"/>
      <w:marLeft w:val="0"/>
      <w:marRight w:val="0"/>
      <w:marTop w:val="0"/>
      <w:marBottom w:val="0"/>
      <w:divBdr>
        <w:top w:val="none" w:sz="0" w:space="0" w:color="auto"/>
        <w:left w:val="none" w:sz="0" w:space="0" w:color="auto"/>
        <w:bottom w:val="none" w:sz="0" w:space="0" w:color="auto"/>
        <w:right w:val="none" w:sz="0" w:space="0" w:color="auto"/>
      </w:divBdr>
    </w:div>
    <w:div w:id="2022314974">
      <w:bodyDiv w:val="1"/>
      <w:marLeft w:val="0"/>
      <w:marRight w:val="0"/>
      <w:marTop w:val="0"/>
      <w:marBottom w:val="0"/>
      <w:divBdr>
        <w:top w:val="none" w:sz="0" w:space="0" w:color="auto"/>
        <w:left w:val="none" w:sz="0" w:space="0" w:color="auto"/>
        <w:bottom w:val="none" w:sz="0" w:space="0" w:color="auto"/>
        <w:right w:val="none" w:sz="0" w:space="0" w:color="auto"/>
      </w:divBdr>
    </w:div>
    <w:div w:id="2023820479">
      <w:bodyDiv w:val="1"/>
      <w:marLeft w:val="0"/>
      <w:marRight w:val="0"/>
      <w:marTop w:val="0"/>
      <w:marBottom w:val="0"/>
      <w:divBdr>
        <w:top w:val="none" w:sz="0" w:space="0" w:color="auto"/>
        <w:left w:val="none" w:sz="0" w:space="0" w:color="auto"/>
        <w:bottom w:val="none" w:sz="0" w:space="0" w:color="auto"/>
        <w:right w:val="none" w:sz="0" w:space="0" w:color="auto"/>
      </w:divBdr>
    </w:div>
    <w:div w:id="2025473308">
      <w:bodyDiv w:val="1"/>
      <w:marLeft w:val="0"/>
      <w:marRight w:val="0"/>
      <w:marTop w:val="0"/>
      <w:marBottom w:val="0"/>
      <w:divBdr>
        <w:top w:val="none" w:sz="0" w:space="0" w:color="auto"/>
        <w:left w:val="none" w:sz="0" w:space="0" w:color="auto"/>
        <w:bottom w:val="none" w:sz="0" w:space="0" w:color="auto"/>
        <w:right w:val="none" w:sz="0" w:space="0" w:color="auto"/>
      </w:divBdr>
    </w:div>
    <w:div w:id="2032602763">
      <w:bodyDiv w:val="1"/>
      <w:marLeft w:val="0"/>
      <w:marRight w:val="0"/>
      <w:marTop w:val="0"/>
      <w:marBottom w:val="0"/>
      <w:divBdr>
        <w:top w:val="none" w:sz="0" w:space="0" w:color="auto"/>
        <w:left w:val="none" w:sz="0" w:space="0" w:color="auto"/>
        <w:bottom w:val="none" w:sz="0" w:space="0" w:color="auto"/>
        <w:right w:val="none" w:sz="0" w:space="0" w:color="auto"/>
      </w:divBdr>
    </w:div>
    <w:div w:id="2037805219">
      <w:bodyDiv w:val="1"/>
      <w:marLeft w:val="0"/>
      <w:marRight w:val="0"/>
      <w:marTop w:val="0"/>
      <w:marBottom w:val="0"/>
      <w:divBdr>
        <w:top w:val="none" w:sz="0" w:space="0" w:color="auto"/>
        <w:left w:val="none" w:sz="0" w:space="0" w:color="auto"/>
        <w:bottom w:val="none" w:sz="0" w:space="0" w:color="auto"/>
        <w:right w:val="none" w:sz="0" w:space="0" w:color="auto"/>
      </w:divBdr>
    </w:div>
    <w:div w:id="2042823071">
      <w:bodyDiv w:val="1"/>
      <w:marLeft w:val="0"/>
      <w:marRight w:val="0"/>
      <w:marTop w:val="0"/>
      <w:marBottom w:val="0"/>
      <w:divBdr>
        <w:top w:val="none" w:sz="0" w:space="0" w:color="auto"/>
        <w:left w:val="none" w:sz="0" w:space="0" w:color="auto"/>
        <w:bottom w:val="none" w:sz="0" w:space="0" w:color="auto"/>
        <w:right w:val="none" w:sz="0" w:space="0" w:color="auto"/>
      </w:divBdr>
    </w:div>
    <w:div w:id="2043936942">
      <w:bodyDiv w:val="1"/>
      <w:marLeft w:val="0"/>
      <w:marRight w:val="0"/>
      <w:marTop w:val="0"/>
      <w:marBottom w:val="0"/>
      <w:divBdr>
        <w:top w:val="none" w:sz="0" w:space="0" w:color="auto"/>
        <w:left w:val="none" w:sz="0" w:space="0" w:color="auto"/>
        <w:bottom w:val="none" w:sz="0" w:space="0" w:color="auto"/>
        <w:right w:val="none" w:sz="0" w:space="0" w:color="auto"/>
      </w:divBdr>
    </w:div>
    <w:div w:id="2050910795">
      <w:bodyDiv w:val="1"/>
      <w:marLeft w:val="0"/>
      <w:marRight w:val="0"/>
      <w:marTop w:val="0"/>
      <w:marBottom w:val="0"/>
      <w:divBdr>
        <w:top w:val="none" w:sz="0" w:space="0" w:color="auto"/>
        <w:left w:val="none" w:sz="0" w:space="0" w:color="auto"/>
        <w:bottom w:val="none" w:sz="0" w:space="0" w:color="auto"/>
        <w:right w:val="none" w:sz="0" w:space="0" w:color="auto"/>
      </w:divBdr>
    </w:div>
    <w:div w:id="2058697332">
      <w:bodyDiv w:val="1"/>
      <w:marLeft w:val="0"/>
      <w:marRight w:val="0"/>
      <w:marTop w:val="0"/>
      <w:marBottom w:val="0"/>
      <w:divBdr>
        <w:top w:val="none" w:sz="0" w:space="0" w:color="auto"/>
        <w:left w:val="none" w:sz="0" w:space="0" w:color="auto"/>
        <w:bottom w:val="none" w:sz="0" w:space="0" w:color="auto"/>
        <w:right w:val="none" w:sz="0" w:space="0" w:color="auto"/>
      </w:divBdr>
    </w:div>
    <w:div w:id="2058813580">
      <w:bodyDiv w:val="1"/>
      <w:marLeft w:val="0"/>
      <w:marRight w:val="0"/>
      <w:marTop w:val="0"/>
      <w:marBottom w:val="0"/>
      <w:divBdr>
        <w:top w:val="none" w:sz="0" w:space="0" w:color="auto"/>
        <w:left w:val="none" w:sz="0" w:space="0" w:color="auto"/>
        <w:bottom w:val="none" w:sz="0" w:space="0" w:color="auto"/>
        <w:right w:val="none" w:sz="0" w:space="0" w:color="auto"/>
      </w:divBdr>
    </w:div>
    <w:div w:id="2067945326">
      <w:bodyDiv w:val="1"/>
      <w:marLeft w:val="0"/>
      <w:marRight w:val="0"/>
      <w:marTop w:val="0"/>
      <w:marBottom w:val="0"/>
      <w:divBdr>
        <w:top w:val="none" w:sz="0" w:space="0" w:color="auto"/>
        <w:left w:val="none" w:sz="0" w:space="0" w:color="auto"/>
        <w:bottom w:val="none" w:sz="0" w:space="0" w:color="auto"/>
        <w:right w:val="none" w:sz="0" w:space="0" w:color="auto"/>
      </w:divBdr>
    </w:div>
    <w:div w:id="2076589916">
      <w:bodyDiv w:val="1"/>
      <w:marLeft w:val="0"/>
      <w:marRight w:val="0"/>
      <w:marTop w:val="0"/>
      <w:marBottom w:val="0"/>
      <w:divBdr>
        <w:top w:val="none" w:sz="0" w:space="0" w:color="auto"/>
        <w:left w:val="none" w:sz="0" w:space="0" w:color="auto"/>
        <w:bottom w:val="none" w:sz="0" w:space="0" w:color="auto"/>
        <w:right w:val="none" w:sz="0" w:space="0" w:color="auto"/>
      </w:divBdr>
    </w:div>
    <w:div w:id="2077170042">
      <w:bodyDiv w:val="1"/>
      <w:marLeft w:val="0"/>
      <w:marRight w:val="0"/>
      <w:marTop w:val="0"/>
      <w:marBottom w:val="0"/>
      <w:divBdr>
        <w:top w:val="none" w:sz="0" w:space="0" w:color="auto"/>
        <w:left w:val="none" w:sz="0" w:space="0" w:color="auto"/>
        <w:bottom w:val="none" w:sz="0" w:space="0" w:color="auto"/>
        <w:right w:val="none" w:sz="0" w:space="0" w:color="auto"/>
      </w:divBdr>
    </w:div>
    <w:div w:id="2079594865">
      <w:bodyDiv w:val="1"/>
      <w:marLeft w:val="0"/>
      <w:marRight w:val="0"/>
      <w:marTop w:val="0"/>
      <w:marBottom w:val="0"/>
      <w:divBdr>
        <w:top w:val="none" w:sz="0" w:space="0" w:color="auto"/>
        <w:left w:val="none" w:sz="0" w:space="0" w:color="auto"/>
        <w:bottom w:val="none" w:sz="0" w:space="0" w:color="auto"/>
        <w:right w:val="none" w:sz="0" w:space="0" w:color="auto"/>
      </w:divBdr>
    </w:div>
    <w:div w:id="2085638054">
      <w:bodyDiv w:val="1"/>
      <w:marLeft w:val="0"/>
      <w:marRight w:val="0"/>
      <w:marTop w:val="0"/>
      <w:marBottom w:val="0"/>
      <w:divBdr>
        <w:top w:val="none" w:sz="0" w:space="0" w:color="auto"/>
        <w:left w:val="none" w:sz="0" w:space="0" w:color="auto"/>
        <w:bottom w:val="none" w:sz="0" w:space="0" w:color="auto"/>
        <w:right w:val="none" w:sz="0" w:space="0" w:color="auto"/>
      </w:divBdr>
    </w:div>
    <w:div w:id="2087192621">
      <w:bodyDiv w:val="1"/>
      <w:marLeft w:val="0"/>
      <w:marRight w:val="0"/>
      <w:marTop w:val="0"/>
      <w:marBottom w:val="0"/>
      <w:divBdr>
        <w:top w:val="none" w:sz="0" w:space="0" w:color="auto"/>
        <w:left w:val="none" w:sz="0" w:space="0" w:color="auto"/>
        <w:bottom w:val="none" w:sz="0" w:space="0" w:color="auto"/>
        <w:right w:val="none" w:sz="0" w:space="0" w:color="auto"/>
      </w:divBdr>
    </w:div>
    <w:div w:id="2088381051">
      <w:bodyDiv w:val="1"/>
      <w:marLeft w:val="0"/>
      <w:marRight w:val="0"/>
      <w:marTop w:val="0"/>
      <w:marBottom w:val="0"/>
      <w:divBdr>
        <w:top w:val="none" w:sz="0" w:space="0" w:color="auto"/>
        <w:left w:val="none" w:sz="0" w:space="0" w:color="auto"/>
        <w:bottom w:val="none" w:sz="0" w:space="0" w:color="auto"/>
        <w:right w:val="none" w:sz="0" w:space="0" w:color="auto"/>
      </w:divBdr>
    </w:div>
    <w:div w:id="2090613133">
      <w:bodyDiv w:val="1"/>
      <w:marLeft w:val="0"/>
      <w:marRight w:val="0"/>
      <w:marTop w:val="0"/>
      <w:marBottom w:val="0"/>
      <w:divBdr>
        <w:top w:val="none" w:sz="0" w:space="0" w:color="auto"/>
        <w:left w:val="none" w:sz="0" w:space="0" w:color="auto"/>
        <w:bottom w:val="none" w:sz="0" w:space="0" w:color="auto"/>
        <w:right w:val="none" w:sz="0" w:space="0" w:color="auto"/>
      </w:divBdr>
    </w:div>
    <w:div w:id="2098089992">
      <w:bodyDiv w:val="1"/>
      <w:marLeft w:val="0"/>
      <w:marRight w:val="0"/>
      <w:marTop w:val="0"/>
      <w:marBottom w:val="0"/>
      <w:divBdr>
        <w:top w:val="none" w:sz="0" w:space="0" w:color="auto"/>
        <w:left w:val="none" w:sz="0" w:space="0" w:color="auto"/>
        <w:bottom w:val="none" w:sz="0" w:space="0" w:color="auto"/>
        <w:right w:val="none" w:sz="0" w:space="0" w:color="auto"/>
      </w:divBdr>
    </w:div>
    <w:div w:id="2100060396">
      <w:bodyDiv w:val="1"/>
      <w:marLeft w:val="0"/>
      <w:marRight w:val="0"/>
      <w:marTop w:val="0"/>
      <w:marBottom w:val="0"/>
      <w:divBdr>
        <w:top w:val="none" w:sz="0" w:space="0" w:color="auto"/>
        <w:left w:val="none" w:sz="0" w:space="0" w:color="auto"/>
        <w:bottom w:val="none" w:sz="0" w:space="0" w:color="auto"/>
        <w:right w:val="none" w:sz="0" w:space="0" w:color="auto"/>
      </w:divBdr>
    </w:div>
    <w:div w:id="2100444324">
      <w:bodyDiv w:val="1"/>
      <w:marLeft w:val="0"/>
      <w:marRight w:val="0"/>
      <w:marTop w:val="0"/>
      <w:marBottom w:val="0"/>
      <w:divBdr>
        <w:top w:val="none" w:sz="0" w:space="0" w:color="auto"/>
        <w:left w:val="none" w:sz="0" w:space="0" w:color="auto"/>
        <w:bottom w:val="none" w:sz="0" w:space="0" w:color="auto"/>
        <w:right w:val="none" w:sz="0" w:space="0" w:color="auto"/>
      </w:divBdr>
    </w:div>
    <w:div w:id="2104061827">
      <w:bodyDiv w:val="1"/>
      <w:marLeft w:val="0"/>
      <w:marRight w:val="0"/>
      <w:marTop w:val="0"/>
      <w:marBottom w:val="0"/>
      <w:divBdr>
        <w:top w:val="none" w:sz="0" w:space="0" w:color="auto"/>
        <w:left w:val="none" w:sz="0" w:space="0" w:color="auto"/>
        <w:bottom w:val="none" w:sz="0" w:space="0" w:color="auto"/>
        <w:right w:val="none" w:sz="0" w:space="0" w:color="auto"/>
      </w:divBdr>
    </w:div>
    <w:div w:id="2104644747">
      <w:bodyDiv w:val="1"/>
      <w:marLeft w:val="0"/>
      <w:marRight w:val="0"/>
      <w:marTop w:val="0"/>
      <w:marBottom w:val="0"/>
      <w:divBdr>
        <w:top w:val="none" w:sz="0" w:space="0" w:color="auto"/>
        <w:left w:val="none" w:sz="0" w:space="0" w:color="auto"/>
        <w:bottom w:val="none" w:sz="0" w:space="0" w:color="auto"/>
        <w:right w:val="none" w:sz="0" w:space="0" w:color="auto"/>
      </w:divBdr>
    </w:div>
    <w:div w:id="2105876256">
      <w:bodyDiv w:val="1"/>
      <w:marLeft w:val="0"/>
      <w:marRight w:val="0"/>
      <w:marTop w:val="0"/>
      <w:marBottom w:val="0"/>
      <w:divBdr>
        <w:top w:val="none" w:sz="0" w:space="0" w:color="auto"/>
        <w:left w:val="none" w:sz="0" w:space="0" w:color="auto"/>
        <w:bottom w:val="none" w:sz="0" w:space="0" w:color="auto"/>
        <w:right w:val="none" w:sz="0" w:space="0" w:color="auto"/>
      </w:divBdr>
    </w:div>
    <w:div w:id="2113937712">
      <w:bodyDiv w:val="1"/>
      <w:marLeft w:val="0"/>
      <w:marRight w:val="0"/>
      <w:marTop w:val="0"/>
      <w:marBottom w:val="0"/>
      <w:divBdr>
        <w:top w:val="none" w:sz="0" w:space="0" w:color="auto"/>
        <w:left w:val="none" w:sz="0" w:space="0" w:color="auto"/>
        <w:bottom w:val="none" w:sz="0" w:space="0" w:color="auto"/>
        <w:right w:val="none" w:sz="0" w:space="0" w:color="auto"/>
      </w:divBdr>
    </w:div>
    <w:div w:id="2124182103">
      <w:bodyDiv w:val="1"/>
      <w:marLeft w:val="0"/>
      <w:marRight w:val="0"/>
      <w:marTop w:val="0"/>
      <w:marBottom w:val="0"/>
      <w:divBdr>
        <w:top w:val="none" w:sz="0" w:space="0" w:color="auto"/>
        <w:left w:val="none" w:sz="0" w:space="0" w:color="auto"/>
        <w:bottom w:val="none" w:sz="0" w:space="0" w:color="auto"/>
        <w:right w:val="none" w:sz="0" w:space="0" w:color="auto"/>
      </w:divBdr>
    </w:div>
    <w:div w:id="2124568259">
      <w:bodyDiv w:val="1"/>
      <w:marLeft w:val="0"/>
      <w:marRight w:val="0"/>
      <w:marTop w:val="0"/>
      <w:marBottom w:val="0"/>
      <w:divBdr>
        <w:top w:val="none" w:sz="0" w:space="0" w:color="auto"/>
        <w:left w:val="none" w:sz="0" w:space="0" w:color="auto"/>
        <w:bottom w:val="none" w:sz="0" w:space="0" w:color="auto"/>
        <w:right w:val="none" w:sz="0" w:space="0" w:color="auto"/>
      </w:divBdr>
    </w:div>
    <w:div w:id="2129811788">
      <w:bodyDiv w:val="1"/>
      <w:marLeft w:val="0"/>
      <w:marRight w:val="0"/>
      <w:marTop w:val="0"/>
      <w:marBottom w:val="0"/>
      <w:divBdr>
        <w:top w:val="none" w:sz="0" w:space="0" w:color="auto"/>
        <w:left w:val="none" w:sz="0" w:space="0" w:color="auto"/>
        <w:bottom w:val="none" w:sz="0" w:space="0" w:color="auto"/>
        <w:right w:val="none" w:sz="0" w:space="0" w:color="auto"/>
      </w:divBdr>
    </w:div>
    <w:div w:id="2137291962">
      <w:bodyDiv w:val="1"/>
      <w:marLeft w:val="0"/>
      <w:marRight w:val="0"/>
      <w:marTop w:val="0"/>
      <w:marBottom w:val="0"/>
      <w:divBdr>
        <w:top w:val="none" w:sz="0" w:space="0" w:color="auto"/>
        <w:left w:val="none" w:sz="0" w:space="0" w:color="auto"/>
        <w:bottom w:val="none" w:sz="0" w:space="0" w:color="auto"/>
        <w:right w:val="none" w:sz="0" w:space="0" w:color="auto"/>
      </w:divBdr>
    </w:div>
    <w:div w:id="2141150595">
      <w:bodyDiv w:val="1"/>
      <w:marLeft w:val="0"/>
      <w:marRight w:val="0"/>
      <w:marTop w:val="0"/>
      <w:marBottom w:val="0"/>
      <w:divBdr>
        <w:top w:val="none" w:sz="0" w:space="0" w:color="auto"/>
        <w:left w:val="none" w:sz="0" w:space="0" w:color="auto"/>
        <w:bottom w:val="none" w:sz="0" w:space="0" w:color="auto"/>
        <w:right w:val="none" w:sz="0" w:space="0" w:color="auto"/>
      </w:divBdr>
    </w:div>
    <w:div w:id="21465840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capri-model.org"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doi.org/10.1016/j.biombioe.2017.10.040"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dx.doi.org/10.1007/s11027-017-9743-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1.xml"/><Relationship Id="rId37"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doi.org/10.1016/j.landusepol.2006.01.004" TargetMode="External"/><Relationship Id="rId36" Type="http://schemas.microsoft.com/office/2016/09/relationships/commentsIds" Target="commentsIds.xml"/><Relationship Id="rId10" Type="http://schemas.openxmlformats.org/officeDocument/2006/relationships/endnotes" Target="endnotes.xml"/><Relationship Id="rId19" Type="http://schemas.openxmlformats.org/officeDocument/2006/relationships/hyperlink" Target="http://www.capri-model.org/docs/capri_documentation.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doi.org/10.1016/j.landusepol.2006.01.0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8EB84E8514F8040B36D83EEBC3C827F" ma:contentTypeVersion="13" ma:contentTypeDescription="Een nieuw document maken." ma:contentTypeScope="" ma:versionID="652ac794dd1a422f20e7b6bcf08e56b9">
  <xsd:schema xmlns:xsd="http://www.w3.org/2001/XMLSchema" xmlns:xs="http://www.w3.org/2001/XMLSchema" xmlns:p="http://schemas.microsoft.com/office/2006/metadata/properties" xmlns:ns3="ca3ff5c5-e015-42eb-8549-46b24d672214" xmlns:ns4="edf151ab-9cb8-45ff-916e-f2080e18bf54" targetNamespace="http://schemas.microsoft.com/office/2006/metadata/properties" ma:root="true" ma:fieldsID="0033304724dce079cd4ea720f67d4e25" ns3:_="" ns4:_="">
    <xsd:import namespace="ca3ff5c5-e015-42eb-8549-46b24d672214"/>
    <xsd:import namespace="edf151ab-9cb8-45ff-916e-f2080e18bf5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3ff5c5-e015-42eb-8549-46b24d6722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f151ab-9cb8-45ff-916e-f2080e18bf54"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SharingHintHash" ma:index="20"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EEE2006OfficeOnline.xsl" StyleName="IEEE" Version="2006">
  <b:Source>
    <b:Year>2019</b:Year>
    <b:Volume>393</b:Volume>
    <b:BIBTEX_Entry>article</b:BIBTEX_Entry>
    <b:SourceType>JournalArticle</b:SourceType>
    <b:Title>Food in the Anthropocene: the EAT--Lancet Commission on healthy diets from sustainable food systems</b:Title>
    <b:Tag>willett2019food</b:Tag>
    <b:Publisher>Elsevier</b:Publisher>
    <b:Author>
      <b:Author>
        <b:NameList>
          <b:Person>
            <b:Last>Willett</b:Last>
            <b:First>Walter</b:First>
          </b:Person>
          <b:Person>
            <b:Last>Rockström</b:Last>
            <b:First>Johan</b:First>
          </b:Person>
          <b:Person>
            <b:Last>Loken</b:Last>
            <b:First>Brent</b:First>
          </b:Person>
          <b:Person>
            <b:Last>Springmann</b:Last>
            <b:First>Marco</b:First>
          </b:Person>
          <b:Person>
            <b:Last>Lang</b:Last>
            <b:First>Tim</b:First>
          </b:Person>
          <b:Person>
            <b:Last>Vermeulen</b:Last>
            <b:First>Sonja</b:First>
          </b:Person>
          <b:Person>
            <b:Last>Garnett</b:Last>
            <b:First>Tara</b:First>
          </b:Person>
          <b:Person>
            <b:Last>Tilman</b:Last>
            <b:First>David</b:First>
          </b:Person>
          <b:Person>
            <b:Last>DeClerck</b:Last>
            <b:First>Fabrice</b:First>
          </b:Person>
          <b:Person>
            <b:Last>Wood</b:Last>
            <b:First>Amanda</b:First>
          </b:Person>
          <b:Person>
            <b:Last>others</b:Last>
          </b:Person>
        </b:NameList>
      </b:Author>
    </b:Author>
    <b:Pages>447-492</b:Pages>
    <b:JournalName>The Lancet</b:JournalName>
    <b:Number>10170</b:Number>
    <b:RefOrder>26</b:RefOrder>
  </b:Source>
  <b:Source>
    <b:Year>2011</b:Year>
    <b:Volume>70</b:Volume>
    <b:BIBTEX_Entry>article</b:BIBTEX_Entry>
    <b:SourceType>JournalArticle</b:SourceType>
    <b:Title>Environmental impacts of changes to healthier diets in Europe</b:Title>
    <b:Tag>Tukker2011</b:Tag>
    <b:Publisher>Elsevier</b:Publisher>
    <b:Author>
      <b:Author>
        <b:NameList>
          <b:Person>
            <b:Last>Tukker</b:Last>
            <b:First>Arnold</b:First>
          </b:Person>
          <b:Person>
            <b:Last>Goldbohm</b:Last>
            <b:Middle>Alexandra</b:Middle>
            <b:First>R.</b:First>
          </b:Person>
          <b:Person>
            <b:Last>De Koning</b:Last>
            <b:First>Arjan</b:First>
          </b:Person>
          <b:Person>
            <b:Last>Verheijden</b:Last>
            <b:First>Marieke</b:First>
          </b:Person>
          <b:Person>
            <b:Last>Kleijn</b:Last>
            <b:First>René</b:First>
          </b:Person>
          <b:Person>
            <b:Last>Wolf</b:Last>
            <b:First>Oliver</b:First>
          </b:Person>
          <b:Person>
            <b:Last>Pérez-Domínguez</b:Last>
            <b:First>Ignacio</b:First>
          </b:Person>
          <b:Person>
            <b:Last>Rueda-Cantuche</b:Last>
            <b:Middle>M.</b:Middle>
            <b:First>Jose</b:First>
          </b:Person>
        </b:NameList>
      </b:Author>
    </b:Author>
    <b:Pages>1776-1788</b:Pages>
    <b:JournalName>Ecological Economics</b:JournalName>
    <b:Number>10</b:Number>
    <b:RefOrder>24</b:RefOrder>
  </b:Source>
  <b:Source>
    <b:Year>2020</b:Year>
    <b:BIBTEX_Entry>article</b:BIBTEX_Entry>
    <b:SourceType>JournalArticle</b:SourceType>
    <b:Title>Cost-effective implementation of the Paris Agreement using flexible greenhouse gas metrics</b:Title>
    <b:Tag>Tanaka2020</b:Tag>
    <b:Author>
      <b:Author>
        <b:NameList>
          <b:Person>
            <b:Last>Tanaka</b:Last>
            <b:First>Katsumasa</b:First>
          </b:Person>
          <b:Person>
            <b:Last>Boucher</b:Last>
            <b:First>Olivier</b:First>
          </b:Person>
          <b:Person>
            <b:Last>Ciais</b:Last>
            <b:First>Philippe</b:First>
          </b:Person>
          <b:Person>
            <b:Last>Johansson</b:Last>
            <b:Middle>J. A.</b:Middle>
            <b:First>Daniel</b:First>
          </b:Person>
        </b:NameList>
      </b:Author>
    </b:Author>
    <b:JournalName>arXiv preprint arXiv:2006.01901</b:JournalName>
    <b:RefOrder>11</b:RefOrder>
  </b:Source>
  <b:Source>
    <b:Year>2017</b:Year>
    <b:BIBTEX_Entry>article</b:BIBTEX_Entry>
    <b:SourceType>JournalArticle</b:SourceType>
    <b:Title>Report of the high-level commission on carbon prices</b:Title>
    <b:Tag>Stiglitz2017</b:Tag>
    <b:Author>
      <b:Author>
        <b:NameList>
          <b:Person>
            <b:Last>Stiglitz</b:Last>
            <b:Middle>E.</b:Middle>
            <b:First>Joseph</b:First>
          </b:Person>
          <b:Person>
            <b:Last>Stern</b:Last>
            <b:First>Nicholas</b:First>
          </b:Person>
          <b:Person>
            <b:Last>Duan</b:Last>
            <b:First>Maosheng</b:First>
          </b:Person>
          <b:Person>
            <b:Last>Edenhofer</b:Last>
            <b:First>Ottmar</b:First>
          </b:Person>
          <b:Person>
            <b:Last>Giraud</b:Last>
            <b:First>Gaël</b:First>
          </b:Person>
          <b:Person>
            <b:Last>Heal</b:Last>
            <b:Middle>M.</b:Middle>
            <b:First>Geoffrey</b:First>
          </b:Person>
          <b:Person>
            <b:Last>la Rovere and Lebre</b:Last>
            <b:First>Emilio</b:First>
          </b:Person>
          <b:Person>
            <b:Last>Morris</b:Last>
            <b:First>Adele</b:First>
          </b:Person>
          <b:Person>
            <b:Last>Moyer</b:Last>
            <b:First>Elisabeth</b:First>
          </b:Person>
          <b:Person>
            <b:Last>Pangestu</b:Last>
            <b:First>Mari</b:First>
          </b:Person>
          <b:Person>
            <b:Last>others</b:Last>
          </b:Person>
        </b:NameList>
      </b:Author>
    </b:Author>
    <b:RefOrder>18</b:RefOrder>
  </b:Source>
  <b:Source>
    <b:Year>2016</b:Year>
    <b:Volume>6</b:Volume>
    <b:BIBTEX_Entry>article</b:BIBTEX_Entry>
    <b:SourceType>JournalArticle</b:SourceType>
    <b:Title>Science and policy characteristics of the Paris Agreement temperature goal</b:Title>
    <b:Tag>Schleussner2016</b:Tag>
    <b:Publisher>Nature Publishing Group</b:Publisher>
    <b:Author>
      <b:Author>
        <b:NameList>
          <b:Person>
            <b:Last>Schleussner</b:Last>
            <b:First>Carl-Friedrich</b:First>
          </b:Person>
          <b:Person>
            <b:Last>Rogelj</b:Last>
            <b:First>Joeri</b:First>
          </b:Person>
          <b:Person>
            <b:Last>Schaeffer</b:Last>
            <b:First>Michiel</b:First>
          </b:Person>
          <b:Person>
            <b:Last>Lissner</b:Last>
            <b:First>Tabea</b:First>
          </b:Person>
          <b:Person>
            <b:Last>Licker</b:Last>
            <b:First>Rachel</b:First>
          </b:Person>
          <b:Person>
            <b:Last>Fischer</b:Last>
            <b:Middle>M.</b:Middle>
            <b:First>Erich</b:First>
          </b:Person>
          <b:Person>
            <b:Last>Knutti</b:Last>
            <b:First>Reto</b:First>
          </b:Person>
          <b:Person>
            <b:Last>Levermann</b:Last>
            <b:First>Anders</b:First>
          </b:Person>
          <b:Person>
            <b:Last>Frieler</b:Last>
            <b:First>Katja</b:First>
          </b:Person>
          <b:Person>
            <b:Last>Hare</b:Last>
            <b:First>William</b:First>
          </b:Person>
        </b:NameList>
      </b:Author>
    </b:Author>
    <b:Pages>827-835</b:Pages>
    <b:JournalName>Nature Climate Change</b:JournalName>
    <b:Number>9</b:Number>
    <b:RefOrder>1</b:RefOrder>
  </b:Source>
  <b:Source>
    <b:Year>2020</b:Year>
    <b:BIBTEX_Entry>article</b:BIBTEX_Entry>
    <b:SourceType>JournalArticle</b:SourceType>
    <b:Title>Variability in greenhouse gas emission intensity of semi-intensive suckler cow beef production systems</b:Title>
    <b:Tag>Samsonstuen2020</b:Tag>
    <b:Publisher>Elsevier</b:Publisher>
    <b:Author>
      <b:Author>
        <b:NameList>
          <b:Person>
            <b:Last>Samsonstuen</b:Last>
            <b:First>Stine</b:First>
          </b:Person>
          <b:Person>
            <b:Last>Åby</b:Last>
            <b:Middle>A.</b:Middle>
            <b:First>Bente</b:First>
          </b:Person>
          <b:Person>
            <b:Last>Crosson</b:Last>
            <b:First>Paul</b:First>
          </b:Person>
          <b:Person>
            <b:Last>Beauchemin</b:Last>
            <b:Middle>A.</b:Middle>
            <b:First>Karen</b:First>
          </b:Person>
          <b:Person>
            <b:Last>Wetlesen</b:Last>
            <b:Middle>S.</b:Middle>
            <b:First>Marit</b:First>
          </b:Person>
          <b:Person>
            <b:Last>Bonesmo</b:Last>
            <b:First>Helge</b:First>
          </b:Person>
          <b:Person>
            <b:Last>Aass</b:Last>
            <b:First>Laila</b:First>
          </b:Person>
        </b:NameList>
      </b:Author>
    </b:Author>
    <b:Pages>104091</b:Pages>
    <b:JournalName>Livestock Science</b:JournalName>
    <b:RefOrder>22</b:RefOrder>
  </b:Source>
  <b:Source>
    <b:Year>2014</b:Year>
    <b:Volume>4</b:Volume>
    <b:BIBTEX_Entry>article</b:BIBTEX_Entry>
    <b:SourceType>JournalArticle</b:SourceType>
    <b:Title>Ruminants, climate change and climate policy</b:Title>
    <b:Tag>Ripple2014</b:Tag>
    <b:Publisher>Nature Publishing Group</b:Publisher>
    <b:Author>
      <b:Author>
        <b:NameList>
          <b:Person>
            <b:Last>Ripple</b:Last>
            <b:Middle>J.</b:Middle>
            <b:First>William</b:First>
          </b:Person>
          <b:Person>
            <b:Last>Smith</b:Last>
            <b:First>Pete</b:First>
          </b:Person>
          <b:Person>
            <b:Last>Haberl</b:Last>
            <b:First>Helmut</b:First>
          </b:Person>
          <b:Person>
            <b:Last>Montzka</b:Last>
            <b:Middle>A.</b:Middle>
            <b:First>Stephen</b:First>
          </b:Person>
          <b:Person>
            <b:Last>McAlpine</b:Last>
            <b:First>Clive</b:First>
          </b:Person>
          <b:Person>
            <b:Last>Boucher</b:Last>
            <b:Middle>H.</b:Middle>
            <b:First>Douglas</b:First>
          </b:Person>
        </b:NameList>
      </b:Author>
    </b:Author>
    <b:Pages>2-5</b:Pages>
    <b:JournalName>Nature climate change</b:JournalName>
    <b:Number>1</b:Number>
    <b:RefOrder>23</b:RefOrder>
  </b:Source>
  <b:Source>
    <b:Year>2017</b:Year>
    <b:Volume>42</b:Volume>
    <b:BIBTEX_Entry>article</b:BIBTEX_Entry>
    <b:SourceType>JournalArticle</b:SourceType>
    <b:Title>The roads ahead: Narratives for shared socioeconomic pathways describing world futures in the 21st century</b:Title>
    <b:Tag>O’Neill2017</b:Tag>
    <b:Publisher>Elsevier</b:Publisher>
    <b:Author>
      <b:Author>
        <b:NameList>
          <b:Person>
            <b:Last>O’Neill</b:Last>
            <b:Middle>C.</b:Middle>
            <b:First>Brian</b:First>
          </b:Person>
          <b:Person>
            <b:Last>Kriegler</b:Last>
            <b:First>Elmar</b:First>
          </b:Person>
          <b:Person>
            <b:Last>Ebi</b:Last>
            <b:Middle>L.</b:Middle>
            <b:First>Kristie</b:First>
          </b:Person>
          <b:Person>
            <b:Last>Kemp-Benedict</b:Last>
            <b:First>Eric</b:First>
          </b:Person>
          <b:Person>
            <b:Last>Riahi</b:Last>
            <b:First>Keywan</b:First>
          </b:Person>
          <b:Person>
            <b:Last>Rothman</b:Last>
            <b:Middle>S.</b:Middle>
            <b:First>Dale</b:First>
          </b:Person>
          <b:Person>
            <b:Last>van Ruijven and Bas</b:Last>
            <b:First>J.</b:First>
          </b:Person>
          <b:Person>
            <b:Last>van Vuuren and Detlef</b:Last>
            <b:First>P.</b:First>
          </b:Person>
          <b:Person>
            <b:Last>Birkmann</b:Last>
            <b:First>Joern</b:First>
          </b:Person>
          <b:Person>
            <b:Last>Kok</b:Last>
            <b:First>Kasper</b:First>
          </b:Person>
          <b:Person>
            <b:Last>others</b:Last>
          </b:Person>
        </b:NameList>
      </b:Author>
    </b:Author>
    <b:Pages>169-180</b:Pages>
    <b:JournalName>Global Environmental Change</b:JournalName>
    <b:RefOrder>28</b:RefOrder>
  </b:Source>
  <b:Source>
    <b:Year>2014</b:Year>
    <b:Volume>122</b:Volume>
    <b:BIBTEX_Entry>article</b:BIBTEX_Entry>
    <b:SourceType>JournalArticle</b:SourceType>
    <b:Title>A new scenario framework for climate change research: the concept of shared socioeconomic pathways</b:Title>
    <b:Tag>O’Neill2014</b:Tag>
    <b:Publisher>Springer</b:Publisher>
    <b:Author>
      <b:Author>
        <b:NameList>
          <b:Person>
            <b:Last>O’Neill</b:Last>
            <b:Middle>C.</b:Middle>
            <b:First>Brian</b:First>
          </b:Person>
          <b:Person>
            <b:Last>Kriegler</b:Last>
            <b:First>Elmar</b:First>
          </b:Person>
          <b:Person>
            <b:Last>Riahi</b:Last>
            <b:First>Keywan</b:First>
          </b:Person>
          <b:Person>
            <b:Last>Ebi</b:Last>
            <b:Middle>L.</b:Middle>
            <b:First>Kristie</b:First>
          </b:Person>
          <b:Person>
            <b:Last>Hallegatte</b:Last>
            <b:First>Stephane</b:First>
          </b:Person>
          <b:Person>
            <b:Last>Carter</b:Last>
            <b:Middle>R.</b:Middle>
            <b:First>Timothy</b:First>
          </b:Person>
          <b:Person>
            <b:Last>Mathur</b:Last>
            <b:First>Ritu</b:First>
          </b:Person>
          <b:Person>
            <b:Last>van Vuuren and Detlef</b:Last>
            <b:First>P.</b:First>
          </b:Person>
        </b:NameList>
      </b:Author>
    </b:Author>
    <b:Pages>387-400</b:Pages>
    <b:JournalName>Climatic change</b:JournalName>
    <b:Number>3</b:Number>
    <b:RefOrder>27</b:RefOrder>
  </b:Source>
  <b:Source>
    <b:Year>2012</b:Year>
    <b:Volume>370</b:Volume>
    <b:BIBTEX_Entry>article</b:BIBTEX_Entry>
    <b:SourceType>JournalArticle</b:SourceType>
    <b:Title>Cumulative carbon as a policy framework for achieving climate stabilization</b:Title>
    <b:Tag>Matthews2012</b:Tag>
    <b:Publisher>The Royal Society Publishing</b:Publisher>
    <b:Author>
      <b:Author>
        <b:NameList>
          <b:Person>
            <b:Last>Matthews</b:Last>
            <b:Middle>Damon</b:Middle>
            <b:First>H.</b:First>
          </b:Person>
          <b:Person>
            <b:Last>Solomon</b:Last>
            <b:First>Susan</b:First>
          </b:Person>
          <b:Person>
            <b:Last>Pierrehumbert</b:Last>
            <b:First>Raymond</b:First>
          </b:Person>
        </b:NameList>
      </b:Author>
    </b:Author>
    <b:Pages>4365-4379</b:Pages>
    <b:JournalName>Philosophical Transactions of the Royal Society A: Mathematical, Physical and Engineering Sciences</b:JournalName>
    <b:Number>1974</b:Number>
    <b:RefOrder>32</b:RefOrder>
  </b:Source>
  <b:Source>
    <b:Year>2020</b:Year>
    <b:Volume>15</b:Volume>
    <b:BIBTEX_Entry>article</b:BIBTEX_Entry>
    <b:SourceType>JournalArticle</b:SourceType>
    <b:Title>Demonstrating GWP*: a means of reporting warming-equivalent emissions that captures the contrasting impacts of short-and long-lived climate pollutants</b:Title>
    <b:Tag>Lynch2020</b:Tag>
    <b:Publisher>IOP Publishing</b:Publisher>
    <b:Author>
      <b:Author>
        <b:NameList>
          <b:Person>
            <b:Last>Lynch</b:Last>
            <b:First>John</b:First>
          </b:Person>
          <b:Person>
            <b:Last>Cain</b:Last>
            <b:First>Michelle</b:First>
          </b:Person>
          <b:Person>
            <b:Last>Pierrehumbert</b:Last>
            <b:First>Raymond</b:First>
          </b:Person>
          <b:Person>
            <b:Last>Allen</b:Last>
            <b:First>Myles</b:First>
          </b:Person>
        </b:NameList>
      </b:Author>
    </b:Author>
    <b:Pages>044023</b:Pages>
    <b:JournalName>Environmental Research Letters</b:JournalName>
    <b:Number>4</b:Number>
    <b:RefOrder>10</b:RefOrder>
  </b:Source>
  <b:Source>
    <b:Year>2020</b:Year>
    <b:BIBTEX_Entry>article</b:BIBTEX_Entry>
    <b:SourceType>JournalArticle</b:SourceType>
    <b:Title>Challenges and prospects for agricultural greenhouse gas mitigation pathways consistent with the Paris Agreement</b:Title>
    <b:Tag>Leahy2020</b:Tag>
    <b:Author>
      <b:Author>
        <b:NameList>
          <b:Person>
            <b:Last>Leahy</b:Last>
            <b:First>S.</b:First>
          </b:Person>
          <b:Person>
            <b:Last>Clark</b:Last>
            <b:First>H.</b:First>
          </b:Person>
          <b:Person>
            <b:Last>Reisinger</b:Last>
            <b:First>A.</b:First>
          </b:Person>
        </b:NameList>
      </b:Author>
    </b:Author>
    <b:JournalName>Front. Sustain. Food Syst. 4: 69. doi: 10.3389/fsufs</b:JournalName>
    <b:RefOrder>4</b:RefOrder>
  </b:Source>
  <b:Source>
    <b:Year>1996</b:Year>
    <b:Volume>3</b:Volume>
    <b:BIBTEX_Entry>book</b:BIBTEX_Entry>
    <b:SourceType>Book</b:SourceType>
    <b:Title>IPCC Revised 1996 IPCC guidelines for national greenhouse gas inventories</b:Title>
    <b:Tag>Revised1996</b:Tag>
    <b:Author>
      <b:Author>
        <b:NameList>
          <b:Person>
            <b:Last>IPCC</b:Last>
          </b:Person>
        </b:NameList>
      </b:Author>
      <b:Editor>
        <b:NameList>
          <b:Person>
            <b:Last>Houghton</b:Last>
            <b:Middle>T. and Filho, L. G. Meira and Lim, B. and Treanton, K. and Mamaty, I. and Bonduki, Y. and Griggs, D. J.</b:Middle>
            <b:First>J.</b:First>
          </b:Person>
          <b:Person>
            <b:Last>(Eds)</b:Last>
            <b:Middle>A. Callender</b:Middle>
            <b:First>B.</b:First>
          </b:Person>
        </b:NameList>
      </b:Editor>
    </b:Author>
    <b:JournalName>Reference manual</b:JournalName>
    <b:RefOrder>5</b:RefOrder>
  </b:Source>
  <b:Source>
    <b:Year>2019</b:Year>
    <b:BIBTEX_Entry>book</b:BIBTEX_Entry>
    <b:SourceType>Book</b:SourceType>
    <b:Title>2019 Refinement to the 2006 IPCC Guidelines for National Greenhouse Gas Inventories</b:Title>
    <b:Tag>IPCC2019</b:Tag>
    <b:Publisher>IPCC, Switzerland</b:Publisher>
    <b:Author>
      <b:Author>
        <b:NameList>
          <b:Person>
            <b:Last>IPCC</b:Last>
          </b:Person>
        </b:NameList>
      </b:Author>
      <b:Editor>
        <b:NameList>
          <b:Person>
            <b:Last>Calvo Buendia</b:Last>
            <b:Middle>and Tanabe, K. and Kranjc, A. and Baasansuren, J. and Fukuda, M. and Ngarize, S. and Osako, A. and Pyrozhenko, Y. and Shermanau, P.</b:Middle>
            <b:First>E.</b:First>
          </b:Person>
          <b:Person>
            <b:Last>Federici</b:Last>
            <b:Middle>(eds)</b:Middle>
            <b:First>S.</b:First>
          </b:Person>
        </b:NameList>
      </b:Editor>
    </b:Author>
    <b:RefOrder>7</b:RefOrder>
  </b:Source>
  <b:Source>
    <b:Year>2020</b:Year>
    <b:BIBTEX_Entry>article</b:BIBTEX_Entry>
    <b:SourceType>JournalArticle</b:SourceType>
    <b:Title>A survey of GHG mitigation policies for the agriculture, forestry and other land use sector</b:Title>
    <b:Tag>Henderson2020</b:Tag>
    <b:Publisher>OECD</b:Publisher>
    <b:Author>
      <b:Author>
        <b:NameList>
          <b:Person>
            <b:Last>Henderson</b:Last>
            <b:First>Ben</b:First>
          </b:Person>
          <b:Person>
            <b:Last>Frezal</b:Last>
            <b:First>Clara</b:First>
          </b:Person>
          <b:Person>
            <b:Last>Flynn</b:Last>
            <b:First>Eimear</b:First>
          </b:Person>
        </b:NameList>
      </b:Author>
    </b:Author>
    <b:RefOrder>3</b:RefOrder>
  </b:Source>
  <b:Source>
    <b:Year>2019</b:Year>
    <b:Volume>9</b:Volume>
    <b:BIBTEX_Entry>article</b:BIBTEX_Entry>
    <b:SourceType>JournalArticle</b:SourceType>
    <b:Title>Agricultural non-CO 2 emission reduction potential in the context of the 1.5° C target</b:Title>
    <b:Tag>Frank2019</b:Tag>
    <b:Publisher>Nature Publishing Group</b:Publisher>
    <b:Author>
      <b:Author>
        <b:NameList>
          <b:Person>
            <b:Last>Frank</b:Last>
            <b:First>Stefan</b:First>
          </b:Person>
          <b:Person>
            <b:Last>Havl\́ik</b:Last>
            <b:First>Petr</b:First>
          </b:Person>
          <b:Person>
            <b:Last>Stehfest</b:Last>
            <b:First>Elke</b:First>
          </b:Person>
          <b:Person>
            <b:Last>van Meijl</b:Last>
            <b:First>Hans</b:First>
          </b:Person>
          <b:Person>
            <b:Last>Witzke</b:Last>
            <b:First>Peter</b:First>
          </b:Person>
          <b:Person>
            <b:Last>Pérez-Dom\́inguez</b:Last>
            <b:First>Ignacio</b:First>
          </b:Person>
          <b:Person>
            <b:Last>van Dijk</b:Last>
            <b:First>Michiel</b:First>
          </b:Person>
          <b:Person>
            <b:Last>Doelman</b:Last>
            <b:Middle>C.</b:Middle>
            <b:First>Jonathan</b:First>
          </b:Person>
          <b:Person>
            <b:Last>Fellmann</b:Last>
            <b:First>Thomas</b:First>
          </b:Person>
          <b:Person>
            <b:Last>Koopman</b:Last>
            <b:Middle>F. L.</b:Middle>
            <b:First>Jason</b:First>
          </b:Person>
          <b:Person>
            <b:Last>others</b:Last>
          </b:Person>
        </b:NameList>
      </b:Author>
    </b:Author>
    <b:Pages>66-72</b:Pages>
    <b:JournalName>Nature Climate Change</b:JournalName>
    <b:Number>1</b:Number>
    <b:RefOrder>14</b:RefOrder>
  </b:Source>
  <b:Source>
    <b:Year>2006</b:Year>
    <b:Volume>5</b:Volume>
    <b:BIBTEX_Entry>book</b:BIBTEX_Entry>
    <b:SourceType>Book</b:SourceType>
    <b:Title>2006 IPCC guidelines for national greenhouse gas inventories</b:Title>
    <b:Tag>IPCC2006</b:Tag>
    <b:Publisher>Institute for Global Environmental Strategies Hayama, Japan</b:Publisher>
    <b:Author>
      <b:Author>
        <b:NameList>
          <b:Person>
            <b:Last>Eggleston</b:Last>
            <b:First>Simon</b:First>
          </b:Person>
          <b:Person>
            <b:Last>Buendia</b:Last>
            <b:First>Leandro</b:First>
          </b:Person>
          <b:Person>
            <b:Last>Miwa</b:Last>
            <b:First>Kyoko</b:First>
          </b:Person>
          <b:Person>
            <b:Last>Ngara</b:Last>
            <b:First>Todd</b:First>
          </b:Person>
          <b:Person>
            <b:Last>Tanabe</b:Last>
            <b:First>Kiyoto</b:First>
          </b:Person>
        </b:NameList>
      </b:Author>
    </b:Author>
    <b:RefOrder>6</b:RefOrder>
  </b:Source>
  <b:Source>
    <b:Year>2019</b:Year>
    <b:Volume>14</b:Volume>
    <b:BIBTEX_Entry>article</b:BIBTEX_Entry>
    <b:SourceType>JournalArticle</b:SourceType>
    <b:Title>Guidance on emissions metrics for nationally determined contributions under the Paris Agreement</b:Title>
    <b:Tag>Denison2019</b:Tag>
    <b:Publisher>IOP Publishing</b:Publisher>
    <b:Author>
      <b:Author>
        <b:NameList>
          <b:Person>
            <b:Last>Denison</b:Last>
            <b:First>Steve</b:First>
          </b:Person>
          <b:Person>
            <b:Last>Forster</b:Last>
            <b:Middle>M.</b:Middle>
            <b:First>Piers</b:First>
          </b:Person>
          <b:Person>
            <b:Last>Smith</b:Last>
            <b:Middle>J.</b:Middle>
            <b:First>Christopher</b:First>
          </b:Person>
        </b:NameList>
      </b:Author>
    </b:Author>
    <b:Pages>124002</b:Pages>
    <b:JournalName>Environmental Research Letters</b:JournalName>
    <b:Number>12</b:Number>
    <b:RefOrder>9</b:RefOrder>
  </b:Source>
  <b:Source>
    <b:Year>2020</b:Year>
    <b:Volume>370</b:Volume>
    <b:BIBTEX_Entry>article</b:BIBTEX_Entry>
    <b:SourceType>JournalArticle</b:SourceType>
    <b:Title>Global food system emissions could preclude achieving the 1.5° and 2° C climate change targets</b:Title>
    <b:Tag>Clark2020</b:Tag>
    <b:Publisher>American Association for the Advancement of Science</b:Publisher>
    <b:Author>
      <b:Author>
        <b:NameList>
          <b:Person>
            <b:Last>Clark</b:Last>
            <b:Middle>A.</b:Middle>
            <b:First>Michael</b:First>
          </b:Person>
          <b:Person>
            <b:Last>Domingo</b:Last>
            <b:Middle>G. G.</b:Middle>
            <b:First>Nina</b:First>
          </b:Person>
          <b:Person>
            <b:Last>Colgan</b:Last>
            <b:First>Kimberly</b:First>
          </b:Person>
          <b:Person>
            <b:Last>Thakrar</b:Last>
            <b:Middle>K.</b:Middle>
            <b:First>Sumil</b:First>
          </b:Person>
          <b:Person>
            <b:Last>Tilman</b:Last>
            <b:First>David</b:First>
          </b:Person>
          <b:Person>
            <b:Last>Lynch</b:Last>
            <b:First>John</b:First>
          </b:Person>
          <b:Person>
            <b:Last>Azevedo</b:Last>
            <b:Middle>L.</b:Middle>
            <b:First>Inês</b:First>
          </b:Person>
          <b:Person>
            <b:Last>Hill</b:Last>
            <b:Middle>D.</b:Middle>
            <b:First>Jason</b:First>
          </b:Person>
        </b:NameList>
      </b:Author>
    </b:Author>
    <b:Pages>705-708</b:Pages>
    <b:JournalName>Science</b:JournalName>
    <b:Number>6517</b:Number>
    <b:RefOrder>25</b:RefOrder>
  </b:Source>
  <b:Source>
    <b:Year>2019</b:Year>
    <b:Volume>2</b:Volume>
    <b:BIBTEX_Entry>article</b:BIBTEX_Entry>
    <b:SourceType>JournalArticle</b:SourceType>
    <b:Title>Improved calculation of warming-equivalent emissions for short-lived climate pollutants</b:Title>
    <b:Tag>Cain2019a</b:Tag>
    <b:Publisher>Nature Publishing Group</b:Publisher>
    <b:Author>
      <b:Author>
        <b:NameList>
          <b:Person>
            <b:Last>Cain</b:Last>
            <b:First>Michelle</b:First>
          </b:Person>
          <b:Person>
            <b:Last>Lynch</b:Last>
            <b:First>John</b:First>
          </b:Person>
          <b:Person>
            <b:Last>Allen</b:Last>
            <b:Middle>R.</b:Middle>
            <b:First>Myles</b:First>
          </b:Person>
          <b:Person>
            <b:Last>Fuglestvedt</b:Last>
            <b:Middle>S.</b:Middle>
            <b:First>Jan</b:First>
          </b:Person>
          <b:Person>
            <b:Last>Frame</b:Last>
            <b:Middle>J.</b:Middle>
            <b:First>David</b:First>
          </b:Person>
          <b:Person>
            <b:Last>Macey</b:Last>
            <b:Middle>H.</b:Middle>
            <b:First>Adrian</b:First>
          </b:Person>
        </b:NameList>
      </b:Author>
    </b:Author>
    <b:Pages>1-7</b:Pages>
    <b:JournalName>NPJ climate and atmospheric science</b:JournalName>
    <b:Number>1</b:Number>
    <b:RefOrder>12</b:RefOrder>
  </b:Source>
  <b:Source>
    <b:Year>2011</b:Year>
    <b:BIBTEX_Entry>article</b:BIBTEX_Entry>
    <b:SourceType>JournalArticle</b:SourceType>
    <b:Title>The case for carbon pricing</b:Title>
    <b:Tag>Bowen2011</b:Tag>
    <b:Author>
      <b:Author>
        <b:NameList>
          <b:Person>
            <b:Last>Bowen</b:Last>
            <b:First>Alex</b:First>
          </b:Person>
        </b:NameList>
      </b:Author>
    </b:Author>
    <b:JournalName>Policy Brief, Grantham Research</b:JournalName>
    <b:RefOrder>16</b:RefOrder>
  </b:Source>
  <b:Source>
    <b:Year>2013</b:Year>
    <b:Volume>152</b:Volume>
    <b:BIBTEX_Entry>article</b:BIBTEX_Entry>
    <b:SourceType>JournalArticle</b:SourceType>
    <b:Title>Greenhouse gas emission intensities of grass silage based dairy and beef production: A systems analysis of Norwegian farms</b:Title>
    <b:Tag>Bonesmo2013</b:Tag>
    <b:Publisher>Elsevier</b:Publisher>
    <b:Author>
      <b:Author>
        <b:NameList>
          <b:Person>
            <b:Last>Bonesmo</b:Last>
            <b:First>Helge</b:First>
          </b:Person>
          <b:Person>
            <b:Last>Beauchemin</b:Last>
            <b:Middle>A.</b:Middle>
            <b:First>Karen</b:First>
          </b:Person>
          <b:Person>
            <b:Last>Harstad</b:Last>
            <b:Middle>M.</b:Middle>
            <b:First>Odd</b:First>
          </b:Person>
          <b:Person>
            <b:Last>Skjelvåg</b:Last>
            <b:Middle>O.</b:Middle>
            <b:First>Arne</b:First>
          </b:Person>
        </b:NameList>
      </b:Author>
    </b:Author>
    <b:Pages>239-252</b:Pages>
    <b:JournalName>Livestock Science</b:JournalName>
    <b:Number>2-3</b:Number>
    <b:RefOrder>20</b:RefOrder>
  </b:Source>
  <b:Source>
    <b:Year>2017</b:Year>
    <b:Volume>8</b:Volume>
    <b:BIBTEX_Entry>article</b:BIBTEX_Entry>
    <b:SourceType>JournalArticle</b:SourceType>
    <b:Title>Carbon pricing in climate policy: seven reasons, complementary instruments, and political economy considerations</b:Title>
    <b:Tag>Baranzini2017</b:Tag>
    <b:Publisher>Wiley Online Library</b:Publisher>
    <b:Author>
      <b:Author>
        <b:NameList>
          <b:Person>
            <b:Last>Baranzini</b:Last>
            <b:First>Andrea</b:First>
          </b:Person>
          <b:Person>
            <b:Last>den Bergh</b:Last>
            <b:Middle>and Jeroen, C. J. M.</b:Middle>
            <b:First>Van</b:First>
          </b:Person>
          <b:Person>
            <b:Last>Carattini</b:Last>
            <b:First>Stefano</b:First>
          </b:Person>
          <b:Person>
            <b:Last>Howarth</b:Last>
            <b:Middle>B.</b:Middle>
            <b:First>Richard</b:First>
          </b:Person>
          <b:Person>
            <b:Last>Padilla</b:Last>
            <b:First>Emilio</b:First>
          </b:Person>
          <b:Person>
            <b:Last>Roca</b:Last>
            <b:First>Jordi</b:First>
          </b:Person>
        </b:NameList>
      </b:Author>
    </b:Author>
    <b:Pages>e462</b:Pages>
    <b:JournalName>Wiley Interdisciplinary Reviews: Climate Change</b:JournalName>
    <b:Number>4</b:Number>
    <b:RefOrder>17</b:RefOrder>
  </b:Source>
  <b:Source>
    <b:Year>2018</b:Year>
    <b:Volume>1</b:Volume>
    <b:BIBTEX_Entry>article</b:BIBTEX_Entry>
    <b:SourceType>JournalArticle</b:SourceType>
    <b:Title>A solution to the misrepresentations of CO 2-equivalent emissions of short-lived climate pollutants under ambitious mitigation</b:Title>
    <b:Tag>Allen2018</b:Tag>
    <b:Publisher>Nature Publishing Group</b:Publisher>
    <b:Author>
      <b:Author>
        <b:NameList>
          <b:Person>
            <b:Last>Allen</b:Last>
            <b:Middle>R.</b:Middle>
            <b:First>Myles</b:First>
          </b:Person>
          <b:Person>
            <b:Last>Shine</b:Last>
            <b:Middle>P.</b:Middle>
            <b:First>Keith</b:First>
          </b:Person>
          <b:Person>
            <b:Last>Fuglestvedt</b:Last>
            <b:Middle>S.</b:Middle>
            <b:First>Jan</b:First>
          </b:Person>
          <b:Person>
            <b:Last>Millar</b:Last>
            <b:Middle>J.</b:Middle>
            <b:First>Richard</b:First>
          </b:Person>
          <b:Person>
            <b:Last>Cain</b:Last>
            <b:First>Michelle</b:First>
          </b:Person>
          <b:Person>
            <b:Last>Frame</b:Last>
            <b:Middle>J.</b:Middle>
            <b:First>David</b:First>
          </b:Person>
          <b:Person>
            <b:Last>Macey</b:Last>
            <b:Middle>H.</b:Middle>
            <b:First>Adrian</b:First>
          </b:Person>
        </b:NameList>
      </b:Author>
    </b:Author>
    <b:Pages>1-8</b:Pages>
    <b:JournalName>Npj Climate and Atmospheric Science</b:JournalName>
    <b:Number>1</b:Number>
    <b:RefOrder>13</b:RefOrder>
  </b:Source>
  <b:Source>
    <b:Year>2017</b:Year>
    <b:Volume>151</b:Volume>
    <b:BIBTEX_Entry>article</b:BIBTEX_Entry>
    <b:SourceType>JournalArticle</b:SourceType>
    <b:Title>Greenhouse gas emission of Canadian cow-calf operations: A whole-farm assessment of 295 farms</b:Title>
    <b:Tag>Alemu2017</b:Tag>
    <b:Publisher>Elsevier</b:Publisher>
    <b:Author>
      <b:Author>
        <b:NameList>
          <b:Person>
            <b:Last>Alemu</b:Last>
            <b:Middle>W.</b:Middle>
            <b:First>Aklilu</b:First>
          </b:Person>
          <b:Person>
            <b:Last>Amiro</b:Last>
            <b:Middle>D.</b:Middle>
            <b:First>Brian</b:First>
          </b:Person>
          <b:Person>
            <b:Last>Bittman</b:Last>
            <b:First>Shabtai</b:First>
          </b:Person>
          <b:Person>
            <b:Last>MacDonald</b:Last>
            <b:First>Douglas</b:First>
          </b:Person>
          <b:Person>
            <b:Last>Ominski</b:Last>
            <b:Middle>H.</b:Middle>
            <b:First>Kim</b:First>
          </b:Person>
        </b:NameList>
      </b:Author>
    </b:Author>
    <b:Pages>73-83</b:Pages>
    <b:JournalName>Agricultural systems</b:JournalName>
    <b:RefOrder>21</b:RefOrder>
  </b:Source>
  <b:Source>
    <b:Year>2019</b:Year>
    <b:BIBTEX_Entry>article</b:BIBTEX_Entry>
    <b:SourceType>JournalArticle</b:SourceType>
    <b:Title>Economists’ statement on carbon dividends</b:Title>
    <b:Tag>Akerlof2019</b:Tag>
    <b:Author>
      <b:Author>
        <b:NameList>
          <b:Person>
            <b:Last>Akerlof</b:Last>
            <b:First>George</b:First>
          </b:Person>
          <b:Person>
            <b:Last>Greenspan</b:Last>
            <b:First>A.</b:First>
          </b:Person>
          <b:Person>
            <b:Last>Maskin</b:Last>
            <b:First>E.</b:First>
          </b:Person>
          <b:Person>
            <b:Last>Sharpe</b:Last>
            <b:First>W.</b:First>
          </b:Person>
          <b:Person>
            <b:Last>Aumann</b:Last>
            <b:First>R.</b:First>
          </b:Person>
          <b:Person>
            <b:Last>Hansen</b:Last>
            <b:Middle>P.</b:Middle>
            <b:First>L.</b:First>
          </b:Person>
          <b:Person>
            <b:Last>McFadden</b:Last>
            <b:First>D.</b:First>
          </b:Person>
          <b:Person>
            <b:Last>Shiller</b:Last>
            <b:First>R.</b:First>
          </b:Person>
          <b:Person>
            <b:Last>Baily</b:Last>
            <b:First>M.</b:First>
          </b:Person>
          <b:Person>
            <b:Last>Hart</b:Last>
            <b:First>O.</b:First>
          </b:Person>
          <b:Person>
            <b:Last>others</b:Last>
          </b:Person>
        </b:NameList>
      </b:Author>
    </b:Author>
    <b:JournalName>Wall Street J</b:JournalName>
    <b:RefOrder>19</b:RefOrder>
  </b:Source>
  <b:Source>
    <b:Year>2015</b:Year>
    <b:BIBTEX_Entry>article</b:BIBTEX_Entry>
    <b:SourceType>JournalArticle</b:SourceType>
    <b:Title>Adoption of the Paris agreement</b:Title>
    <b:Tag>unfccc2015adoption</b:Tag>
    <b:Author>
      <b:Author>
        <b:NameList>
          <b:Person>
            <b:Last>Change</b:Last>
            <b:First>United</b:First>
            <b:Middle>Nations Framework Convention on Climate</b:Middle>
          </b:Person>
        </b:NameList>
      </b:Author>
    </b:Author>
    <b:JournalName>Proposal by the President</b:JournalName>
    <b:Guid>{19F5EB92-7A11-4874-8186-1A958D21D653}</b:Guid>
    <b:RefOrder>2</b:RefOrder>
  </b:Source>
  <b:Source>
    <b:Year>2016</b:Year>
    <b:Volume>113</b:Volume>
    <b:BIBTEX_Entry>article</b:BIBTEX_Entry>
    <b:SourceType>JournalArticle</b:SourceType>
    <b:Title>Analysis and valuation of the health and climate change cobenefits of dietary change</b:Title>
    <b:Tag>springmann2016analysis</b:Tag>
    <b:Publisher>National Acad Sciences</b:Publisher>
    <b:Author>
      <b:Author>
        <b:NameList>
          <b:Person>
            <b:Last>Springmann</b:Last>
            <b:First>Marco</b:First>
          </b:Person>
          <b:Person>
            <b:Last>Godfray</b:Last>
            <b:Middle>Charles J.</b:Middle>
            <b:First>H.</b:First>
          </b:Person>
          <b:Person>
            <b:Last>Rayner</b:Last>
            <b:First>Mike</b:First>
          </b:Person>
          <b:Person>
            <b:Last>Scarborough</b:Last>
            <b:First>Peter</b:First>
          </b:Person>
        </b:NameList>
      </b:Author>
    </b:Author>
    <b:Pages>4146-4151</b:Pages>
    <b:JournalName>Proceedings of the National Academy of Sciences</b:JournalName>
    <b:Number>15</b:Number>
    <b:RefOrder>30</b:RefOrder>
  </b:Source>
  <b:Source>
    <b:Year>2018</b:Year>
    <b:Volume>562</b:Volume>
    <b:BIBTEX_Entry>article</b:BIBTEX_Entry>
    <b:SourceType>JournalArticle</b:SourceType>
    <b:Title>Options for keeping the food system within environmental limits</b:Title>
    <b:Tag>Springmann2018</b:Tag>
    <b:Publisher>Nature Publishing Group</b:Publisher>
    <b:Author>
      <b:Author>
        <b:NameList>
          <b:Person>
            <b:Last>Springmann</b:Last>
            <b:First>Marco</b:First>
          </b:Person>
          <b:Person>
            <b:Last>Clark</b:Last>
            <b:First>Michael</b:First>
          </b:Person>
          <b:Person>
            <b:Last>Mason-D’Croz</b:Last>
            <b:First>Daniel</b:First>
          </b:Person>
          <b:Person>
            <b:Last>Wiebe</b:Last>
            <b:First>Keith</b:First>
          </b:Person>
          <b:Person>
            <b:Last>Bodirsky</b:Last>
            <b:Middle>Leon</b:Middle>
            <b:First>Benjamin</b:First>
          </b:Person>
          <b:Person>
            <b:Last>Lassaletta</b:Last>
            <b:First>Luis</b:First>
          </b:Person>
          <b:Person>
            <b:Last>De Vries</b:Last>
            <b:First>Wim</b:First>
          </b:Person>
          <b:Person>
            <b:Last>Vermeulen</b:Last>
            <b:Middle>J.</b:Middle>
            <b:First>Sonja</b:First>
          </b:Person>
          <b:Person>
            <b:Last>Herrero</b:Last>
            <b:First>Mario</b:First>
          </b:Person>
          <b:Person>
            <b:Last>Carlson</b:Last>
            <b:Middle>M.</b:Middle>
            <b:First>Kimberly</b:First>
          </b:Person>
          <b:Person>
            <b:Last>others</b:Last>
          </b:Person>
        </b:NameList>
      </b:Author>
    </b:Author>
    <b:Pages>519-525</b:Pages>
    <b:JournalName>Nature</b:JournalName>
    <b:Number>7728</b:Number>
    <b:RefOrder>31</b:RefOrder>
  </b:Source>
  <b:Source>
    <b:Year>2018</b:Year>
    <b:Volume>20</b:Volume>
    <b:BIBTEX_Entry>article</b:BIBTEX_Entry>
    <b:SourceType>JournalArticle</b:SourceType>
    <b:Title>Methane emissions: choosing the right climate metric and time horizon</b:Title>
    <b:Tag>Balcombe2018</b:Tag>
    <b:Publisher>Royal Society of Chemistry</b:Publisher>
    <b:Author>
      <b:Author>
        <b:NameList>
          <b:Person>
            <b:Last>Balcombe</b:Last>
            <b:First>Paul</b:First>
          </b:Person>
          <b:Person>
            <b:Last>Speirs</b:Last>
            <b:Middle>F.</b:Middle>
            <b:First>Jamie</b:First>
          </b:Person>
          <b:Person>
            <b:Last>Brandon</b:Last>
            <b:Middle>P.</b:Middle>
            <b:First>Nigel</b:First>
          </b:Person>
          <b:Person>
            <b:Last>Hawkes</b:Last>
            <b:Middle>D.</b:Middle>
            <b:First>Adam</b:First>
          </b:Person>
        </b:NameList>
      </b:Author>
    </b:Author>
    <b:Pages>1323-1339</b:Pages>
    <b:JournalName>Environmental Science: Processes \&amp; Impacts</b:JournalName>
    <b:Number>10</b:Number>
    <b:RefOrder>8</b:RefOrder>
  </b:Source>
  <b:Source>
    <b:Year>2018</b:Year>
    <b:Volume>13</b:Volume>
    <b:BIBTEX_Entry>article</b:BIBTEX_Entry>
    <b:SourceType>JournalArticle</b:SourceType>
    <b:Title>Comparing impacts of climate change and mitigation on global agriculture by 2050</b:Title>
    <b:Tag>VanMeijl2018</b:Tag>
    <b:Publisher>IOP Publishing</b:Publisher>
    <b:Author>
      <b:Author>
        <b:NameList>
          <b:Person>
            <b:Last>Van Meijl</b:Last>
            <b:First>Hans</b:First>
          </b:Person>
          <b:Person>
            <b:Last>Havlik</b:Last>
            <b:First>Petr</b:First>
          </b:Person>
          <b:Person>
            <b:Last>Lotze-Campen</b:Last>
            <b:First>Hermann</b:First>
          </b:Person>
          <b:Person>
            <b:Last>Stehfest</b:Last>
            <b:First>Elke</b:First>
          </b:Person>
          <b:Person>
            <b:Last>Witzke</b:Last>
            <b:First>Peter</b:First>
          </b:Person>
          <b:Person>
            <b:Last>Domínguez</b:Last>
            <b:Middle>Pérez</b:Middle>
            <b:First>Ignacio</b:First>
          </b:Person>
          <b:Person>
            <b:Last>Bodirsky</b:Last>
            <b:Middle>Leon</b:Middle>
            <b:First>Benjamin</b:First>
          </b:Person>
          <b:Person>
            <b:Last>van Dijk</b:Last>
            <b:First>Michiel</b:First>
          </b:Person>
          <b:Person>
            <b:Last>Doelman</b:Last>
            <b:First>Jonathan</b:First>
          </b:Person>
          <b:Person>
            <b:Last>Fellmann</b:Last>
            <b:First>Thomas</b:First>
          </b:Person>
          <b:Person>
            <b:Last>others</b:Last>
          </b:Person>
        </b:NameList>
      </b:Author>
    </b:Author>
    <b:Pages>064021</b:Pages>
    <b:JournalName>Environmental Research Letters</b:JournalName>
    <b:Number>6</b:Number>
    <b:RefOrder>15</b:RefOrder>
  </b:Source>
  <b:Source>
    <b:Year>2017</b:Year>
    <b:Volume>12</b:Volume>
    <b:BIBTEX_Entry>article</b:BIBTEX_Entry>
    <b:SourceType>JournalArticle</b:SourceType>
    <b:Title>Reducing greenhouse gas emissions in agriculture without compromising food security?</b:Title>
    <b:Tag>Frank2017</b:Tag>
    <b:Publisher>IOP Publishing</b:Publisher>
    <b:Author>
      <b:Author>
        <b:NameList>
          <b:Person>
            <b:Last>Frank</b:Last>
            <b:First>Stefan</b:First>
          </b:Person>
          <b:Person>
            <b:Last>Havl\́ik</b:Last>
            <b:First>Petr</b:First>
          </b:Person>
          <b:Person>
            <b:Last>Soussana</b:Last>
            <b:First>Jean-François</b:First>
          </b:Person>
          <b:Person>
            <b:Last>Levesque</b:Last>
            <b:First>Antoine</b:First>
          </b:Person>
          <b:Person>
            <b:Last>Valin</b:Last>
            <b:First>Hugo</b:First>
          </b:Person>
          <b:Person>
            <b:Last>Wollenberg</b:Last>
            <b:First>Eva</b:First>
          </b:Person>
          <b:Person>
            <b:Last>Kleinwechter</b:Last>
            <b:First>Ulrich</b:First>
          </b:Person>
          <b:Person>
            <b:Last>Fricko</b:Last>
            <b:First>Oliver</b:First>
          </b:Person>
          <b:Person>
            <b:Last>Gusti</b:Last>
            <b:First>Mykola</b:First>
          </b:Person>
          <b:Person>
            <b:Last>Herrero</b:Last>
            <b:First>Mario</b:First>
          </b:Person>
          <b:Person>
            <b:Last>others</b:Last>
          </b:Person>
        </b:NameList>
      </b:Author>
    </b:Author>
    <b:Pages>105004</b:Pages>
    <b:JournalName>Environmental Research Letters</b:JournalName>
    <b:Number>10</b:Number>
    <b:RefOrder>29</b:RefOrder>
  </b:Source>
</b:Sources>
</file>

<file path=customXml/itemProps1.xml><?xml version="1.0" encoding="utf-8"?>
<ds:datastoreItem xmlns:ds="http://schemas.openxmlformats.org/officeDocument/2006/customXml" ds:itemID="{F64802D3-7EBE-44B1-B291-47080FC1152D}">
  <ds:schemaRefs>
    <ds:schemaRef ds:uri="http://schemas.microsoft.com/sharepoint/v3/contenttype/forms"/>
  </ds:schemaRefs>
</ds:datastoreItem>
</file>

<file path=customXml/itemProps2.xml><?xml version="1.0" encoding="utf-8"?>
<ds:datastoreItem xmlns:ds="http://schemas.openxmlformats.org/officeDocument/2006/customXml" ds:itemID="{290D75D4-C114-4C38-8561-90C2D39D2E8F}">
  <ds:schemaRefs>
    <ds:schemaRef ds:uri="http://purl.org/dc/terms/"/>
    <ds:schemaRef ds:uri="http://schemas.openxmlformats.org/package/2006/metadata/core-properties"/>
    <ds:schemaRef ds:uri="http://schemas.microsoft.com/office/2006/documentManagement/types"/>
    <ds:schemaRef ds:uri="ca3ff5c5-e015-42eb-8549-46b24d672214"/>
    <ds:schemaRef ds:uri="http://schemas.microsoft.com/office/infopath/2007/PartnerControls"/>
    <ds:schemaRef ds:uri="http://purl.org/dc/elements/1.1/"/>
    <ds:schemaRef ds:uri="http://schemas.microsoft.com/office/2006/metadata/properties"/>
    <ds:schemaRef ds:uri="edf151ab-9cb8-45ff-916e-f2080e18bf54"/>
    <ds:schemaRef ds:uri="http://www.w3.org/XML/1998/namespace"/>
    <ds:schemaRef ds:uri="http://purl.org/dc/dcmitype/"/>
  </ds:schemaRefs>
</ds:datastoreItem>
</file>

<file path=customXml/itemProps3.xml><?xml version="1.0" encoding="utf-8"?>
<ds:datastoreItem xmlns:ds="http://schemas.openxmlformats.org/officeDocument/2006/customXml" ds:itemID="{9B8E7B63-596B-4C2C-B4BD-D0CE54A524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3ff5c5-e015-42eb-8549-46b24d672214"/>
    <ds:schemaRef ds:uri="edf151ab-9cb8-45ff-916e-f2080e18bf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782D7E-6E47-461B-8680-9AA0FC5B1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4656</Words>
  <Characters>26032</Characters>
  <Application>Microsoft Office Word</Application>
  <DocSecurity>0</DocSecurity>
  <Lines>565</Lines>
  <Paragraphs>241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European Commission</Company>
  <LinksUpToDate>false</LinksUpToDate>
  <CharactersWithSpaces>30447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PEREZ DOMINGUEZ Ignacio (JRC-SEVILLA)</dc:creator>
  <cp:lastModifiedBy>PEREZ DOMINGUEZ Ignacio (JRC-SEVILLA)</cp:lastModifiedBy>
  <cp:revision>3</cp:revision>
  <cp:lastPrinted>2021-02-06T00:49:00Z</cp:lastPrinted>
  <dcterms:created xsi:type="dcterms:W3CDTF">2021-02-06T19:15:00Z</dcterms:created>
  <dcterms:modified xsi:type="dcterms:W3CDTF">2021-02-06T19:17:00Z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0x010100F8EB84E8514F8040B36D83EEBC3C827F</vt:lpwstr>
  </property>
</Properties>
</file>