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4DA3D" w14:textId="21BBE5AC" w:rsidR="00295127" w:rsidRPr="00B24F70" w:rsidRDefault="00295127" w:rsidP="00295127">
      <w:pPr>
        <w:jc w:val="center"/>
        <w:rPr>
          <w:b/>
          <w:bCs/>
          <w:sz w:val="26"/>
          <w:szCs w:val="26"/>
        </w:rPr>
      </w:pPr>
      <w:r w:rsidRPr="00B24F70">
        <w:rPr>
          <w:b/>
          <w:bCs/>
          <w:sz w:val="26"/>
          <w:szCs w:val="26"/>
        </w:rPr>
        <w:t xml:space="preserve">Neurobehavioral and neurochemical basis of compulsive </w:t>
      </w:r>
      <w:proofErr w:type="spellStart"/>
      <w:r w:rsidRPr="00B24F70">
        <w:rPr>
          <w:b/>
          <w:bCs/>
          <w:sz w:val="26"/>
          <w:szCs w:val="26"/>
        </w:rPr>
        <w:t>behavior</w:t>
      </w:r>
      <w:proofErr w:type="spellEnd"/>
      <w:r w:rsidRPr="00B24F70">
        <w:rPr>
          <w:b/>
          <w:bCs/>
          <w:sz w:val="26"/>
          <w:szCs w:val="26"/>
        </w:rPr>
        <w:t>:</w:t>
      </w:r>
    </w:p>
    <w:p w14:paraId="47853D43" w14:textId="77777777" w:rsidR="00295127" w:rsidRPr="00B24F70" w:rsidRDefault="00295127" w:rsidP="00295127">
      <w:pPr>
        <w:jc w:val="center"/>
        <w:rPr>
          <w:b/>
          <w:bCs/>
          <w:sz w:val="26"/>
          <w:szCs w:val="26"/>
        </w:rPr>
      </w:pPr>
      <w:r w:rsidRPr="00B24F70">
        <w:rPr>
          <w:b/>
          <w:bCs/>
          <w:sz w:val="26"/>
          <w:szCs w:val="26"/>
        </w:rPr>
        <w:t>A 7T magnetic resonance spectroscopy study in humans</w:t>
      </w:r>
    </w:p>
    <w:p w14:paraId="5D8C0AC8" w14:textId="77777777" w:rsidR="00295127" w:rsidRPr="00785469" w:rsidRDefault="00295127" w:rsidP="00295127">
      <w:pPr>
        <w:jc w:val="center"/>
        <w:rPr>
          <w:b/>
          <w:bCs/>
          <w:sz w:val="23"/>
          <w:szCs w:val="23"/>
        </w:rPr>
      </w:pPr>
    </w:p>
    <w:p w14:paraId="60867385" w14:textId="77777777" w:rsidR="00295127" w:rsidRDefault="00295127" w:rsidP="00295127">
      <w:pPr>
        <w:rPr>
          <w:sz w:val="23"/>
          <w:szCs w:val="23"/>
        </w:rPr>
      </w:pPr>
    </w:p>
    <w:p w14:paraId="210A9F7E" w14:textId="6E8A8C08" w:rsidR="00295127" w:rsidRPr="000A4752" w:rsidRDefault="00295127" w:rsidP="00295127">
      <w:pPr>
        <w:rPr>
          <w:sz w:val="23"/>
          <w:szCs w:val="23"/>
          <w:vertAlign w:val="superscript"/>
        </w:rPr>
      </w:pPr>
      <w:r w:rsidRPr="000A4752">
        <w:rPr>
          <w:sz w:val="23"/>
          <w:szCs w:val="23"/>
        </w:rPr>
        <w:t xml:space="preserve">Marjan Biria, Paula Banca, Máiréad P. Healy, </w:t>
      </w:r>
      <w:proofErr w:type="spellStart"/>
      <w:r w:rsidRPr="000A4752">
        <w:rPr>
          <w:sz w:val="23"/>
          <w:szCs w:val="23"/>
        </w:rPr>
        <w:t>Engin</w:t>
      </w:r>
      <w:proofErr w:type="spellEnd"/>
      <w:r w:rsidRPr="000A4752">
        <w:rPr>
          <w:sz w:val="23"/>
          <w:szCs w:val="23"/>
        </w:rPr>
        <w:t xml:space="preserve"> </w:t>
      </w:r>
      <w:proofErr w:type="spellStart"/>
      <w:r w:rsidRPr="000A4752">
        <w:rPr>
          <w:sz w:val="23"/>
          <w:szCs w:val="23"/>
        </w:rPr>
        <w:t>Keser</w:t>
      </w:r>
      <w:proofErr w:type="spellEnd"/>
      <w:r w:rsidRPr="000A4752">
        <w:rPr>
          <w:sz w:val="23"/>
          <w:szCs w:val="23"/>
        </w:rPr>
        <w:t xml:space="preserve">, </w:t>
      </w:r>
      <w:r w:rsidRPr="003C795E">
        <w:rPr>
          <w:sz w:val="23"/>
          <w:szCs w:val="23"/>
        </w:rPr>
        <w:t>Stephen J</w:t>
      </w:r>
      <w:r>
        <w:rPr>
          <w:sz w:val="23"/>
          <w:szCs w:val="23"/>
        </w:rPr>
        <w:t>.</w:t>
      </w:r>
      <w:r w:rsidRPr="003C795E">
        <w:rPr>
          <w:sz w:val="23"/>
          <w:szCs w:val="23"/>
        </w:rPr>
        <w:t xml:space="preserve"> </w:t>
      </w:r>
      <w:proofErr w:type="spellStart"/>
      <w:r w:rsidRPr="003C795E">
        <w:rPr>
          <w:sz w:val="23"/>
          <w:szCs w:val="23"/>
        </w:rPr>
        <w:t>Sawiak</w:t>
      </w:r>
      <w:proofErr w:type="spellEnd"/>
      <w:r w:rsidR="00F00838">
        <w:rPr>
          <w:sz w:val="23"/>
          <w:szCs w:val="23"/>
        </w:rPr>
        <w:t xml:space="preserve">, </w:t>
      </w:r>
      <w:r w:rsidRPr="000A4752">
        <w:rPr>
          <w:sz w:val="23"/>
          <w:szCs w:val="23"/>
        </w:rPr>
        <w:t xml:space="preserve">Ana Maria </w:t>
      </w:r>
      <w:proofErr w:type="spellStart"/>
      <w:r w:rsidRPr="000A4752">
        <w:rPr>
          <w:sz w:val="23"/>
          <w:szCs w:val="23"/>
        </w:rPr>
        <w:t>Frota</w:t>
      </w:r>
      <w:proofErr w:type="spellEnd"/>
      <w:r w:rsidRPr="000A4752">
        <w:rPr>
          <w:sz w:val="23"/>
          <w:szCs w:val="23"/>
        </w:rPr>
        <w:t xml:space="preserve"> </w:t>
      </w:r>
      <w:proofErr w:type="spellStart"/>
      <w:r w:rsidRPr="000A4752">
        <w:rPr>
          <w:sz w:val="23"/>
          <w:szCs w:val="23"/>
        </w:rPr>
        <w:t>Lisbôa</w:t>
      </w:r>
      <w:proofErr w:type="spellEnd"/>
      <w:r w:rsidRPr="000A4752">
        <w:rPr>
          <w:sz w:val="23"/>
          <w:szCs w:val="23"/>
        </w:rPr>
        <w:t xml:space="preserve"> Pereira de Souza, </w:t>
      </w:r>
      <w:proofErr w:type="spellStart"/>
      <w:r w:rsidRPr="000A4752">
        <w:rPr>
          <w:sz w:val="23"/>
          <w:szCs w:val="23"/>
        </w:rPr>
        <w:t>Aleya</w:t>
      </w:r>
      <w:proofErr w:type="spellEnd"/>
      <w:r w:rsidRPr="000A4752">
        <w:rPr>
          <w:sz w:val="23"/>
          <w:szCs w:val="23"/>
        </w:rPr>
        <w:t xml:space="preserve"> </w:t>
      </w:r>
      <w:proofErr w:type="spellStart"/>
      <w:r w:rsidRPr="000A4752">
        <w:rPr>
          <w:sz w:val="23"/>
          <w:szCs w:val="23"/>
        </w:rPr>
        <w:t>A.Marzuki</w:t>
      </w:r>
      <w:proofErr w:type="spellEnd"/>
      <w:r w:rsidRPr="000A4752">
        <w:rPr>
          <w:sz w:val="23"/>
          <w:szCs w:val="23"/>
        </w:rPr>
        <w:t xml:space="preserve">, Akeem </w:t>
      </w:r>
      <w:proofErr w:type="spellStart"/>
      <w:r w:rsidRPr="000A4752">
        <w:rPr>
          <w:sz w:val="23"/>
          <w:szCs w:val="23"/>
        </w:rPr>
        <w:t>Sule</w:t>
      </w:r>
      <w:proofErr w:type="spellEnd"/>
      <w:r w:rsidRPr="000A4752">
        <w:rPr>
          <w:sz w:val="23"/>
          <w:szCs w:val="23"/>
        </w:rPr>
        <w:t xml:space="preserve">, Karen D. </w:t>
      </w:r>
      <w:proofErr w:type="spellStart"/>
      <w:r w:rsidRPr="000A4752">
        <w:rPr>
          <w:sz w:val="23"/>
          <w:szCs w:val="23"/>
        </w:rPr>
        <w:t>Ersche</w:t>
      </w:r>
      <w:proofErr w:type="spellEnd"/>
      <w:r>
        <w:rPr>
          <w:sz w:val="23"/>
          <w:szCs w:val="23"/>
        </w:rPr>
        <w:t xml:space="preserve">, </w:t>
      </w:r>
      <w:r w:rsidRPr="000A4752">
        <w:rPr>
          <w:sz w:val="23"/>
          <w:szCs w:val="23"/>
        </w:rPr>
        <w:t>Trevor W. Robbins</w:t>
      </w:r>
    </w:p>
    <w:p w14:paraId="2F956703" w14:textId="77777777" w:rsidR="00295127" w:rsidRDefault="00295127" w:rsidP="00295127">
      <w:pPr>
        <w:rPr>
          <w:sz w:val="23"/>
          <w:szCs w:val="23"/>
        </w:rPr>
      </w:pPr>
    </w:p>
    <w:p w14:paraId="2196CC47" w14:textId="7EC4DAC3" w:rsidR="00295127" w:rsidRDefault="00295127" w:rsidP="00623C6A">
      <w:pPr>
        <w:jc w:val="both"/>
        <w:rPr>
          <w:sz w:val="20"/>
          <w:szCs w:val="20"/>
        </w:rPr>
      </w:pPr>
    </w:p>
    <w:p w14:paraId="610978D4" w14:textId="436D3EF2" w:rsidR="00E673CD" w:rsidRDefault="00E673CD" w:rsidP="00623C6A">
      <w:pPr>
        <w:jc w:val="both"/>
        <w:rPr>
          <w:sz w:val="20"/>
          <w:szCs w:val="20"/>
        </w:rPr>
      </w:pPr>
    </w:p>
    <w:p w14:paraId="5114B343" w14:textId="222DFA04" w:rsidR="00E673CD" w:rsidRDefault="00E673CD" w:rsidP="00623C6A">
      <w:pPr>
        <w:jc w:val="both"/>
        <w:rPr>
          <w:sz w:val="20"/>
          <w:szCs w:val="20"/>
        </w:rPr>
      </w:pPr>
    </w:p>
    <w:p w14:paraId="58DD3BC6" w14:textId="77777777" w:rsidR="00E673CD" w:rsidRPr="00731C63" w:rsidRDefault="00E673CD" w:rsidP="00623C6A">
      <w:pPr>
        <w:jc w:val="both"/>
        <w:rPr>
          <w:b/>
          <w:bCs/>
          <w:color w:val="000000"/>
          <w:sz w:val="28"/>
          <w:szCs w:val="28"/>
        </w:rPr>
      </w:pPr>
    </w:p>
    <w:p w14:paraId="4E98B0E8" w14:textId="4100CB47" w:rsidR="00623C6A" w:rsidRPr="00731C63" w:rsidRDefault="00731C63" w:rsidP="00623C6A">
      <w:pPr>
        <w:jc w:val="both"/>
        <w:rPr>
          <w:color w:val="000000"/>
          <w:sz w:val="28"/>
          <w:szCs w:val="28"/>
        </w:rPr>
      </w:pPr>
      <w:r w:rsidRPr="00731C63">
        <w:rPr>
          <w:b/>
          <w:bCs/>
          <w:color w:val="000000"/>
          <w:sz w:val="28"/>
          <w:szCs w:val="28"/>
        </w:rPr>
        <w:t>Supplementary</w:t>
      </w:r>
      <w:r w:rsidRPr="00731C63">
        <w:rPr>
          <w:color w:val="000000"/>
          <w:sz w:val="28"/>
          <w:szCs w:val="28"/>
        </w:rPr>
        <w:t xml:space="preserve"> </w:t>
      </w:r>
      <w:r w:rsidRPr="00731C63">
        <w:rPr>
          <w:b/>
          <w:bCs/>
          <w:color w:val="000000"/>
          <w:sz w:val="28"/>
          <w:szCs w:val="28"/>
        </w:rPr>
        <w:t>Information</w:t>
      </w:r>
    </w:p>
    <w:p w14:paraId="52C78FD8" w14:textId="77777777" w:rsidR="00623C6A" w:rsidRPr="00785469" w:rsidRDefault="00623C6A" w:rsidP="00623C6A">
      <w:pPr>
        <w:jc w:val="both"/>
        <w:rPr>
          <w:color w:val="000000"/>
          <w:sz w:val="23"/>
          <w:szCs w:val="23"/>
        </w:rPr>
      </w:pPr>
      <w:r w:rsidRPr="00785469">
        <w:rPr>
          <w:b/>
          <w:bCs/>
          <w:noProof/>
          <w:color w:val="000000"/>
          <w:sz w:val="23"/>
          <w:szCs w:val="23"/>
        </w:rPr>
        <w:drawing>
          <wp:anchor distT="0" distB="0" distL="114300" distR="114300" simplePos="0" relativeHeight="251659264" behindDoc="0" locked="0" layoutInCell="1" allowOverlap="1" wp14:anchorId="579B4996" wp14:editId="07E44A0F">
            <wp:simplePos x="0" y="0"/>
            <wp:positionH relativeFrom="column">
              <wp:posOffset>-878205</wp:posOffset>
            </wp:positionH>
            <wp:positionV relativeFrom="paragraph">
              <wp:posOffset>301625</wp:posOffset>
            </wp:positionV>
            <wp:extent cx="7520305" cy="37744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20305" cy="3774440"/>
                    </a:xfrm>
                    <a:prstGeom prst="rect">
                      <a:avLst/>
                    </a:prstGeom>
                  </pic:spPr>
                </pic:pic>
              </a:graphicData>
            </a:graphic>
            <wp14:sizeRelH relativeFrom="page">
              <wp14:pctWidth>0</wp14:pctWidth>
            </wp14:sizeRelH>
            <wp14:sizeRelV relativeFrom="page">
              <wp14:pctHeight>0</wp14:pctHeight>
            </wp14:sizeRelV>
          </wp:anchor>
        </w:drawing>
      </w:r>
    </w:p>
    <w:p w14:paraId="4CE629F5" w14:textId="77777777" w:rsidR="00623C6A" w:rsidRPr="00785469" w:rsidRDefault="00623C6A" w:rsidP="00623C6A">
      <w:pPr>
        <w:jc w:val="both"/>
        <w:rPr>
          <w:color w:val="000000"/>
          <w:sz w:val="23"/>
          <w:szCs w:val="23"/>
        </w:rPr>
      </w:pPr>
    </w:p>
    <w:p w14:paraId="34E489B3" w14:textId="77777777" w:rsidR="00623C6A" w:rsidRPr="00785469" w:rsidRDefault="00623C6A" w:rsidP="00623C6A">
      <w:pPr>
        <w:jc w:val="both"/>
        <w:rPr>
          <w:color w:val="000000"/>
          <w:sz w:val="23"/>
          <w:szCs w:val="23"/>
        </w:rPr>
      </w:pPr>
      <w:r w:rsidRPr="00EA1BE2">
        <w:rPr>
          <w:b/>
          <w:bCs/>
          <w:color w:val="000000"/>
          <w:sz w:val="23"/>
          <w:szCs w:val="23"/>
        </w:rPr>
        <w:t xml:space="preserve">Figure </w:t>
      </w:r>
      <w:r w:rsidRPr="00EA1BE2">
        <w:rPr>
          <w:b/>
          <w:bCs/>
          <w:color w:val="000000"/>
          <w:sz w:val="23"/>
          <w:szCs w:val="23"/>
        </w:rPr>
        <w:tab/>
        <w:t>S1</w:t>
      </w:r>
      <w:r w:rsidRPr="00785469">
        <w:rPr>
          <w:color w:val="000000"/>
          <w:sz w:val="23"/>
          <w:szCs w:val="23"/>
        </w:rPr>
        <w:t xml:space="preserve"> depicting the clinical and demographic information for Healthy Volunteers (HV) in green and OCD patients in blue. Acronyms: MADRS = Montgomery- </w:t>
      </w:r>
      <w:proofErr w:type="spellStart"/>
      <w:r w:rsidRPr="00785469">
        <w:rPr>
          <w:color w:val="000000"/>
          <w:sz w:val="23"/>
          <w:szCs w:val="23"/>
        </w:rPr>
        <w:t>Asberg</w:t>
      </w:r>
      <w:proofErr w:type="spellEnd"/>
      <w:r w:rsidRPr="00785469">
        <w:rPr>
          <w:color w:val="000000"/>
          <w:sz w:val="23"/>
          <w:szCs w:val="23"/>
        </w:rPr>
        <w:t xml:space="preserve"> Depression Rating Scale, STAI-T = State Trait Anxiety Inventory- Trait, STAI-S = State Trait Anxiety Inventory- State, YBOCS = Yale Brown Obsessive Compulsive Scale, OCI = Obsessive-Compulsive Inventory, IUS = Intolerance of Uncertainty Scale, HTQ =</w:t>
      </w:r>
      <w:r w:rsidRPr="00785469">
        <w:rPr>
          <w:sz w:val="23"/>
          <w:szCs w:val="23"/>
        </w:rPr>
        <w:t xml:space="preserve"> </w:t>
      </w:r>
      <w:r w:rsidRPr="00785469">
        <w:rPr>
          <w:color w:val="000000"/>
          <w:sz w:val="23"/>
          <w:szCs w:val="23"/>
        </w:rPr>
        <w:t xml:space="preserve">Habitual Tendencies Questionnaire, HV = healthy volunteers, OCD = obsessive compulsive disorder, * = </w:t>
      </w:r>
      <w:r w:rsidRPr="00785469">
        <w:rPr>
          <w:i/>
          <w:iCs/>
          <w:color w:val="000000"/>
          <w:sz w:val="23"/>
          <w:szCs w:val="23"/>
        </w:rPr>
        <w:t>p</w:t>
      </w:r>
      <w:r w:rsidRPr="00785469">
        <w:rPr>
          <w:color w:val="000000"/>
          <w:sz w:val="23"/>
          <w:szCs w:val="23"/>
        </w:rPr>
        <w:t xml:space="preserve"> &lt; 0.05, *** = </w:t>
      </w:r>
      <w:r w:rsidRPr="00785469">
        <w:rPr>
          <w:i/>
          <w:iCs/>
          <w:color w:val="000000"/>
          <w:sz w:val="23"/>
          <w:szCs w:val="23"/>
        </w:rPr>
        <w:t>p</w:t>
      </w:r>
      <w:r w:rsidRPr="00785469">
        <w:rPr>
          <w:color w:val="000000"/>
          <w:sz w:val="23"/>
          <w:szCs w:val="23"/>
        </w:rPr>
        <w:t xml:space="preserve"> &lt; 0.001.</w:t>
      </w:r>
    </w:p>
    <w:p w14:paraId="508CD61B" w14:textId="77777777" w:rsidR="00623C6A" w:rsidRPr="00785469" w:rsidRDefault="00623C6A" w:rsidP="00623C6A">
      <w:pPr>
        <w:jc w:val="both"/>
        <w:rPr>
          <w:color w:val="000000"/>
          <w:sz w:val="23"/>
          <w:szCs w:val="23"/>
        </w:rPr>
      </w:pPr>
      <w:r w:rsidRPr="00EA1BE2">
        <w:rPr>
          <w:noProof/>
          <w:color w:val="000000"/>
          <w:sz w:val="23"/>
          <w:szCs w:val="23"/>
        </w:rPr>
        <w:lastRenderedPageBreak/>
        <w:drawing>
          <wp:anchor distT="0" distB="0" distL="114300" distR="114300" simplePos="0" relativeHeight="251663360" behindDoc="0" locked="0" layoutInCell="1" allowOverlap="1" wp14:anchorId="1D96BCC1" wp14:editId="0F283C43">
            <wp:simplePos x="0" y="0"/>
            <wp:positionH relativeFrom="column">
              <wp:posOffset>-105410</wp:posOffset>
            </wp:positionH>
            <wp:positionV relativeFrom="paragraph">
              <wp:posOffset>231775</wp:posOffset>
            </wp:positionV>
            <wp:extent cx="6082665" cy="6475730"/>
            <wp:effectExtent l="0" t="0" r="635" b="127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82665" cy="6475730"/>
                    </a:xfrm>
                    <a:prstGeom prst="rect">
                      <a:avLst/>
                    </a:prstGeom>
                  </pic:spPr>
                </pic:pic>
              </a:graphicData>
            </a:graphic>
            <wp14:sizeRelH relativeFrom="page">
              <wp14:pctWidth>0</wp14:pctWidth>
            </wp14:sizeRelH>
            <wp14:sizeRelV relativeFrom="page">
              <wp14:pctHeight>0</wp14:pctHeight>
            </wp14:sizeRelV>
          </wp:anchor>
        </w:drawing>
      </w:r>
      <w:r w:rsidRPr="00EA1BE2">
        <w:rPr>
          <w:b/>
          <w:bCs/>
          <w:color w:val="000000"/>
          <w:sz w:val="23"/>
          <w:szCs w:val="23"/>
        </w:rPr>
        <w:t>Table S1</w:t>
      </w:r>
      <w:r w:rsidRPr="00785469">
        <w:rPr>
          <w:color w:val="000000"/>
          <w:sz w:val="23"/>
          <w:szCs w:val="23"/>
        </w:rPr>
        <w:t xml:space="preserve">  Measures of magnetic resonance spectroscopy quality and tissue composition</w:t>
      </w:r>
    </w:p>
    <w:p w14:paraId="45FEB58E" w14:textId="77777777" w:rsidR="00623C6A" w:rsidRPr="00785469" w:rsidRDefault="00623C6A" w:rsidP="00623C6A">
      <w:pPr>
        <w:spacing w:after="240"/>
        <w:jc w:val="both"/>
        <w:rPr>
          <w:sz w:val="23"/>
          <w:szCs w:val="23"/>
        </w:rPr>
      </w:pPr>
      <w:r w:rsidRPr="00785469">
        <w:rPr>
          <w:sz w:val="23"/>
          <w:szCs w:val="23"/>
        </w:rPr>
        <w:t xml:space="preserve">Acronyms: ACC = anterior cingulate cortex, SMA = supplementary motor area, OCC = occipital cortex, SNR: signal-to-noise ratio, FWHM = full width at half maximum, GM = </w:t>
      </w:r>
      <w:proofErr w:type="spellStart"/>
      <w:r w:rsidRPr="00785469">
        <w:rPr>
          <w:sz w:val="23"/>
          <w:szCs w:val="23"/>
        </w:rPr>
        <w:t>gray</w:t>
      </w:r>
      <w:proofErr w:type="spellEnd"/>
      <w:r w:rsidRPr="00785469">
        <w:rPr>
          <w:sz w:val="23"/>
          <w:szCs w:val="23"/>
        </w:rPr>
        <w:t xml:space="preserve"> matter, WM = white matter, CRLB: Cramer-Rao Lower Bounds, GABA = γ-amino-butyric acid, Glu = glutamate, Gln = Glutamine, NAA = N-</w:t>
      </w:r>
      <w:proofErr w:type="spellStart"/>
      <w:r w:rsidRPr="00785469">
        <w:rPr>
          <w:sz w:val="23"/>
          <w:szCs w:val="23"/>
        </w:rPr>
        <w:t>acetylaspartate</w:t>
      </w:r>
      <w:proofErr w:type="spellEnd"/>
      <w:r w:rsidRPr="00785469">
        <w:rPr>
          <w:sz w:val="23"/>
          <w:szCs w:val="23"/>
        </w:rPr>
        <w:t>, t = independent sample t-test, U = Mann-Whitney U test, M = mean, SD = standard deviation, NA = not applicable, test could not be performed as values for all subject for both groups were exactly the same, HV = healthy volunteers, OCD = obsessive-compulsive disorder, ** = p &lt; 0.01.</w:t>
      </w:r>
    </w:p>
    <w:p w14:paraId="5787EA11" w14:textId="77777777" w:rsidR="00623C6A" w:rsidRPr="00785469" w:rsidRDefault="00623C6A" w:rsidP="00623C6A">
      <w:pPr>
        <w:spacing w:after="240"/>
        <w:rPr>
          <w:sz w:val="23"/>
          <w:szCs w:val="23"/>
        </w:rPr>
      </w:pPr>
    </w:p>
    <w:p w14:paraId="142B7415" w14:textId="77777777" w:rsidR="00623C6A" w:rsidRPr="00785469" w:rsidRDefault="00623C6A" w:rsidP="00623C6A">
      <w:pPr>
        <w:rPr>
          <w:sz w:val="23"/>
          <w:szCs w:val="23"/>
        </w:rPr>
      </w:pPr>
    </w:p>
    <w:p w14:paraId="6210FE4D" w14:textId="77777777" w:rsidR="00623C6A" w:rsidRPr="00785469" w:rsidRDefault="00623C6A" w:rsidP="00623C6A">
      <w:pPr>
        <w:pStyle w:val="NormalWeb"/>
        <w:spacing w:before="0" w:beforeAutospacing="0" w:after="420" w:afterAutospacing="0"/>
        <w:rPr>
          <w:color w:val="222222"/>
          <w:sz w:val="23"/>
          <w:szCs w:val="23"/>
        </w:rPr>
      </w:pPr>
      <w:r w:rsidRPr="00785469">
        <w:rPr>
          <w:b/>
          <w:bCs/>
          <w:noProof/>
          <w:sz w:val="23"/>
          <w:szCs w:val="23"/>
        </w:rPr>
        <w:lastRenderedPageBreak/>
        <w:drawing>
          <wp:anchor distT="0" distB="0" distL="114300" distR="114300" simplePos="0" relativeHeight="251660288" behindDoc="0" locked="0" layoutInCell="1" allowOverlap="1" wp14:anchorId="73689ED4" wp14:editId="180FBA67">
            <wp:simplePos x="0" y="0"/>
            <wp:positionH relativeFrom="column">
              <wp:posOffset>-15240</wp:posOffset>
            </wp:positionH>
            <wp:positionV relativeFrom="paragraph">
              <wp:posOffset>179705</wp:posOffset>
            </wp:positionV>
            <wp:extent cx="5724525" cy="6970395"/>
            <wp:effectExtent l="0" t="0" r="3175"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4525" cy="6970395"/>
                    </a:xfrm>
                    <a:prstGeom prst="rect">
                      <a:avLst/>
                    </a:prstGeom>
                  </pic:spPr>
                </pic:pic>
              </a:graphicData>
            </a:graphic>
            <wp14:sizeRelH relativeFrom="page">
              <wp14:pctWidth>0</wp14:pctWidth>
            </wp14:sizeRelH>
            <wp14:sizeRelV relativeFrom="page">
              <wp14:pctHeight>0</wp14:pctHeight>
            </wp14:sizeRelV>
          </wp:anchor>
        </w:drawing>
      </w:r>
    </w:p>
    <w:p w14:paraId="40F8C469" w14:textId="77777777" w:rsidR="00623C6A" w:rsidRPr="00785469" w:rsidRDefault="00623C6A" w:rsidP="00623C6A">
      <w:pPr>
        <w:rPr>
          <w:sz w:val="23"/>
          <w:szCs w:val="23"/>
        </w:rPr>
      </w:pPr>
    </w:p>
    <w:p w14:paraId="2293D453" w14:textId="77777777" w:rsidR="00623C6A" w:rsidRPr="00785469" w:rsidRDefault="00623C6A" w:rsidP="00623C6A">
      <w:pPr>
        <w:jc w:val="both"/>
        <w:rPr>
          <w:sz w:val="23"/>
          <w:szCs w:val="23"/>
        </w:rPr>
      </w:pPr>
      <w:r w:rsidRPr="00EA1BE2">
        <w:rPr>
          <w:b/>
          <w:bCs/>
          <w:sz w:val="23"/>
          <w:szCs w:val="23"/>
        </w:rPr>
        <w:t>Figure S2</w:t>
      </w:r>
      <w:r w:rsidRPr="00785469">
        <w:rPr>
          <w:b/>
          <w:bCs/>
          <w:sz w:val="23"/>
          <w:szCs w:val="23"/>
        </w:rPr>
        <w:t xml:space="preserve"> </w:t>
      </w:r>
      <w:r w:rsidRPr="00785469">
        <w:rPr>
          <w:sz w:val="23"/>
          <w:szCs w:val="23"/>
        </w:rPr>
        <w:t xml:space="preserve">shows the results of a mixed repeated measure ANOVA for the habitual responding and the corresponding subjective causality judgements in OCD and healthy subjects between conditions of fully minus none, and partially minus none degradation. </w:t>
      </w:r>
      <w:r w:rsidRPr="00785469">
        <w:rPr>
          <w:b/>
          <w:bCs/>
          <w:sz w:val="23"/>
          <w:szCs w:val="23"/>
        </w:rPr>
        <w:t xml:space="preserve">(A) </w:t>
      </w:r>
      <w:r w:rsidRPr="00785469">
        <w:rPr>
          <w:sz w:val="23"/>
          <w:szCs w:val="23"/>
        </w:rPr>
        <w:t xml:space="preserve"> displays the response rates and</w:t>
      </w:r>
      <w:r w:rsidRPr="00785469">
        <w:rPr>
          <w:b/>
          <w:bCs/>
          <w:sz w:val="23"/>
          <w:szCs w:val="23"/>
        </w:rPr>
        <w:t xml:space="preserve"> (B)</w:t>
      </w:r>
      <w:r w:rsidRPr="00785469">
        <w:rPr>
          <w:sz w:val="23"/>
          <w:szCs w:val="23"/>
        </w:rPr>
        <w:t xml:space="preserve"> shows the subjective causality judgements in OCD and health volunteers, in none-degraded (blue), partially-degraded (green), and fully degraded (red) conditions. Error bars represent ± 2 standard errors. Acronyms: HV = healthy volunteers, OCD = obsessive-compulsive disorder, *** = </w:t>
      </w:r>
      <w:r w:rsidRPr="00785469">
        <w:rPr>
          <w:i/>
          <w:iCs/>
          <w:sz w:val="23"/>
          <w:szCs w:val="23"/>
        </w:rPr>
        <w:t>p</w:t>
      </w:r>
      <w:r w:rsidRPr="00785469">
        <w:rPr>
          <w:sz w:val="23"/>
          <w:szCs w:val="23"/>
        </w:rPr>
        <w:t xml:space="preserve"> &lt; 0.001.</w:t>
      </w:r>
    </w:p>
    <w:p w14:paraId="1C454860" w14:textId="77777777" w:rsidR="00623C6A" w:rsidRPr="00785469" w:rsidRDefault="00623C6A" w:rsidP="00623C6A">
      <w:pPr>
        <w:jc w:val="both"/>
        <w:rPr>
          <w:sz w:val="23"/>
          <w:szCs w:val="23"/>
        </w:rPr>
      </w:pPr>
    </w:p>
    <w:p w14:paraId="28F644A5" w14:textId="61D7DB5E" w:rsidR="00623C6A" w:rsidRPr="00785469" w:rsidRDefault="00623C6A" w:rsidP="00623C6A">
      <w:pPr>
        <w:jc w:val="both"/>
        <w:rPr>
          <w:sz w:val="23"/>
          <w:szCs w:val="23"/>
        </w:rPr>
      </w:pPr>
      <w:r w:rsidRPr="00583537">
        <w:rPr>
          <w:noProof/>
          <w:sz w:val="23"/>
          <w:szCs w:val="23"/>
        </w:rPr>
        <w:lastRenderedPageBreak/>
        <w:drawing>
          <wp:anchor distT="0" distB="0" distL="114300" distR="114300" simplePos="0" relativeHeight="251662336" behindDoc="0" locked="0" layoutInCell="1" allowOverlap="1" wp14:anchorId="5AAE9D1B" wp14:editId="673E50F3">
            <wp:simplePos x="0" y="0"/>
            <wp:positionH relativeFrom="column">
              <wp:posOffset>-599440</wp:posOffset>
            </wp:positionH>
            <wp:positionV relativeFrom="paragraph">
              <wp:posOffset>0</wp:posOffset>
            </wp:positionV>
            <wp:extent cx="7167245" cy="58045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67245" cy="5804535"/>
                    </a:xfrm>
                    <a:prstGeom prst="rect">
                      <a:avLst/>
                    </a:prstGeom>
                  </pic:spPr>
                </pic:pic>
              </a:graphicData>
            </a:graphic>
            <wp14:sizeRelH relativeFrom="page">
              <wp14:pctWidth>0</wp14:pctWidth>
            </wp14:sizeRelH>
            <wp14:sizeRelV relativeFrom="page">
              <wp14:pctHeight>0</wp14:pctHeight>
            </wp14:sizeRelV>
          </wp:anchor>
        </w:drawing>
      </w:r>
      <w:r w:rsidRPr="00583537">
        <w:rPr>
          <w:b/>
          <w:bCs/>
          <w:sz w:val="23"/>
          <w:szCs w:val="23"/>
        </w:rPr>
        <w:t xml:space="preserve">Figure S3 (A) </w:t>
      </w:r>
      <w:r w:rsidRPr="00583537">
        <w:rPr>
          <w:sz w:val="23"/>
          <w:szCs w:val="23"/>
        </w:rPr>
        <w:t>shows</w:t>
      </w:r>
      <w:r w:rsidRPr="00785469">
        <w:rPr>
          <w:sz w:val="23"/>
          <w:szCs w:val="23"/>
        </w:rPr>
        <w:t xml:space="preserve"> the results of a mixed repeated measure ANOVA for the habitual responding and the corresponding subjective causality judgements in OCD and healthy subjects between conditions of fully minus none, and partially minus none degradation. The habitual responding index used for the main analysis is represented in red in the response rate plot. Although both groups showed significant differences between conditions, no interaction with group was found. </w:t>
      </w:r>
      <w:r w:rsidRPr="00785469">
        <w:rPr>
          <w:b/>
          <w:bCs/>
          <w:sz w:val="23"/>
          <w:szCs w:val="23"/>
        </w:rPr>
        <w:t xml:space="preserve">(B) </w:t>
      </w:r>
      <w:r w:rsidRPr="00785469">
        <w:rPr>
          <w:sz w:val="23"/>
          <w:szCs w:val="23"/>
        </w:rPr>
        <w:t xml:space="preserve">displays the significant relationships between the habitual responding </w:t>
      </w:r>
      <w:r w:rsidRPr="00785469">
        <w:rPr>
          <w:sz w:val="23"/>
          <w:szCs w:val="23"/>
          <w:lang w:val="en-US"/>
        </w:rPr>
        <w:t>and</w:t>
      </w:r>
      <w:r w:rsidRPr="00785469">
        <w:rPr>
          <w:sz w:val="23"/>
          <w:szCs w:val="23"/>
        </w:rPr>
        <w:t xml:space="preserve"> the corresponding subjective causality judgements for both groups with the fitted line for the entire sample in </w:t>
      </w:r>
      <w:proofErr w:type="spellStart"/>
      <w:r w:rsidRPr="00785469">
        <w:rPr>
          <w:sz w:val="23"/>
          <w:szCs w:val="23"/>
        </w:rPr>
        <w:t>gray</w:t>
      </w:r>
      <w:proofErr w:type="spellEnd"/>
      <w:r w:rsidRPr="00785469">
        <w:rPr>
          <w:sz w:val="23"/>
          <w:szCs w:val="23"/>
        </w:rPr>
        <w:t xml:space="preserve">, between the conditions of none minus partial, and none minus full degradation, respectively. Error bars represent ± 2 standard errors. Acronyms: HV = healthy volunteers, OCD = obsessive-compulsive disorder, r = Pearson’s r correlation coefficient, *** = </w:t>
      </w:r>
      <w:r w:rsidRPr="00785469">
        <w:rPr>
          <w:i/>
          <w:iCs/>
          <w:sz w:val="23"/>
          <w:szCs w:val="23"/>
        </w:rPr>
        <w:t>p</w:t>
      </w:r>
      <w:r w:rsidRPr="00785469">
        <w:rPr>
          <w:sz w:val="23"/>
          <w:szCs w:val="23"/>
        </w:rPr>
        <w:t xml:space="preserve"> &lt; 0.001.</w:t>
      </w:r>
    </w:p>
    <w:p w14:paraId="0AB44982" w14:textId="77777777" w:rsidR="00623C6A" w:rsidRPr="00785469" w:rsidRDefault="00623C6A" w:rsidP="00623C6A">
      <w:pPr>
        <w:jc w:val="both"/>
        <w:rPr>
          <w:sz w:val="23"/>
          <w:szCs w:val="23"/>
        </w:rPr>
      </w:pPr>
    </w:p>
    <w:p w14:paraId="4174B25B" w14:textId="77777777" w:rsidR="00623C6A" w:rsidRPr="00785469" w:rsidRDefault="00623C6A" w:rsidP="00623C6A">
      <w:pPr>
        <w:jc w:val="both"/>
        <w:rPr>
          <w:sz w:val="23"/>
          <w:szCs w:val="23"/>
        </w:rPr>
      </w:pPr>
    </w:p>
    <w:p w14:paraId="34EB1464" w14:textId="77777777" w:rsidR="00623C6A" w:rsidRPr="00785469" w:rsidRDefault="00623C6A" w:rsidP="00623C6A">
      <w:pPr>
        <w:jc w:val="both"/>
        <w:rPr>
          <w:sz w:val="23"/>
          <w:szCs w:val="23"/>
        </w:rPr>
      </w:pPr>
    </w:p>
    <w:p w14:paraId="397A172C" w14:textId="77777777" w:rsidR="00623C6A" w:rsidRPr="00785469" w:rsidRDefault="00623C6A" w:rsidP="00623C6A">
      <w:pPr>
        <w:jc w:val="both"/>
        <w:rPr>
          <w:sz w:val="23"/>
          <w:szCs w:val="23"/>
        </w:rPr>
      </w:pPr>
    </w:p>
    <w:p w14:paraId="1BD7BA78" w14:textId="77777777" w:rsidR="00623C6A" w:rsidRPr="00785469" w:rsidRDefault="00623C6A" w:rsidP="00623C6A">
      <w:pPr>
        <w:jc w:val="both"/>
        <w:rPr>
          <w:sz w:val="23"/>
          <w:szCs w:val="23"/>
        </w:rPr>
      </w:pPr>
    </w:p>
    <w:p w14:paraId="3E194C02" w14:textId="77777777" w:rsidR="00623C6A" w:rsidRPr="00785469" w:rsidRDefault="00623C6A" w:rsidP="00623C6A">
      <w:pPr>
        <w:jc w:val="both"/>
        <w:rPr>
          <w:sz w:val="23"/>
          <w:szCs w:val="23"/>
        </w:rPr>
      </w:pPr>
    </w:p>
    <w:p w14:paraId="6B85CE54" w14:textId="77777777" w:rsidR="00623C6A" w:rsidRPr="00785469" w:rsidRDefault="00623C6A" w:rsidP="00623C6A">
      <w:pPr>
        <w:jc w:val="both"/>
        <w:rPr>
          <w:sz w:val="23"/>
          <w:szCs w:val="23"/>
        </w:rPr>
      </w:pPr>
    </w:p>
    <w:p w14:paraId="0749520C" w14:textId="77777777" w:rsidR="00623C6A" w:rsidRPr="00785469" w:rsidRDefault="00623C6A" w:rsidP="00623C6A">
      <w:pPr>
        <w:jc w:val="both"/>
        <w:rPr>
          <w:sz w:val="23"/>
          <w:szCs w:val="23"/>
        </w:rPr>
      </w:pPr>
      <w:r w:rsidRPr="0007094A">
        <w:rPr>
          <w:b/>
          <w:bCs/>
          <w:noProof/>
          <w:sz w:val="23"/>
          <w:szCs w:val="23"/>
        </w:rPr>
        <w:lastRenderedPageBreak/>
        <w:drawing>
          <wp:anchor distT="0" distB="0" distL="114300" distR="114300" simplePos="0" relativeHeight="251661312" behindDoc="0" locked="0" layoutInCell="1" allowOverlap="1" wp14:anchorId="370ED104" wp14:editId="1E433690">
            <wp:simplePos x="0" y="0"/>
            <wp:positionH relativeFrom="column">
              <wp:posOffset>0</wp:posOffset>
            </wp:positionH>
            <wp:positionV relativeFrom="paragraph">
              <wp:posOffset>156845</wp:posOffset>
            </wp:positionV>
            <wp:extent cx="5726430" cy="4480560"/>
            <wp:effectExtent l="0" t="0" r="127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6430" cy="4480560"/>
                    </a:xfrm>
                    <a:prstGeom prst="rect">
                      <a:avLst/>
                    </a:prstGeom>
                  </pic:spPr>
                </pic:pic>
              </a:graphicData>
            </a:graphic>
            <wp14:sizeRelH relativeFrom="page">
              <wp14:pctWidth>0</wp14:pctWidth>
            </wp14:sizeRelH>
            <wp14:sizeRelV relativeFrom="page">
              <wp14:pctHeight>0</wp14:pctHeight>
            </wp14:sizeRelV>
          </wp:anchor>
        </w:drawing>
      </w:r>
      <w:r w:rsidRPr="0007094A">
        <w:rPr>
          <w:b/>
          <w:bCs/>
          <w:sz w:val="23"/>
          <w:szCs w:val="23"/>
        </w:rPr>
        <w:t>Figure S4</w:t>
      </w:r>
      <w:r w:rsidRPr="00785469">
        <w:rPr>
          <w:b/>
          <w:bCs/>
          <w:sz w:val="23"/>
          <w:szCs w:val="23"/>
        </w:rPr>
        <w:t xml:space="preserve"> </w:t>
      </w:r>
      <w:r w:rsidRPr="00785469">
        <w:rPr>
          <w:sz w:val="23"/>
          <w:szCs w:val="23"/>
        </w:rPr>
        <w:t xml:space="preserve">shows examples of the </w:t>
      </w:r>
      <w:proofErr w:type="spellStart"/>
      <w:r w:rsidRPr="00785469">
        <w:rPr>
          <w:sz w:val="23"/>
          <w:szCs w:val="23"/>
        </w:rPr>
        <w:t>LCModel</w:t>
      </w:r>
      <w:proofErr w:type="spellEnd"/>
      <w:r w:rsidRPr="00785469">
        <w:rPr>
          <w:sz w:val="23"/>
          <w:szCs w:val="23"/>
        </w:rPr>
        <w:t xml:space="preserve"> analysis of in vivo </w:t>
      </w:r>
      <w:r w:rsidRPr="00785469">
        <w:rPr>
          <w:sz w:val="23"/>
          <w:szCs w:val="23"/>
          <w:vertAlign w:val="superscript"/>
        </w:rPr>
        <w:t>1</w:t>
      </w:r>
      <w:r w:rsidRPr="00785469">
        <w:rPr>
          <w:sz w:val="23"/>
          <w:szCs w:val="23"/>
        </w:rPr>
        <w:t xml:space="preserve">H MR spectra acquired from a healthy participant at 7T (semi-LASER, echo time/repetition time = 1.99/4300 </w:t>
      </w:r>
      <w:proofErr w:type="spellStart"/>
      <w:r w:rsidRPr="00785469">
        <w:rPr>
          <w:sz w:val="23"/>
          <w:szCs w:val="23"/>
        </w:rPr>
        <w:t>ms</w:t>
      </w:r>
      <w:proofErr w:type="spellEnd"/>
      <w:r w:rsidRPr="00785469">
        <w:rPr>
          <w:sz w:val="23"/>
          <w:szCs w:val="23"/>
        </w:rPr>
        <w:t xml:space="preserve">, from a 20 x 20 x 20mm voxel placed bilaterally at supplementary motor area). The x-axis depicts the chemical shift, the acquired spectrum is plotted in black and the fit is presented in red for </w:t>
      </w:r>
      <w:r w:rsidRPr="00785469">
        <w:rPr>
          <w:b/>
          <w:bCs/>
          <w:sz w:val="23"/>
          <w:szCs w:val="23"/>
        </w:rPr>
        <w:t>(A)</w:t>
      </w:r>
      <w:r w:rsidRPr="00785469">
        <w:rPr>
          <w:sz w:val="23"/>
          <w:szCs w:val="23"/>
        </w:rPr>
        <w:t xml:space="preserve"> GABA, </w:t>
      </w:r>
      <w:r w:rsidRPr="00785469">
        <w:rPr>
          <w:b/>
          <w:bCs/>
          <w:sz w:val="23"/>
          <w:szCs w:val="23"/>
        </w:rPr>
        <w:t xml:space="preserve">(B) </w:t>
      </w:r>
      <w:r w:rsidRPr="00785469">
        <w:rPr>
          <w:sz w:val="23"/>
          <w:szCs w:val="23"/>
        </w:rPr>
        <w:t xml:space="preserve">Glutamate, </w:t>
      </w:r>
      <w:r w:rsidRPr="00785469">
        <w:rPr>
          <w:b/>
          <w:bCs/>
          <w:sz w:val="23"/>
          <w:szCs w:val="23"/>
        </w:rPr>
        <w:t>(C)</w:t>
      </w:r>
      <w:r w:rsidRPr="00785469">
        <w:rPr>
          <w:sz w:val="23"/>
          <w:szCs w:val="23"/>
        </w:rPr>
        <w:t xml:space="preserve"> Glutamine, and </w:t>
      </w:r>
      <w:r w:rsidRPr="00785469">
        <w:rPr>
          <w:b/>
          <w:bCs/>
          <w:sz w:val="23"/>
          <w:szCs w:val="23"/>
        </w:rPr>
        <w:t>(D)</w:t>
      </w:r>
      <w:r w:rsidRPr="00785469">
        <w:rPr>
          <w:sz w:val="23"/>
          <w:szCs w:val="23"/>
        </w:rPr>
        <w:t xml:space="preserve"> NAA. Acronyms: GABA = γ-amino-butyric acid, NAA = N-</w:t>
      </w:r>
      <w:proofErr w:type="spellStart"/>
      <w:r w:rsidRPr="00785469">
        <w:rPr>
          <w:sz w:val="23"/>
          <w:szCs w:val="23"/>
        </w:rPr>
        <w:t>acetylaspartate</w:t>
      </w:r>
      <w:proofErr w:type="spellEnd"/>
      <w:r w:rsidRPr="00785469">
        <w:rPr>
          <w:sz w:val="23"/>
          <w:szCs w:val="23"/>
        </w:rPr>
        <w:t>, ppm = parts per million.</w:t>
      </w:r>
    </w:p>
    <w:p w14:paraId="22DD4EA2" w14:textId="77777777" w:rsidR="00623C6A" w:rsidRPr="00785469" w:rsidRDefault="00623C6A" w:rsidP="00623C6A">
      <w:pPr>
        <w:jc w:val="both"/>
        <w:rPr>
          <w:sz w:val="23"/>
          <w:szCs w:val="23"/>
        </w:rPr>
      </w:pPr>
    </w:p>
    <w:p w14:paraId="1F1E6024" w14:textId="77777777" w:rsidR="00623C6A" w:rsidRPr="00785469" w:rsidRDefault="00623C6A" w:rsidP="00623C6A">
      <w:pPr>
        <w:jc w:val="both"/>
        <w:rPr>
          <w:sz w:val="23"/>
          <w:szCs w:val="23"/>
        </w:rPr>
      </w:pPr>
    </w:p>
    <w:p w14:paraId="6B5AFCE6" w14:textId="77777777" w:rsidR="00623C6A" w:rsidRPr="00785469" w:rsidRDefault="00623C6A" w:rsidP="00623C6A">
      <w:pPr>
        <w:jc w:val="both"/>
        <w:rPr>
          <w:sz w:val="23"/>
          <w:szCs w:val="23"/>
        </w:rPr>
      </w:pPr>
    </w:p>
    <w:p w14:paraId="1CA4E9C2" w14:textId="77777777" w:rsidR="00623C6A" w:rsidRPr="00785469" w:rsidRDefault="00623C6A" w:rsidP="00623C6A">
      <w:pPr>
        <w:jc w:val="both"/>
        <w:rPr>
          <w:sz w:val="23"/>
          <w:szCs w:val="23"/>
        </w:rPr>
      </w:pPr>
    </w:p>
    <w:p w14:paraId="7DA88805" w14:textId="77777777" w:rsidR="00623C6A" w:rsidRPr="00785469" w:rsidRDefault="00623C6A" w:rsidP="00623C6A">
      <w:pPr>
        <w:jc w:val="both"/>
        <w:rPr>
          <w:color w:val="0070C0"/>
          <w:sz w:val="23"/>
          <w:szCs w:val="23"/>
        </w:rPr>
      </w:pPr>
    </w:p>
    <w:p w14:paraId="45773222" w14:textId="77777777" w:rsidR="00623C6A" w:rsidRPr="00785469" w:rsidRDefault="00623C6A" w:rsidP="00623C6A">
      <w:pPr>
        <w:jc w:val="both"/>
        <w:rPr>
          <w:color w:val="0070C0"/>
          <w:sz w:val="23"/>
          <w:szCs w:val="23"/>
        </w:rPr>
      </w:pPr>
    </w:p>
    <w:p w14:paraId="08CB282F" w14:textId="77777777" w:rsidR="00623C6A" w:rsidRPr="00785469" w:rsidRDefault="00623C6A" w:rsidP="00623C6A">
      <w:pPr>
        <w:jc w:val="both"/>
        <w:rPr>
          <w:color w:val="0070C0"/>
          <w:sz w:val="23"/>
          <w:szCs w:val="23"/>
        </w:rPr>
      </w:pPr>
    </w:p>
    <w:p w14:paraId="74D140C7" w14:textId="77777777" w:rsidR="00623C6A" w:rsidRPr="00785469" w:rsidRDefault="00623C6A" w:rsidP="00623C6A">
      <w:pPr>
        <w:jc w:val="both"/>
        <w:rPr>
          <w:color w:val="0070C0"/>
          <w:sz w:val="23"/>
          <w:szCs w:val="23"/>
        </w:rPr>
      </w:pPr>
    </w:p>
    <w:p w14:paraId="1AAF0ADB" w14:textId="77777777" w:rsidR="00623C6A" w:rsidRPr="00785469" w:rsidRDefault="00623C6A" w:rsidP="00623C6A">
      <w:pPr>
        <w:jc w:val="both"/>
        <w:rPr>
          <w:color w:val="0070C0"/>
          <w:sz w:val="23"/>
          <w:szCs w:val="23"/>
        </w:rPr>
      </w:pPr>
    </w:p>
    <w:p w14:paraId="48403113" w14:textId="77777777" w:rsidR="00623C6A" w:rsidRPr="00785469" w:rsidRDefault="00623C6A" w:rsidP="00623C6A">
      <w:pPr>
        <w:jc w:val="both"/>
        <w:rPr>
          <w:color w:val="0070C0"/>
          <w:sz w:val="23"/>
          <w:szCs w:val="23"/>
        </w:rPr>
      </w:pPr>
    </w:p>
    <w:p w14:paraId="61A7849C" w14:textId="77777777" w:rsidR="00623C6A" w:rsidRPr="00785469" w:rsidRDefault="00623C6A" w:rsidP="00623C6A">
      <w:pPr>
        <w:jc w:val="both"/>
        <w:rPr>
          <w:color w:val="0070C0"/>
          <w:sz w:val="23"/>
          <w:szCs w:val="23"/>
        </w:rPr>
      </w:pPr>
    </w:p>
    <w:p w14:paraId="72974549" w14:textId="77777777" w:rsidR="00623C6A" w:rsidRPr="00785469" w:rsidRDefault="00623C6A" w:rsidP="00623C6A">
      <w:pPr>
        <w:jc w:val="both"/>
        <w:rPr>
          <w:color w:val="0070C0"/>
          <w:sz w:val="23"/>
          <w:szCs w:val="23"/>
        </w:rPr>
      </w:pPr>
    </w:p>
    <w:p w14:paraId="304A01F3" w14:textId="77777777" w:rsidR="00623C6A" w:rsidRPr="00785469" w:rsidRDefault="00623C6A" w:rsidP="00623C6A">
      <w:pPr>
        <w:jc w:val="both"/>
        <w:rPr>
          <w:color w:val="0070C0"/>
          <w:sz w:val="23"/>
          <w:szCs w:val="23"/>
        </w:rPr>
      </w:pPr>
    </w:p>
    <w:p w14:paraId="223987A5" w14:textId="77777777" w:rsidR="00623C6A" w:rsidRPr="00785469" w:rsidRDefault="00623C6A" w:rsidP="00623C6A">
      <w:pPr>
        <w:jc w:val="both"/>
        <w:rPr>
          <w:color w:val="0070C0"/>
          <w:sz w:val="23"/>
          <w:szCs w:val="23"/>
        </w:rPr>
      </w:pPr>
    </w:p>
    <w:p w14:paraId="1415798B" w14:textId="77777777" w:rsidR="00623C6A" w:rsidRPr="00785469" w:rsidRDefault="00623C6A" w:rsidP="00623C6A">
      <w:pPr>
        <w:jc w:val="both"/>
        <w:rPr>
          <w:color w:val="0070C0"/>
          <w:sz w:val="23"/>
          <w:szCs w:val="23"/>
        </w:rPr>
      </w:pPr>
    </w:p>
    <w:p w14:paraId="16E4909B" w14:textId="77777777" w:rsidR="00623C6A" w:rsidRPr="00785469" w:rsidRDefault="00623C6A" w:rsidP="00623C6A">
      <w:pPr>
        <w:jc w:val="both"/>
        <w:rPr>
          <w:color w:val="0070C0"/>
          <w:sz w:val="23"/>
          <w:szCs w:val="23"/>
        </w:rPr>
      </w:pPr>
    </w:p>
    <w:p w14:paraId="598C4C3F" w14:textId="77777777" w:rsidR="00623C6A" w:rsidRPr="00785469" w:rsidRDefault="00623C6A" w:rsidP="00623C6A">
      <w:pPr>
        <w:jc w:val="both"/>
        <w:rPr>
          <w:color w:val="0070C0"/>
          <w:sz w:val="23"/>
          <w:szCs w:val="23"/>
        </w:rPr>
      </w:pPr>
    </w:p>
    <w:p w14:paraId="7655E0BA" w14:textId="77777777" w:rsidR="00623C6A" w:rsidRPr="00785469" w:rsidRDefault="00623C6A" w:rsidP="00623C6A">
      <w:pPr>
        <w:jc w:val="both"/>
        <w:rPr>
          <w:color w:val="0070C0"/>
          <w:sz w:val="23"/>
          <w:szCs w:val="23"/>
        </w:rPr>
      </w:pPr>
    </w:p>
    <w:p w14:paraId="30DC85F4" w14:textId="77777777" w:rsidR="00A6026D" w:rsidRPr="00623C6A" w:rsidRDefault="00A6026D">
      <w:pPr>
        <w:rPr>
          <w:sz w:val="23"/>
          <w:szCs w:val="23"/>
        </w:rPr>
      </w:pPr>
    </w:p>
    <w:sectPr w:rsidR="00A6026D" w:rsidRPr="00623C6A" w:rsidSect="00B827C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1D"/>
    <w:rsid w:val="00000A29"/>
    <w:rsid w:val="00017DB2"/>
    <w:rsid w:val="000358D8"/>
    <w:rsid w:val="0005569C"/>
    <w:rsid w:val="00062196"/>
    <w:rsid w:val="00071CCF"/>
    <w:rsid w:val="00073DC8"/>
    <w:rsid w:val="000810BD"/>
    <w:rsid w:val="00081334"/>
    <w:rsid w:val="000832FD"/>
    <w:rsid w:val="000858B2"/>
    <w:rsid w:val="00090937"/>
    <w:rsid w:val="000923B4"/>
    <w:rsid w:val="00092D6F"/>
    <w:rsid w:val="00097429"/>
    <w:rsid w:val="000A644D"/>
    <w:rsid w:val="000D360C"/>
    <w:rsid w:val="000E2AC5"/>
    <w:rsid w:val="000E69DC"/>
    <w:rsid w:val="001058A9"/>
    <w:rsid w:val="00151B02"/>
    <w:rsid w:val="00154D11"/>
    <w:rsid w:val="0016006B"/>
    <w:rsid w:val="00161C7E"/>
    <w:rsid w:val="00174246"/>
    <w:rsid w:val="001B1A27"/>
    <w:rsid w:val="001B5E6E"/>
    <w:rsid w:val="001C575C"/>
    <w:rsid w:val="001D23FC"/>
    <w:rsid w:val="001E5EA9"/>
    <w:rsid w:val="00204914"/>
    <w:rsid w:val="002112FB"/>
    <w:rsid w:val="00231FCC"/>
    <w:rsid w:val="0024256D"/>
    <w:rsid w:val="00243079"/>
    <w:rsid w:val="00243F65"/>
    <w:rsid w:val="0024711C"/>
    <w:rsid w:val="00266734"/>
    <w:rsid w:val="00286485"/>
    <w:rsid w:val="0029305B"/>
    <w:rsid w:val="00295127"/>
    <w:rsid w:val="002A6256"/>
    <w:rsid w:val="002E1992"/>
    <w:rsid w:val="002E1B94"/>
    <w:rsid w:val="002E5B03"/>
    <w:rsid w:val="002F08F7"/>
    <w:rsid w:val="00303223"/>
    <w:rsid w:val="00304046"/>
    <w:rsid w:val="003126D4"/>
    <w:rsid w:val="00312799"/>
    <w:rsid w:val="00317987"/>
    <w:rsid w:val="00321259"/>
    <w:rsid w:val="003433EA"/>
    <w:rsid w:val="00343FD3"/>
    <w:rsid w:val="00352877"/>
    <w:rsid w:val="00360333"/>
    <w:rsid w:val="0037291A"/>
    <w:rsid w:val="00373E1A"/>
    <w:rsid w:val="00374403"/>
    <w:rsid w:val="003778AE"/>
    <w:rsid w:val="003870D0"/>
    <w:rsid w:val="0039169E"/>
    <w:rsid w:val="003E266E"/>
    <w:rsid w:val="003E397E"/>
    <w:rsid w:val="00405229"/>
    <w:rsid w:val="00413255"/>
    <w:rsid w:val="004138C2"/>
    <w:rsid w:val="004304F7"/>
    <w:rsid w:val="004317B2"/>
    <w:rsid w:val="00445D79"/>
    <w:rsid w:val="00453062"/>
    <w:rsid w:val="00480F92"/>
    <w:rsid w:val="004B7528"/>
    <w:rsid w:val="004C1B4A"/>
    <w:rsid w:val="004C4DA7"/>
    <w:rsid w:val="004C6E9F"/>
    <w:rsid w:val="004E0B81"/>
    <w:rsid w:val="004E3985"/>
    <w:rsid w:val="004F0583"/>
    <w:rsid w:val="005079AD"/>
    <w:rsid w:val="005137F2"/>
    <w:rsid w:val="00521456"/>
    <w:rsid w:val="005232EA"/>
    <w:rsid w:val="0052515A"/>
    <w:rsid w:val="00545616"/>
    <w:rsid w:val="005476F9"/>
    <w:rsid w:val="00584B45"/>
    <w:rsid w:val="0059224D"/>
    <w:rsid w:val="005C0EDE"/>
    <w:rsid w:val="005D0B33"/>
    <w:rsid w:val="005E0571"/>
    <w:rsid w:val="005E70AD"/>
    <w:rsid w:val="005F61E2"/>
    <w:rsid w:val="0061080F"/>
    <w:rsid w:val="00617CC1"/>
    <w:rsid w:val="00620201"/>
    <w:rsid w:val="00623C6A"/>
    <w:rsid w:val="006352AD"/>
    <w:rsid w:val="00650A11"/>
    <w:rsid w:val="00660F1D"/>
    <w:rsid w:val="006712DC"/>
    <w:rsid w:val="00686665"/>
    <w:rsid w:val="00697294"/>
    <w:rsid w:val="006A7BD9"/>
    <w:rsid w:val="006D2A70"/>
    <w:rsid w:val="006E2513"/>
    <w:rsid w:val="006E3C75"/>
    <w:rsid w:val="006E4784"/>
    <w:rsid w:val="006F0EDD"/>
    <w:rsid w:val="00707B44"/>
    <w:rsid w:val="00712158"/>
    <w:rsid w:val="00717438"/>
    <w:rsid w:val="00723286"/>
    <w:rsid w:val="00731C63"/>
    <w:rsid w:val="00732882"/>
    <w:rsid w:val="007713AC"/>
    <w:rsid w:val="00781817"/>
    <w:rsid w:val="00783092"/>
    <w:rsid w:val="007841C3"/>
    <w:rsid w:val="007A2190"/>
    <w:rsid w:val="007C53F4"/>
    <w:rsid w:val="007C61A0"/>
    <w:rsid w:val="007C7A2D"/>
    <w:rsid w:val="007D61C4"/>
    <w:rsid w:val="007E216D"/>
    <w:rsid w:val="00802278"/>
    <w:rsid w:val="0080252B"/>
    <w:rsid w:val="00827307"/>
    <w:rsid w:val="008602B2"/>
    <w:rsid w:val="00890AF0"/>
    <w:rsid w:val="00890F84"/>
    <w:rsid w:val="008A3385"/>
    <w:rsid w:val="008A7D96"/>
    <w:rsid w:val="008C4AB8"/>
    <w:rsid w:val="008E2A9E"/>
    <w:rsid w:val="00910B19"/>
    <w:rsid w:val="00910E88"/>
    <w:rsid w:val="00941F87"/>
    <w:rsid w:val="00952EAD"/>
    <w:rsid w:val="00954A59"/>
    <w:rsid w:val="00965E1A"/>
    <w:rsid w:val="0097756D"/>
    <w:rsid w:val="009B08CE"/>
    <w:rsid w:val="009D51AC"/>
    <w:rsid w:val="00A32404"/>
    <w:rsid w:val="00A429D5"/>
    <w:rsid w:val="00A6026D"/>
    <w:rsid w:val="00A83B91"/>
    <w:rsid w:val="00A84B5C"/>
    <w:rsid w:val="00A90E44"/>
    <w:rsid w:val="00AA7B0C"/>
    <w:rsid w:val="00AB238A"/>
    <w:rsid w:val="00AD5521"/>
    <w:rsid w:val="00B15285"/>
    <w:rsid w:val="00B24F70"/>
    <w:rsid w:val="00B32CAF"/>
    <w:rsid w:val="00B3511C"/>
    <w:rsid w:val="00B40161"/>
    <w:rsid w:val="00B41208"/>
    <w:rsid w:val="00B47DAF"/>
    <w:rsid w:val="00B743B0"/>
    <w:rsid w:val="00B75F97"/>
    <w:rsid w:val="00B76CE3"/>
    <w:rsid w:val="00B81BC1"/>
    <w:rsid w:val="00B81D40"/>
    <w:rsid w:val="00B827C3"/>
    <w:rsid w:val="00B9350B"/>
    <w:rsid w:val="00BA019D"/>
    <w:rsid w:val="00BA1EDD"/>
    <w:rsid w:val="00BB4A17"/>
    <w:rsid w:val="00BB6BEC"/>
    <w:rsid w:val="00BE02DC"/>
    <w:rsid w:val="00BE146D"/>
    <w:rsid w:val="00BE305C"/>
    <w:rsid w:val="00BF0A06"/>
    <w:rsid w:val="00BF6374"/>
    <w:rsid w:val="00C064EB"/>
    <w:rsid w:val="00C06AC9"/>
    <w:rsid w:val="00C16019"/>
    <w:rsid w:val="00C16554"/>
    <w:rsid w:val="00C462A4"/>
    <w:rsid w:val="00C6589F"/>
    <w:rsid w:val="00CA7A29"/>
    <w:rsid w:val="00CC1C8A"/>
    <w:rsid w:val="00CC57F8"/>
    <w:rsid w:val="00CD1588"/>
    <w:rsid w:val="00CD1B87"/>
    <w:rsid w:val="00CE7BA7"/>
    <w:rsid w:val="00D0261E"/>
    <w:rsid w:val="00D16384"/>
    <w:rsid w:val="00D20534"/>
    <w:rsid w:val="00D23212"/>
    <w:rsid w:val="00D23236"/>
    <w:rsid w:val="00D271C8"/>
    <w:rsid w:val="00D61617"/>
    <w:rsid w:val="00D63851"/>
    <w:rsid w:val="00D9067E"/>
    <w:rsid w:val="00D95F6A"/>
    <w:rsid w:val="00D97300"/>
    <w:rsid w:val="00DA1E94"/>
    <w:rsid w:val="00DA5F4B"/>
    <w:rsid w:val="00DB3B8F"/>
    <w:rsid w:val="00DC2355"/>
    <w:rsid w:val="00DC4503"/>
    <w:rsid w:val="00DD1AF3"/>
    <w:rsid w:val="00DE309A"/>
    <w:rsid w:val="00E047FE"/>
    <w:rsid w:val="00E05B9B"/>
    <w:rsid w:val="00E07532"/>
    <w:rsid w:val="00E260CD"/>
    <w:rsid w:val="00E33B93"/>
    <w:rsid w:val="00E60B39"/>
    <w:rsid w:val="00E673CD"/>
    <w:rsid w:val="00E910D2"/>
    <w:rsid w:val="00E97EB8"/>
    <w:rsid w:val="00EA720D"/>
    <w:rsid w:val="00EB1487"/>
    <w:rsid w:val="00ED6D07"/>
    <w:rsid w:val="00F00293"/>
    <w:rsid w:val="00F00838"/>
    <w:rsid w:val="00F032C6"/>
    <w:rsid w:val="00F043BE"/>
    <w:rsid w:val="00F067AA"/>
    <w:rsid w:val="00F07A1F"/>
    <w:rsid w:val="00F13C16"/>
    <w:rsid w:val="00F221EA"/>
    <w:rsid w:val="00F30E01"/>
    <w:rsid w:val="00F40B6B"/>
    <w:rsid w:val="00F603E1"/>
    <w:rsid w:val="00F74C5D"/>
    <w:rsid w:val="00F756AC"/>
    <w:rsid w:val="00FA4388"/>
    <w:rsid w:val="00FA597B"/>
    <w:rsid w:val="00FB563F"/>
    <w:rsid w:val="00FB5F0E"/>
    <w:rsid w:val="00FE5C5C"/>
    <w:rsid w:val="00FE69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35BFEAE7"/>
  <w15:chartTrackingRefBased/>
  <w15:docId w15:val="{A14C0DD0-059D-4641-B1D6-0A10FA30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C6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3C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biria</dc:creator>
  <cp:keywords/>
  <dc:description/>
  <cp:lastModifiedBy>marjan biria</cp:lastModifiedBy>
  <cp:revision>40</cp:revision>
  <dcterms:created xsi:type="dcterms:W3CDTF">2022-09-12T22:51:00Z</dcterms:created>
  <dcterms:modified xsi:type="dcterms:W3CDTF">2022-10-07T19:37:00Z</dcterms:modified>
</cp:coreProperties>
</file>