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0" w:name="OLE_LINK33"/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Molecular recognition of </w:t>
      </w:r>
      <w:bookmarkStart w:id="1" w:name="OLE_LINK1"/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SARS-CoV-2 spike protein</w:t>
      </w:r>
      <w:bookmarkEnd w:id="1"/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with three essential partners: exploring possible 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mmune escape mechanisms 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of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 xml:space="preserve">viarl </w:t>
      </w:r>
      <w:r>
        <w:rPr>
          <w:rFonts w:ascii="Times New Roman" w:hAnsi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mutants</w:t>
      </w:r>
      <w:bookmarkEnd w:id="0"/>
    </w:p>
    <w:p>
      <w:pPr>
        <w:adjustRightInd w:val="0"/>
        <w:snapToGrid w:val="0"/>
        <w:spacing w:line="360" w:lineRule="auto"/>
        <w:jc w:val="left"/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</w:pPr>
      <w:r>
        <w:rPr>
          <w:rStyle w:val="7"/>
          <w:rFonts w:ascii="Times New Roman" w:hAnsi="Times New Roman"/>
          <w:b/>
          <w:bCs/>
          <w:sz w:val="20"/>
          <w:szCs w:val="20"/>
        </w:rPr>
        <w:t>Yan Cheng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a,†</w:t>
      </w:r>
      <w:r>
        <w:rPr>
          <w:rStyle w:val="7"/>
          <w:rFonts w:ascii="Times New Roman" w:hAnsi="Times New Roman"/>
          <w:b/>
          <w:bCs/>
          <w:sz w:val="20"/>
          <w:szCs w:val="20"/>
        </w:rPr>
        <w:t xml:space="preserve">, </w:t>
      </w:r>
      <w:bookmarkStart w:id="2" w:name="OLE_LINK32"/>
      <w:r>
        <w:rPr>
          <w:rStyle w:val="7"/>
          <w:rFonts w:ascii="Times New Roman" w:hAnsi="Times New Roman"/>
          <w:b/>
          <w:bCs/>
          <w:sz w:val="20"/>
          <w:szCs w:val="20"/>
        </w:rPr>
        <w:t>Dan Zheng</w:t>
      </w:r>
      <w:bookmarkEnd w:id="2"/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 xml:space="preserve"> a,†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Derong Zhang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b,†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Du Guo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a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Yueteng Wang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c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Wei Liu</w:t>
      </w:r>
      <w:r>
        <w:rPr>
          <w:rStyle w:val="7"/>
          <w:rFonts w:ascii="Times New Roman" w:hAnsi="Times New Roman"/>
          <w:b w:val="0"/>
          <w:bCs w:val="0"/>
          <w:sz w:val="20"/>
          <w:szCs w:val="20"/>
          <w:vertAlign w:val="superscript"/>
        </w:rPr>
        <w:t>c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Li Liang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c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Jianping Hu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c</w:t>
      </w:r>
      <w:r>
        <w:rPr>
          <w:rStyle w:val="7"/>
          <w:rFonts w:ascii="Times New Roman" w:hAnsi="Times New Roman"/>
          <w:b/>
          <w:bCs/>
          <w:sz w:val="20"/>
          <w:szCs w:val="20"/>
        </w:rPr>
        <w:t>, Hubing Shi</w:t>
      </w:r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a</w:t>
      </w:r>
      <w:r>
        <w:rPr>
          <w:rStyle w:val="7"/>
          <w:rFonts w:ascii="Times New Roman" w:hAnsi="Times New Roman"/>
          <w:b/>
          <w:bCs/>
          <w:sz w:val="20"/>
          <w:szCs w:val="20"/>
        </w:rPr>
        <w:t xml:space="preserve">, </w:t>
      </w:r>
      <w:bookmarkStart w:id="3" w:name="OLE_LINK36"/>
      <w:r>
        <w:rPr>
          <w:rStyle w:val="7"/>
          <w:rFonts w:ascii="Times New Roman" w:hAnsi="Times New Roman"/>
          <w:b/>
          <w:bCs/>
          <w:sz w:val="20"/>
          <w:szCs w:val="20"/>
        </w:rPr>
        <w:t>Ting Luo</w:t>
      </w:r>
      <w:bookmarkEnd w:id="3"/>
      <w:r>
        <w:rPr>
          <w:rStyle w:val="7"/>
          <w:rFonts w:ascii="Times New Roman" w:hAnsi="Times New Roman"/>
          <w:b/>
          <w:bCs/>
          <w:sz w:val="20"/>
          <w:szCs w:val="20"/>
          <w:vertAlign w:val="superscript"/>
        </w:rPr>
        <w:t>a,*</w:t>
      </w:r>
    </w:p>
    <w:p>
      <w:pPr>
        <w:adjustRightInd w:val="0"/>
        <w:snapToGrid w:val="0"/>
        <w:spacing w:line="360" w:lineRule="auto"/>
        <w:rPr>
          <w:rStyle w:val="7"/>
          <w:rFonts w:hint="default" w:ascii="Times New Roman" w:hAnsi="Times New Roman" w:eastAsia="等线"/>
          <w:sz w:val="16"/>
          <w:szCs w:val="16"/>
          <w:lang w:val="en-US" w:eastAsia="zh-CN"/>
        </w:rPr>
      </w:pPr>
      <w:r>
        <w:rPr>
          <w:rStyle w:val="7"/>
          <w:rFonts w:ascii="Times New Roman" w:hAnsi="Times New Roman"/>
          <w:sz w:val="16"/>
          <w:szCs w:val="16"/>
          <w:vertAlign w:val="superscript"/>
        </w:rPr>
        <w:t>a</w:t>
      </w:r>
      <w:r>
        <w:rPr>
          <w:rStyle w:val="7"/>
          <w:rFonts w:ascii="Times New Roman" w:hAnsi="Times New Roman"/>
          <w:sz w:val="16"/>
          <w:szCs w:val="16"/>
        </w:rPr>
        <w:t xml:space="preserve"> </w:t>
      </w:r>
      <w:r>
        <w:rPr>
          <w:rStyle w:val="7"/>
          <w:rFonts w:hint="eastAsia" w:ascii="Times New Roman" w:hAnsi="Times New Roman"/>
          <w:sz w:val="16"/>
          <w:szCs w:val="16"/>
        </w:rPr>
        <w:t>Breast Disease Center, Cancer Center, West China Hospital, Sichuan University, Chengdu,610000, China</w:t>
      </w:r>
      <w:r>
        <w:rPr>
          <w:rStyle w:val="7"/>
          <w:rFonts w:hint="eastAsia" w:ascii="Times New Roman" w:hAnsi="Times New Roman"/>
          <w:sz w:val="16"/>
          <w:szCs w:val="16"/>
          <w:lang w:val="en-US" w:eastAsia="zh-CN"/>
        </w:rPr>
        <w:t>.</w:t>
      </w:r>
    </w:p>
    <w:p>
      <w:pPr>
        <w:adjustRightInd w:val="0"/>
        <w:snapToGrid w:val="0"/>
        <w:spacing w:line="360" w:lineRule="auto"/>
        <w:rPr>
          <w:rStyle w:val="8"/>
          <w:rFonts w:ascii="Times New Roman" w:hAnsi="Times New Roman"/>
          <w:i w:val="0"/>
          <w:iCs w:val="0"/>
          <w:sz w:val="16"/>
          <w:szCs w:val="16"/>
        </w:rPr>
      </w:pPr>
      <w:r>
        <w:rPr>
          <w:rStyle w:val="8"/>
          <w:rFonts w:hint="eastAsia" w:ascii="Times New Roman" w:hAnsi="Times New Roman"/>
          <w:i w:val="0"/>
          <w:iCs w:val="0"/>
          <w:sz w:val="16"/>
          <w:szCs w:val="16"/>
          <w:vertAlign w:val="superscript"/>
        </w:rPr>
        <w:t>b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  <w:vertAlign w:val="superscript"/>
          <w:lang w:val="en-US" w:eastAsia="zh-CN"/>
        </w:rPr>
        <w:t xml:space="preserve">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School of Marxism, Chengdu Vocational &amp; Technical College of Industry, Chengdu, China</w:t>
      </w:r>
    </w:p>
    <w:p>
      <w:pPr>
        <w:adjustRightInd w:val="0"/>
        <w:snapToGrid w:val="0"/>
        <w:spacing w:line="360" w:lineRule="auto"/>
        <w:rPr>
          <w:rStyle w:val="8"/>
          <w:rFonts w:hint="eastAsia" w:ascii="Times New Roman" w:hAnsi="Times New Roman" w:eastAsia="等线"/>
          <w:i w:val="0"/>
          <w:iCs w:val="0"/>
          <w:sz w:val="16"/>
          <w:szCs w:val="16"/>
          <w:lang w:val="en-US" w:eastAsia="zh-CN"/>
        </w:rPr>
      </w:pPr>
      <w:r>
        <w:rPr>
          <w:rStyle w:val="7"/>
          <w:rFonts w:hint="eastAsia" w:ascii="Times New Roman" w:hAnsi="Times New Roman"/>
          <w:sz w:val="16"/>
          <w:szCs w:val="16"/>
          <w:vertAlign w:val="superscript"/>
        </w:rPr>
        <w:t>c</w:t>
      </w:r>
      <w:r>
        <w:rPr>
          <w:rStyle w:val="7"/>
          <w:rFonts w:hint="eastAsia" w:ascii="Times New Roman" w:hAnsi="Times New Roman"/>
          <w:sz w:val="16"/>
          <w:szCs w:val="16"/>
        </w:rPr>
        <w:t xml:space="preserve">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Key Laboratory of Medicinal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</w:rPr>
        <w:t xml:space="preserve"> and Edible Plants Resources Development of Sichuan Education Department,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School of Pharmacy, Chengdu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</w:rPr>
        <w:t xml:space="preserve">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University, Chengdu, China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  <w:lang w:val="en-US" w:eastAsia="zh-CN"/>
        </w:rPr>
        <w:t>.</w:t>
      </w:r>
    </w:p>
    <w:p>
      <w:pPr>
        <w:adjustRightInd w:val="0"/>
        <w:snapToGrid w:val="0"/>
        <w:spacing w:line="360" w:lineRule="auto"/>
        <w:rPr>
          <w:rStyle w:val="8"/>
          <w:rFonts w:ascii="Times New Roman" w:hAnsi="Times New Roman"/>
          <w:i w:val="0"/>
          <w:iCs w:val="0"/>
          <w:sz w:val="16"/>
          <w:szCs w:val="16"/>
        </w:rPr>
      </w:pPr>
      <w:r>
        <w:rPr>
          <w:rStyle w:val="8"/>
          <w:rFonts w:ascii="Times New Roman" w:hAnsi="Times New Roman"/>
          <w:i w:val="0"/>
          <w:iCs w:val="0"/>
          <w:sz w:val="16"/>
          <w:szCs w:val="16"/>
          <w:vertAlign w:val="superscript"/>
        </w:rPr>
        <w:t>*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 xml:space="preserve"> Corresponding author.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</w:rPr>
        <w:t xml:space="preserve">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E-mail address: luotingwch@163.com (T. Luo).</w:t>
      </w:r>
    </w:p>
    <w:p>
      <w:pPr>
        <w:adjustRightInd w:val="0"/>
        <w:snapToGrid w:val="0"/>
        <w:spacing w:line="360" w:lineRule="auto"/>
        <w:rPr>
          <w:rStyle w:val="8"/>
          <w:rFonts w:ascii="Times New Roman" w:hAnsi="Times New Roman"/>
          <w:i w:val="0"/>
          <w:iCs w:val="0"/>
          <w:sz w:val="16"/>
          <w:szCs w:val="16"/>
        </w:rPr>
      </w:pPr>
      <w:r>
        <w:rPr>
          <w:rStyle w:val="8"/>
          <w:rFonts w:ascii="Times New Roman" w:hAnsi="Times New Roman"/>
          <w:i w:val="0"/>
          <w:iCs w:val="0"/>
          <w:sz w:val="16"/>
          <w:szCs w:val="16"/>
          <w:vertAlign w:val="superscript"/>
        </w:rPr>
        <w:t>†</w:t>
      </w:r>
      <w:r>
        <w:rPr>
          <w:rStyle w:val="8"/>
          <w:rFonts w:hint="eastAsia" w:ascii="Times New Roman" w:hAnsi="Times New Roman"/>
          <w:i w:val="0"/>
          <w:iCs w:val="0"/>
          <w:sz w:val="16"/>
          <w:szCs w:val="16"/>
        </w:rPr>
        <w:t xml:space="preserve"> </w:t>
      </w:r>
      <w:r>
        <w:rPr>
          <w:rStyle w:val="8"/>
          <w:rFonts w:ascii="Times New Roman" w:hAnsi="Times New Roman"/>
          <w:i w:val="0"/>
          <w:iCs w:val="0"/>
          <w:sz w:val="16"/>
          <w:szCs w:val="16"/>
        </w:rPr>
        <w:t>These authors contributed equally to this work</w:t>
      </w:r>
    </w:p>
    <w:p/>
    <w:p/>
    <w:p>
      <w:pPr>
        <w:spacing w:line="360" w:lineRule="auto"/>
        <w:rPr>
          <w:rFonts w:ascii="Times New Roman" w:hAnsi="Times New Roman"/>
          <w:sz w:val="18"/>
          <w:szCs w:val="18"/>
        </w:rPr>
      </w:pPr>
    </w:p>
    <w:p>
      <w:pPr>
        <w:spacing w:line="360" w:lineRule="auto"/>
        <w:rPr>
          <w:rFonts w:ascii="Times New Roman" w:hAnsi="Times New Roman"/>
          <w:sz w:val="18"/>
          <w:szCs w:val="18"/>
        </w:rPr>
      </w:pPr>
    </w:p>
    <w:p>
      <w:pPr>
        <w:spacing w:line="360" w:lineRule="auto"/>
        <w:rPr>
          <w:rFonts w:ascii="Times New Roman" w:hAnsi="Times New Roman"/>
          <w:sz w:val="18"/>
          <w:szCs w:val="18"/>
        </w:rPr>
      </w:pPr>
    </w:p>
    <w:p>
      <w:pPr>
        <w:spacing w:line="360" w:lineRule="auto"/>
        <w:rPr>
          <w:rFonts w:hint="eastAsia" w:ascii="Times New Roman" w:hAnsi="Times New Roman" w:eastAsia="等线"/>
          <w:sz w:val="18"/>
          <w:szCs w:val="18"/>
          <w:lang w:eastAsia="zh-CN"/>
        </w:rPr>
      </w:pPr>
      <w:r>
        <w:rPr>
          <w:rFonts w:hint="eastAsia" w:ascii="Times New Roman" w:hAnsi="Times New Roman" w:eastAsia="等线"/>
          <w:sz w:val="18"/>
          <w:szCs w:val="18"/>
          <w:lang w:eastAsia="zh-CN"/>
        </w:rPr>
        <w:drawing>
          <wp:inline distT="0" distB="0" distL="114300" distR="114300">
            <wp:extent cx="5273675" cy="3100705"/>
            <wp:effectExtent l="0" t="0" r="9525" b="10795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  <w:lang w:bidi="ar"/>
        </w:rPr>
      </w:pPr>
      <w:r>
        <w:rPr>
          <w:rFonts w:hint="eastAsia" w:ascii="Times New Roman" w:hAnsi="Times New Roman"/>
          <w:b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sz w:val="18"/>
          <w:szCs w:val="18"/>
          <w:lang w:bidi="ar"/>
        </w:rPr>
        <w:t xml:space="preserve"> S1 </w:t>
      </w:r>
      <w:r>
        <w:rPr>
          <w:rFonts w:ascii="Times New Roman" w:hAnsi="Times New Roman"/>
          <w:sz w:val="18"/>
          <w:szCs w:val="18"/>
          <w:lang w:bidi="ar"/>
        </w:rPr>
        <w:t>Conformation convergence parameters for MD simulations of the WT_TMPRSS2, Delta_TMPRSS2, Mu_TMPRSS2 and Omicron_TMPRSS2 systems. The variation of potential energy (A) and RMSD (B) with time; RMSF distribution at residue level of SP chain A in the four systems (C); RMSF correlation of SP chain A between Omicron_TMPRSS2 and WT_TMPRSS2.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2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  <w:lang w:eastAsia="zh-Hans" w:bidi="ar"/>
        </w:rPr>
      </w:pPr>
      <w:r>
        <w:rPr>
          <w:rFonts w:hint="eastAsia" w:ascii="Times New Roman" w:hAnsi="Times New Roman"/>
          <w:b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sz w:val="18"/>
          <w:szCs w:val="18"/>
          <w:lang w:bidi="ar"/>
        </w:rPr>
        <w:t xml:space="preserve"> S2 </w:t>
      </w:r>
      <w:r>
        <w:rPr>
          <w:rFonts w:ascii="Times New Roman" w:hAnsi="Times New Roman"/>
          <w:sz w:val="18"/>
          <w:szCs w:val="18"/>
          <w:lang w:bidi="ar"/>
        </w:rPr>
        <w:t xml:space="preserve">Conformation convergence parameters for MD simulations of the WT_C121 Delta_C121 Mu_C121 and Omicron_C121systems. The variation of potential energy (A) and RMSD (B) with time; RMSF distribution at residue level of SP chain A in the four systems (C); RMSF correlation of SP chain A between </w:t>
      </w:r>
      <w:r>
        <w:rPr>
          <w:rFonts w:hint="eastAsia" w:ascii="Times New Roman" w:hAnsi="Times New Roman"/>
          <w:sz w:val="18"/>
          <w:szCs w:val="18"/>
          <w:lang w:eastAsia="zh-Hans" w:bidi="ar"/>
        </w:rPr>
        <w:t>Mu</w:t>
      </w:r>
      <w:r>
        <w:rPr>
          <w:rFonts w:ascii="Times New Roman" w:hAnsi="Times New Roman"/>
          <w:sz w:val="18"/>
          <w:szCs w:val="18"/>
          <w:lang w:bidi="ar"/>
        </w:rPr>
        <w:t>_</w:t>
      </w:r>
      <w:r>
        <w:rPr>
          <w:rFonts w:hint="eastAsia" w:ascii="Times New Roman" w:hAnsi="Times New Roman"/>
          <w:sz w:val="18"/>
          <w:szCs w:val="18"/>
          <w:lang w:eastAsia="zh-Hans" w:bidi="ar"/>
        </w:rPr>
        <w:t>C</w:t>
      </w:r>
      <w:r>
        <w:rPr>
          <w:rFonts w:ascii="Times New Roman" w:hAnsi="Times New Roman"/>
          <w:sz w:val="18"/>
          <w:szCs w:val="18"/>
          <w:lang w:eastAsia="zh-Hans" w:bidi="ar"/>
        </w:rPr>
        <w:t>121</w:t>
      </w:r>
      <w:r>
        <w:rPr>
          <w:rFonts w:ascii="Times New Roman" w:hAnsi="Times New Roman"/>
          <w:sz w:val="18"/>
          <w:szCs w:val="18"/>
          <w:lang w:bidi="ar"/>
        </w:rPr>
        <w:t xml:space="preserve"> and WT_</w:t>
      </w:r>
      <w:r>
        <w:rPr>
          <w:rFonts w:hint="eastAsia" w:ascii="Times New Roman" w:hAnsi="Times New Roman"/>
          <w:sz w:val="18"/>
          <w:szCs w:val="18"/>
          <w:lang w:eastAsia="zh-Hans" w:bidi="ar"/>
        </w:rPr>
        <w:t>C</w:t>
      </w:r>
      <w:r>
        <w:rPr>
          <w:rFonts w:ascii="Times New Roman" w:hAnsi="Times New Roman"/>
          <w:sz w:val="18"/>
          <w:szCs w:val="18"/>
          <w:lang w:eastAsia="zh-Hans" w:bidi="ar"/>
        </w:rPr>
        <w:t>121.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4401820" cy="1213485"/>
            <wp:effectExtent l="0" t="0" r="5080" b="5715"/>
            <wp:docPr id="3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S3"/>
                    <pic:cNvPicPr>
                      <a:picLocks noChangeAspect="1"/>
                    </pic:cNvPicPr>
                  </pic:nvPicPr>
                  <pic:blipFill>
                    <a:blip r:embed="rId6"/>
                    <a:srcRect l="4166" t="28855" r="12366" b="32009"/>
                    <a:stretch>
                      <a:fillRect/>
                    </a:stretch>
                  </pic:blipFill>
                  <pic:spPr>
                    <a:xfrm>
                      <a:off x="0" y="0"/>
                      <a:ext cx="440182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both"/>
        <w:textAlignment w:val="auto"/>
        <w:rPr>
          <w:rFonts w:hint="default" w:ascii="Times New Roman" w:hAnsi="Times New Roman"/>
          <w:kern w:val="2"/>
          <w:sz w:val="18"/>
          <w:szCs w:val="18"/>
          <w:lang w:eastAsia="zh-Hans"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/>
        </w:rPr>
        <w:t>Fig.</w:t>
      </w:r>
      <w:r>
        <w:rPr>
          <w:rFonts w:hint="default" w:ascii="Times New Roman" w:hAnsi="Times New Roman"/>
          <w:b/>
          <w:bCs/>
          <w:sz w:val="18"/>
          <w:szCs w:val="18"/>
        </w:rPr>
        <w:t xml:space="preserve"> S3</w:t>
      </w:r>
      <w:r>
        <w:rPr>
          <w:rFonts w:hint="default"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  <w:lang w:eastAsia="zh-Hans"/>
        </w:rPr>
        <w:t>The</w:t>
      </w:r>
      <w:r>
        <w:rPr>
          <w:rFonts w:hint="default" w:ascii="Times New Roman" w:hAnsi="Times New Roman"/>
          <w:sz w:val="18"/>
          <w:szCs w:val="18"/>
          <w:lang w:eastAsia="zh-Hans"/>
        </w:rPr>
        <w:t xml:space="preserve"> representative conformations</w:t>
      </w:r>
      <w:r>
        <w:rPr>
          <w:rFonts w:hint="default" w:ascii="Times New Roman" w:hAnsi="Times New Roman"/>
          <w:sz w:val="18"/>
          <w:szCs w:val="18"/>
        </w:rPr>
        <w:t xml:space="preserve"> 630-loop in the WT, Delta, Mu and Omicron systems</w:t>
      </w:r>
      <w:r>
        <w:rPr>
          <w:rFonts w:hint="default" w:ascii="Times New Roman" w:hAnsi="Times New Roman"/>
          <w:kern w:val="2"/>
          <w:sz w:val="18"/>
          <w:szCs w:val="18"/>
          <w:lang w:bidi="ar"/>
        </w:rPr>
        <w:t xml:space="preserve">, respectively </w:t>
      </w:r>
      <w:r>
        <w:rPr>
          <w:rFonts w:ascii="Times New Roman" w:hAnsi="Times New Roman"/>
          <w:kern w:val="2"/>
          <w:sz w:val="18"/>
          <w:szCs w:val="18"/>
          <w:lang w:eastAsia="zh-Hans" w:bidi="ar"/>
        </w:rPr>
        <w:t>represented</w:t>
      </w:r>
      <w:r>
        <w:rPr>
          <w:rFonts w:hint="default" w:ascii="Times New Roman" w:hAnsi="Times New Roman"/>
          <w:kern w:val="2"/>
          <w:sz w:val="18"/>
          <w:szCs w:val="18"/>
          <w:lang w:eastAsia="zh-Hans" w:bidi="ar"/>
        </w:rPr>
        <w:t xml:space="preserve"> in blue, purple, red and green.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both"/>
        <w:textAlignment w:val="auto"/>
        <w:rPr>
          <w:rFonts w:hint="eastAsia" w:ascii="Times New Roman" w:hAnsi="Times New Roman" w:eastAsia="等线"/>
          <w:b/>
          <w:bCs/>
          <w:kern w:val="2"/>
          <w:sz w:val="18"/>
          <w:szCs w:val="18"/>
          <w:lang w:eastAsia="zh-CN" w:bidi="ar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center"/>
        <w:textAlignment w:val="auto"/>
        <w:rPr>
          <w:rFonts w:hint="eastAsia" w:ascii="Times New Roman" w:hAnsi="Times New Roman" w:eastAsia="等线"/>
          <w:b/>
          <w:bCs/>
          <w:kern w:val="2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b/>
          <w:bCs/>
          <w:kern w:val="2"/>
          <w:sz w:val="18"/>
          <w:szCs w:val="18"/>
          <w:lang w:eastAsia="zh-CN" w:bidi="ar"/>
        </w:rPr>
        <w:drawing>
          <wp:inline distT="0" distB="0" distL="114300" distR="114300">
            <wp:extent cx="4448175" cy="2713990"/>
            <wp:effectExtent l="0" t="0" r="9525" b="3810"/>
            <wp:docPr id="4" name="图片 4" descr="Fig.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 S4"/>
                    <pic:cNvPicPr>
                      <a:picLocks noChangeAspect="1"/>
                    </pic:cNvPicPr>
                  </pic:nvPicPr>
                  <pic:blipFill>
                    <a:blip r:embed="rId7"/>
                    <a:srcRect l="9308" t="6881" r="6346" b="5591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71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eastAsia="宋体"/>
          <w:sz w:val="18"/>
          <w:szCs w:val="18"/>
          <w:vertAlign w:val="subscript"/>
          <w:lang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 S4 </w:t>
      </w:r>
      <w:r>
        <w:rPr>
          <w:rFonts w:ascii="Times New Roman" w:hAnsi="Times New Roman"/>
          <w:sz w:val="18"/>
          <w:szCs w:val="18"/>
          <w:lang w:bidi="ar"/>
        </w:rPr>
        <w:t xml:space="preserve">The buried area in the WT_hACE2, Delta_hACE2, Mu_hACE2 and Omicron_hACE2 systems, respectively </w:t>
      </w:r>
      <w:r>
        <w:rPr>
          <w:rFonts w:hint="eastAsia" w:ascii="Times New Roman" w:hAnsi="Times New Roman"/>
          <w:sz w:val="18"/>
          <w:szCs w:val="18"/>
          <w:lang w:eastAsia="zh-Hans" w:bidi="ar"/>
        </w:rPr>
        <w:t>represented</w:t>
      </w:r>
      <w:r>
        <w:rPr>
          <w:rFonts w:ascii="Times New Roman" w:hAnsi="Times New Roman"/>
          <w:sz w:val="18"/>
          <w:szCs w:val="18"/>
          <w:lang w:eastAsia="zh-Hans" w:bidi="ar"/>
        </w:rPr>
        <w:t xml:space="preserve"> by blue, purple, red and green</w:t>
      </w:r>
      <w:r>
        <w:rPr>
          <w:rFonts w:ascii="Times New Roman" w:hAnsi="Times New Roman"/>
          <w:sz w:val="18"/>
          <w:szCs w:val="18"/>
          <w:lang w:bidi="ar"/>
        </w:rPr>
        <w:t xml:space="preserve">. </w:t>
      </w:r>
      <w:r>
        <w:rPr>
          <w:rFonts w:hint="eastAsia" w:ascii="Times New Roman" w:hAnsi="Times New Roman"/>
          <w:sz w:val="18"/>
          <w:szCs w:val="18"/>
          <w:lang w:bidi="ar"/>
        </w:rPr>
        <w:t>The mutated residues are shown in red, while bold black are used to represent less frequent residues.</w:t>
      </w:r>
      <w:r>
        <w:rPr>
          <w:rFonts w:ascii="Times New Roman" w:hAnsi="Times New Roman"/>
          <w:sz w:val="18"/>
          <w:szCs w:val="18"/>
          <w:lang w:bidi="ar"/>
        </w:rPr>
        <w:t xml:space="preserve"> The unit of buried area data is </w:t>
      </w:r>
      <w:r>
        <w:rPr>
          <w:rFonts w:ascii="Times New Roman" w:hAnsi="Times New Roman" w:eastAsia="宋体"/>
          <w:sz w:val="18"/>
          <w:szCs w:val="18"/>
          <w:lang w:bidi="ar"/>
        </w:rPr>
        <w:t>Å</w:t>
      </w:r>
      <w:r>
        <w:rPr>
          <w:rFonts w:ascii="Times New Roman" w:hAnsi="Times New Roman" w:eastAsia="宋体"/>
          <w:sz w:val="18"/>
          <w:szCs w:val="18"/>
          <w:vertAlign w:val="superscript"/>
          <w:lang w:bidi="ar"/>
        </w:rPr>
        <w:t>2</w:t>
      </w:r>
      <w:r>
        <w:rPr>
          <w:rFonts w:ascii="Times New Roman" w:hAnsi="Times New Roman" w:eastAsia="宋体"/>
          <w:sz w:val="18"/>
          <w:szCs w:val="18"/>
          <w:vertAlign w:val="subscript"/>
          <w:lang w:bidi="ar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宋体"/>
          <w:sz w:val="18"/>
          <w:szCs w:val="18"/>
          <w:vertAlign w:val="subscript"/>
          <w:lang w:eastAsia="zh-CN" w:bidi="ar"/>
        </w:rPr>
      </w:pPr>
      <w:r>
        <w:rPr>
          <w:rFonts w:hint="eastAsia" w:ascii="Times New Roman" w:hAnsi="Times New Roman" w:eastAsia="宋体"/>
          <w:sz w:val="18"/>
          <w:szCs w:val="18"/>
          <w:vertAlign w:val="subscript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5" name="图片 5" descr="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/>
          <w:sz w:val="18"/>
          <w:szCs w:val="18"/>
          <w:lang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/>
          <w:b/>
          <w:bCs/>
          <w:sz w:val="18"/>
          <w:szCs w:val="18"/>
          <w:lang w:eastAsia="zh-Hans" w:bidi="ar"/>
        </w:rPr>
        <w:t>S5</w:t>
      </w:r>
      <w:r>
        <w:rPr>
          <w:rFonts w:ascii="Times New Roman" w:hAnsi="Times New Roman"/>
          <w:sz w:val="18"/>
          <w:szCs w:val="18"/>
          <w:lang w:bidi="ar"/>
        </w:rPr>
        <w:t xml:space="preserve"> The key residues of interaction interfaces of SP_hACE2, where the mutated residues are indicated in red. </w:t>
      </w:r>
      <w:r>
        <w:rPr>
          <w:rFonts w:hint="eastAsia" w:ascii="Times New Roman" w:hAnsi="Times New Roman"/>
          <w:sz w:val="18"/>
          <w:szCs w:val="18"/>
          <w:lang w:bidi="ar"/>
        </w:rPr>
        <w:t>The sphere model is used to indicate hACE2 residues that interact with SP, with different colors representing key nonbonded forces: green for hydrogen bond, red for Pi-Pi stacking, pink for Pi-Alkyl, and orange for salt bridge.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6" name="图片 6" descr="Fig.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/>
        </w:rPr>
        <w:t>Fig.</w:t>
      </w: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  <w:lang w:eastAsia="zh-Hans"/>
        </w:rPr>
        <w:t>S</w:t>
      </w:r>
      <w:r>
        <w:rPr>
          <w:rFonts w:ascii="Times New Roman" w:hAnsi="Times New Roman"/>
          <w:b/>
          <w:bCs/>
          <w:sz w:val="18"/>
          <w:szCs w:val="18"/>
        </w:rPr>
        <w:t xml:space="preserve">6 </w:t>
      </w:r>
      <w:r>
        <w:rPr>
          <w:rFonts w:ascii="Times New Roman" w:hAnsi="Times New Roman"/>
          <w:sz w:val="18"/>
          <w:szCs w:val="18"/>
        </w:rPr>
        <w:t>The buried area in the WT_TMPRSS2, Delta_ TMPRSS2, Mu_ TMPRSS2 and Omicron_ TMPRSS2 systems, respectively represented by blue, purple, red and green. The unit of buried area data is Å</w:t>
      </w:r>
      <w:r>
        <w:rPr>
          <w:rFonts w:ascii="Times New Roman" w:hAnsi="Times New Roman"/>
          <w:sz w:val="18"/>
          <w:szCs w:val="18"/>
          <w:vertAlign w:val="superscript"/>
        </w:rPr>
        <w:t>2</w:t>
      </w:r>
      <w:r>
        <w:rPr>
          <w:rFonts w:ascii="Times New Roman" w:hAnsi="Times New Roman"/>
          <w:sz w:val="18"/>
          <w:szCs w:val="18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等线"/>
          <w:sz w:val="18"/>
          <w:szCs w:val="18"/>
          <w:lang w:eastAsia="zh-CN"/>
        </w:rPr>
      </w:pPr>
      <w:r>
        <w:rPr>
          <w:rFonts w:hint="eastAsia" w:ascii="Times New Roman" w:hAnsi="Times New Roman" w:eastAsia="等线"/>
          <w:sz w:val="18"/>
          <w:szCs w:val="18"/>
          <w:lang w:eastAsia="zh-CN"/>
        </w:rPr>
        <w:drawing>
          <wp:inline distT="0" distB="0" distL="114300" distR="114300">
            <wp:extent cx="4551680" cy="2205990"/>
            <wp:effectExtent l="0" t="0" r="7620" b="3810"/>
            <wp:docPr id="7" name="图片 7" descr="Fig.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 S7"/>
                    <pic:cNvPicPr>
                      <a:picLocks noChangeAspect="1"/>
                    </pic:cNvPicPr>
                  </pic:nvPicPr>
                  <pic:blipFill>
                    <a:blip r:embed="rId10"/>
                    <a:srcRect l="4275" t="10424" r="9416" b="18431"/>
                    <a:stretch>
                      <a:fillRect/>
                    </a:stretch>
                  </pic:blipFill>
                  <pic:spPr>
                    <a:xfrm>
                      <a:off x="0" y="0"/>
                      <a:ext cx="4551680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  <w:lang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  <w:lang w:eastAsia="zh-Hans" w:bidi="ar"/>
        </w:rPr>
        <w:t>S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7 </w:t>
      </w:r>
      <w:r>
        <w:rPr>
          <w:rFonts w:ascii="Times New Roman" w:hAnsi="Times New Roman"/>
          <w:sz w:val="18"/>
          <w:szCs w:val="18"/>
          <w:lang w:bidi="ar"/>
        </w:rPr>
        <w:t>Prediction of binding free energy of SP trimer to TMPRSS2, as well as the determination of key residues. (A) Comparison of binding free energies; (B) four main clusters obtained from energy contributions of the key residues.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8" name="图片 8" descr="Fig.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.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/>
          <w:sz w:val="18"/>
          <w:szCs w:val="18"/>
          <w:lang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/>
        </w:rPr>
        <w:t>Fig.</w:t>
      </w:r>
      <w:r>
        <w:rPr>
          <w:rFonts w:ascii="Times New Roman" w:hAnsi="Times New Roman"/>
          <w:b/>
          <w:bCs/>
          <w:sz w:val="18"/>
          <w:szCs w:val="18"/>
        </w:rPr>
        <w:t xml:space="preserve"> S8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  <w:lang w:bidi="ar"/>
        </w:rPr>
        <w:t xml:space="preserve">The key residues of interaction interfaces of SP_TMPRSS2, where the mutated residues are indicated in red. </w:t>
      </w:r>
      <w:r>
        <w:rPr>
          <w:rFonts w:hint="eastAsia" w:ascii="Times New Roman" w:hAnsi="Times New Roman"/>
          <w:sz w:val="18"/>
          <w:szCs w:val="18"/>
          <w:lang w:bidi="ar"/>
        </w:rPr>
        <w:t xml:space="preserve">The sphere model is used to indicate </w:t>
      </w:r>
      <w:r>
        <w:rPr>
          <w:rFonts w:ascii="Times New Roman" w:hAnsi="Times New Roman"/>
          <w:sz w:val="18"/>
          <w:szCs w:val="18"/>
          <w:lang w:bidi="ar"/>
        </w:rPr>
        <w:t>TMPRSS2</w:t>
      </w:r>
      <w:r>
        <w:rPr>
          <w:rFonts w:hint="eastAsia" w:ascii="Times New Roman" w:hAnsi="Times New Roman"/>
          <w:sz w:val="18"/>
          <w:szCs w:val="18"/>
          <w:lang w:bidi="ar"/>
        </w:rPr>
        <w:t xml:space="preserve"> residues that interact with SP, with different colors representing key nonbonded forces: green for hydrogen bond, red for Pi-Pi stacking, </w:t>
      </w:r>
      <w:r>
        <w:rPr>
          <w:rFonts w:hint="eastAsia" w:ascii="Times New Roman" w:hAnsi="Times New Roman"/>
          <w:sz w:val="18"/>
          <w:szCs w:val="18"/>
          <w:lang w:eastAsia="zh-Hans" w:bidi="ar"/>
        </w:rPr>
        <w:t>and</w:t>
      </w:r>
      <w:r>
        <w:rPr>
          <w:rFonts w:ascii="Times New Roman" w:hAnsi="Times New Roman"/>
          <w:sz w:val="18"/>
          <w:szCs w:val="18"/>
          <w:lang w:eastAsia="zh-Hans" w:bidi="ar"/>
        </w:rPr>
        <w:t xml:space="preserve"> </w:t>
      </w:r>
      <w:r>
        <w:rPr>
          <w:rFonts w:hint="eastAsia" w:ascii="Times New Roman" w:hAnsi="Times New Roman"/>
          <w:sz w:val="18"/>
          <w:szCs w:val="18"/>
          <w:lang w:bidi="ar"/>
        </w:rPr>
        <w:t>pink for Pi-Alkyl.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9" name="图片 9" descr="Fig.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. 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kern w:val="0"/>
          <w:sz w:val="18"/>
          <w:szCs w:val="18"/>
          <w:lang w:eastAsia="zh-CN"/>
        </w:rPr>
        <w:t>Fig.</w:t>
      </w:r>
      <w:r>
        <w:rPr>
          <w:rFonts w:ascii="Times New Roman" w:hAnsi="Times New Roman"/>
          <w:b/>
          <w:bCs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/>
          <w:b/>
          <w:bCs/>
          <w:kern w:val="0"/>
          <w:sz w:val="18"/>
          <w:szCs w:val="18"/>
          <w:lang w:eastAsia="zh-Hans"/>
        </w:rPr>
        <w:t>S</w:t>
      </w:r>
      <w:r>
        <w:rPr>
          <w:rFonts w:ascii="Times New Roman" w:hAnsi="Times New Roman"/>
          <w:b/>
          <w:bCs/>
          <w:kern w:val="0"/>
          <w:sz w:val="18"/>
          <w:szCs w:val="18"/>
          <w:lang w:eastAsia="zh-Hans"/>
        </w:rPr>
        <w:t>9</w:t>
      </w:r>
      <w:r>
        <w:rPr>
          <w:rFonts w:ascii="Times New Roman" w:hAnsi="Times New Roman"/>
          <w:kern w:val="0"/>
          <w:sz w:val="18"/>
          <w:szCs w:val="18"/>
        </w:rPr>
        <w:t xml:space="preserve"> The helicity of SP HR1 </w:t>
      </w:r>
      <w:r>
        <w:rPr>
          <w:rFonts w:hint="eastAsia" w:ascii="Times New Roman" w:hAnsi="Times New Roman"/>
          <w:kern w:val="0"/>
          <w:sz w:val="18"/>
          <w:szCs w:val="18"/>
          <w:lang w:eastAsia="zh-Hans"/>
        </w:rPr>
        <w:t>in</w:t>
      </w:r>
      <w:r>
        <w:rPr>
          <w:rFonts w:ascii="Times New Roman" w:hAnsi="Times New Roman"/>
          <w:kern w:val="0"/>
          <w:sz w:val="18"/>
          <w:szCs w:val="18"/>
          <w:lang w:eastAsia="zh-Hans"/>
        </w:rPr>
        <w:t xml:space="preserve"> </w:t>
      </w:r>
      <w:r>
        <w:rPr>
          <w:rFonts w:hint="eastAsia" w:ascii="Times New Roman" w:hAnsi="Times New Roman"/>
          <w:kern w:val="0"/>
          <w:sz w:val="18"/>
          <w:szCs w:val="18"/>
          <w:lang w:eastAsia="zh-Hans"/>
        </w:rPr>
        <w:t>the</w:t>
      </w:r>
      <w:r>
        <w:rPr>
          <w:rFonts w:ascii="Times New Roman" w:hAnsi="Times New Roman"/>
          <w:kern w:val="0"/>
          <w:sz w:val="18"/>
          <w:szCs w:val="18"/>
          <w:lang w:eastAsia="zh-Hans"/>
        </w:rPr>
        <w:t xml:space="preserve"> WT_TMPRSS2, Delta_TMPRSS2, Mu_TMPRSS2 and Omicron_TMPRSS2 </w:t>
      </w:r>
      <w:r>
        <w:rPr>
          <w:rFonts w:ascii="Times New Roman" w:hAnsi="Times New Roman"/>
          <w:kern w:val="0"/>
          <w:sz w:val="18"/>
          <w:szCs w:val="18"/>
        </w:rPr>
        <w:t>systems.</w:t>
      </w:r>
      <w:r>
        <w:rPr>
          <w:rFonts w:ascii="Times New Roman" w:hAnsi="Times New Roman"/>
          <w:sz w:val="18"/>
          <w:szCs w:val="1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/>
        </w:rPr>
      </w:pPr>
      <w:r>
        <w:rPr>
          <w:rFonts w:hint="eastAsia" w:ascii="Times New Roman" w:hAnsi="Times New Roman" w:eastAsia="等线"/>
          <w:sz w:val="18"/>
          <w:szCs w:val="18"/>
          <w:lang w:eastAsia="zh-CN"/>
        </w:rPr>
        <w:drawing>
          <wp:inline distT="0" distB="0" distL="114300" distR="114300">
            <wp:extent cx="5273675" cy="3100705"/>
            <wp:effectExtent l="0" t="0" r="9525" b="10795"/>
            <wp:docPr id="10" name="图片 10" descr="Fig.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. S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/>
        </w:rPr>
        <w:t>Fig.</w:t>
      </w:r>
      <w:r>
        <w:rPr>
          <w:rFonts w:ascii="Times New Roman" w:hAnsi="Times New Roman"/>
          <w:b/>
          <w:bCs/>
          <w:sz w:val="18"/>
          <w:szCs w:val="18"/>
        </w:rPr>
        <w:t xml:space="preserve"> S10 </w:t>
      </w:r>
      <w:r>
        <w:rPr>
          <w:rFonts w:ascii="Times New Roman" w:hAnsi="Times New Roman"/>
          <w:sz w:val="18"/>
          <w:szCs w:val="18"/>
        </w:rPr>
        <w:t>The buried area in the WT_</w:t>
      </w:r>
      <w:r>
        <w:rPr>
          <w:rFonts w:ascii="Times New Roman" w:hAnsi="Times New Roman"/>
          <w:sz w:val="18"/>
          <w:szCs w:val="18"/>
          <w:lang w:eastAsia="zh-Hans"/>
        </w:rPr>
        <w:t>C121</w:t>
      </w:r>
      <w:r>
        <w:rPr>
          <w:rFonts w:ascii="Times New Roman" w:hAnsi="Times New Roman"/>
          <w:sz w:val="18"/>
          <w:szCs w:val="18"/>
        </w:rPr>
        <w:t>, Delta_</w:t>
      </w:r>
      <w:r>
        <w:rPr>
          <w:rFonts w:ascii="Times New Roman" w:hAnsi="Times New Roman"/>
          <w:sz w:val="18"/>
          <w:szCs w:val="18"/>
          <w:lang w:eastAsia="zh-Hans"/>
        </w:rPr>
        <w:t>C121</w:t>
      </w:r>
      <w:r>
        <w:rPr>
          <w:rFonts w:ascii="Times New Roman" w:hAnsi="Times New Roman"/>
          <w:sz w:val="18"/>
          <w:szCs w:val="18"/>
        </w:rPr>
        <w:t>, Mu_ C121 and Omicron_C121 systems, respectively represented by blue, purple, red and green. The unit of buried area data is Å</w:t>
      </w:r>
      <w:r>
        <w:rPr>
          <w:rFonts w:ascii="Times New Roman" w:hAnsi="Times New Roman"/>
          <w:sz w:val="18"/>
          <w:szCs w:val="18"/>
          <w:vertAlign w:val="superscript"/>
        </w:rPr>
        <w:t>2</w:t>
      </w:r>
      <w:r>
        <w:rPr>
          <w:rFonts w:ascii="Times New Roman" w:hAnsi="Times New Roman"/>
          <w:sz w:val="18"/>
          <w:szCs w:val="18"/>
        </w:rPr>
        <w:t xml:space="preserve">. The mutated residues are shown in red, while black bold </w:t>
      </w:r>
      <w:r>
        <w:rPr>
          <w:rFonts w:ascii="Times New Roman" w:hAnsi="Times New Roman"/>
          <w:sz w:val="18"/>
          <w:szCs w:val="18"/>
          <w:lang w:eastAsia="zh-Hans"/>
        </w:rPr>
        <w:t>is</w:t>
      </w:r>
      <w:r>
        <w:rPr>
          <w:rFonts w:ascii="Times New Roman" w:hAnsi="Times New Roman"/>
          <w:sz w:val="18"/>
          <w:szCs w:val="18"/>
        </w:rPr>
        <w:t xml:space="preserve"> used to represent residues occurring at l</w:t>
      </w:r>
      <w:r>
        <w:rPr>
          <w:rFonts w:ascii="Times New Roman" w:hAnsi="Times New Roman"/>
          <w:sz w:val="18"/>
          <w:szCs w:val="18"/>
          <w:lang w:eastAsia="zh-Hans"/>
        </w:rPr>
        <w:t xml:space="preserve">ow </w:t>
      </w:r>
      <w:r>
        <w:rPr>
          <w:rFonts w:ascii="Times New Roman" w:hAnsi="Times New Roman"/>
          <w:sz w:val="18"/>
          <w:szCs w:val="18"/>
        </w:rPr>
        <w:t>frequen</w:t>
      </w:r>
      <w:r>
        <w:rPr>
          <w:rFonts w:ascii="Times New Roman" w:hAnsi="Times New Roman"/>
          <w:sz w:val="18"/>
          <w:szCs w:val="18"/>
          <w:lang w:eastAsia="zh-Hans"/>
        </w:rPr>
        <w:t>cies</w:t>
      </w:r>
      <w:r>
        <w:rPr>
          <w:rFonts w:ascii="Times New Roman" w:hAnsi="Times New Roman"/>
          <w:sz w:val="18"/>
          <w:szCs w:val="18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等线"/>
          <w:sz w:val="18"/>
          <w:szCs w:val="18"/>
          <w:lang w:eastAsia="zh-CN"/>
        </w:rPr>
      </w:pPr>
      <w:bookmarkStart w:id="4" w:name="_GoBack"/>
      <w:r>
        <w:rPr>
          <w:rFonts w:hint="eastAsia" w:ascii="Times New Roman" w:hAnsi="Times New Roman" w:eastAsia="等线"/>
          <w:sz w:val="18"/>
          <w:szCs w:val="18"/>
          <w:lang w:eastAsia="zh-CN"/>
        </w:rPr>
        <w:drawing>
          <wp:inline distT="0" distB="0" distL="114300" distR="114300">
            <wp:extent cx="5043170" cy="2338705"/>
            <wp:effectExtent l="0" t="0" r="11430" b="10795"/>
            <wp:docPr id="11" name="图片 11" descr="Fig.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. S11"/>
                    <pic:cNvPicPr>
                      <a:picLocks noChangeAspect="1"/>
                    </pic:cNvPicPr>
                  </pic:nvPicPr>
                  <pic:blipFill>
                    <a:blip r:embed="rId14"/>
                    <a:srcRect t="6512" r="4371" b="18063"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  <w:lang w:bidi="ar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 w:bidi="ar"/>
        </w:rPr>
        <w:t>Fig.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  <w:lang w:eastAsia="zh-Hans" w:bidi="ar"/>
        </w:rPr>
        <w:t>S</w:t>
      </w:r>
      <w:r>
        <w:rPr>
          <w:rFonts w:ascii="Times New Roman" w:hAnsi="Times New Roman"/>
          <w:b/>
          <w:bCs/>
          <w:sz w:val="18"/>
          <w:szCs w:val="18"/>
          <w:lang w:bidi="ar"/>
        </w:rPr>
        <w:t xml:space="preserve">11 </w:t>
      </w:r>
      <w:r>
        <w:rPr>
          <w:rFonts w:ascii="Times New Roman" w:hAnsi="Times New Roman"/>
          <w:sz w:val="18"/>
          <w:szCs w:val="18"/>
          <w:lang w:bidi="ar"/>
        </w:rPr>
        <w:t xml:space="preserve">Prediction of binding free energy of SP trimer to </w:t>
      </w:r>
      <w:r>
        <w:rPr>
          <w:rFonts w:ascii="Times New Roman" w:hAnsi="Times New Roman"/>
          <w:sz w:val="18"/>
          <w:szCs w:val="18"/>
          <w:lang w:eastAsia="zh-Hans" w:bidi="ar"/>
        </w:rPr>
        <w:t>antibody C121</w:t>
      </w:r>
      <w:r>
        <w:rPr>
          <w:rFonts w:ascii="Times New Roman" w:hAnsi="Times New Roman"/>
          <w:sz w:val="18"/>
          <w:szCs w:val="18"/>
          <w:lang w:bidi="ar"/>
        </w:rPr>
        <w:t>, as well as the determination of key residues. (A) Comparison of binding free energies; (B) three main clusters obtained from energy contributions of the key residues.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等线"/>
          <w:sz w:val="18"/>
          <w:szCs w:val="18"/>
          <w:lang w:eastAsia="zh-CN" w:bidi="ar"/>
        </w:rPr>
      </w:pPr>
      <w:r>
        <w:rPr>
          <w:rFonts w:hint="eastAsia" w:ascii="Times New Roman" w:hAnsi="Times New Roman" w:eastAsia="等线"/>
          <w:sz w:val="18"/>
          <w:szCs w:val="18"/>
          <w:lang w:eastAsia="zh-CN" w:bidi="ar"/>
        </w:rPr>
        <w:drawing>
          <wp:inline distT="0" distB="0" distL="114300" distR="114300">
            <wp:extent cx="5273675" cy="3100705"/>
            <wp:effectExtent l="0" t="0" r="9525" b="10795"/>
            <wp:docPr id="12" name="图片 12" descr="Fig.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 S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sz w:val="18"/>
          <w:szCs w:val="18"/>
          <w:lang w:eastAsia="zh-CN"/>
        </w:rPr>
        <w:t>Fig.</w:t>
      </w:r>
      <w:r>
        <w:rPr>
          <w:rFonts w:ascii="Times New Roman" w:hAnsi="Times New Roman"/>
          <w:b/>
          <w:bCs/>
          <w:sz w:val="18"/>
          <w:szCs w:val="18"/>
        </w:rPr>
        <w:t xml:space="preserve"> S12 </w:t>
      </w:r>
      <w:r>
        <w:rPr>
          <w:rFonts w:ascii="Times New Roman" w:hAnsi="Times New Roman"/>
          <w:sz w:val="18"/>
          <w:szCs w:val="18"/>
        </w:rPr>
        <w:t xml:space="preserve">The key residues of interaction interfaces of SP_C121, where the mutated residues are indicated in red. </w:t>
      </w:r>
      <w:r>
        <w:rPr>
          <w:rFonts w:hint="eastAsia" w:ascii="Times New Roman" w:hAnsi="Times New Roman"/>
          <w:sz w:val="18"/>
          <w:szCs w:val="18"/>
        </w:rPr>
        <w:t xml:space="preserve">The sphere model is used to indicate </w:t>
      </w:r>
      <w:r>
        <w:rPr>
          <w:rFonts w:ascii="Times New Roman" w:hAnsi="Times New Roman"/>
          <w:sz w:val="18"/>
          <w:szCs w:val="18"/>
        </w:rPr>
        <w:t>C121</w:t>
      </w:r>
      <w:r>
        <w:rPr>
          <w:rFonts w:hint="eastAsia" w:ascii="Times New Roman" w:hAnsi="Times New Roman"/>
          <w:sz w:val="18"/>
          <w:szCs w:val="18"/>
        </w:rPr>
        <w:t xml:space="preserve"> residues that interact with SP, with different colors representing key nonbonded forces: green for hydrogen bond, red for Pi-Pi stacking, pink for Pi-Alkyl.</w:t>
      </w:r>
    </w:p>
    <w:p>
      <w:pPr>
        <w:widowControl/>
        <w:adjustRightInd w:val="0"/>
        <w:snapToGrid w:val="0"/>
        <w:rPr>
          <w:rFonts w:ascii="Times New Roman" w:hAnsi="Times New Roman"/>
          <w:b/>
          <w:bCs/>
          <w:sz w:val="18"/>
          <w:szCs w:val="18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harisSI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harisSIL-Itali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mQ0ZWI2ODhjMTVjNTlmMGI3NzQyNjczZmY0ZjgifQ=="/>
  </w:docVars>
  <w:rsids>
    <w:rsidRoot w:val="1EFC5D50"/>
    <w:rsid w:val="11C72224"/>
    <w:rsid w:val="1EFC5D50"/>
    <w:rsid w:val="27C748D4"/>
    <w:rsid w:val="37EC6295"/>
    <w:rsid w:val="530D6D8F"/>
    <w:rsid w:val="54EB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hint="eastAsia"/>
      <w:kern w:val="0"/>
      <w:sz w:val="24"/>
    </w:rPr>
  </w:style>
  <w:style w:type="character" w:styleId="5">
    <w:name w:val="page number"/>
    <w:basedOn w:val="4"/>
    <w:qFormat/>
    <w:uiPriority w:val="0"/>
    <w:rPr>
      <w:rFonts w:ascii="Times New Roman" w:hAnsi="Times New Roman" w:eastAsia="Times New Roman"/>
      <w:sz w:val="17"/>
      <w:szCs w:val="17"/>
    </w:rPr>
  </w:style>
  <w:style w:type="paragraph" w:customStyle="1" w:styleId="6">
    <w:name w:val="MDPI_1.3_authornames"/>
    <w:basedOn w:val="1"/>
    <w:next w:val="1"/>
    <w:qFormat/>
    <w:uiPriority w:val="0"/>
    <w:pPr>
      <w:widowControl/>
      <w:adjustRightInd w:val="0"/>
      <w:snapToGrid w:val="0"/>
      <w:spacing w:after="120" w:line="260" w:lineRule="atLeast"/>
      <w:jc w:val="left"/>
    </w:pPr>
    <w:rPr>
      <w:rFonts w:ascii="Palatino Linotype" w:hAnsi="Palatino Linotype" w:eastAsia="Times New Roman"/>
      <w:b/>
      <w:color w:val="000000"/>
      <w:kern w:val="0"/>
      <w:sz w:val="20"/>
      <w:lang w:eastAsia="de-DE" w:bidi="en-US"/>
    </w:rPr>
  </w:style>
  <w:style w:type="character" w:customStyle="1" w:styleId="7">
    <w:name w:val="fontstyle01"/>
    <w:basedOn w:val="4"/>
    <w:qFormat/>
    <w:uiPriority w:val="0"/>
    <w:rPr>
      <w:rFonts w:hint="default" w:ascii="CharisSIL" w:hAnsi="CharisSIL"/>
      <w:color w:val="000000"/>
      <w:sz w:val="22"/>
      <w:szCs w:val="22"/>
    </w:rPr>
  </w:style>
  <w:style w:type="character" w:customStyle="1" w:styleId="8">
    <w:name w:val="fontstyle21"/>
    <w:basedOn w:val="4"/>
    <w:qFormat/>
    <w:uiPriority w:val="0"/>
    <w:rPr>
      <w:rFonts w:hint="default" w:ascii="CharisSIL-Italic" w:hAnsi="CharisSIL-Italic"/>
      <w:i/>
      <w:iCs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597</Words>
  <Characters>3284</Characters>
  <Lines>0</Lines>
  <Paragraphs>0</Paragraphs>
  <TotalTime>0</TotalTime>
  <ScaleCrop>false</ScaleCrop>
  <LinksUpToDate>false</LinksUpToDate>
  <CharactersWithSpaces>3863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2022-10-10T11:02:00Z</dcterms:created>
  <dc:creator>不可不知</dc:creator>
  <cp:lastModifiedBy>不可不知</cp:lastModifiedBy>
  <dcterms:modified xsi:type="dcterms:W3CDTF">2022-10-10T12:54:08Z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0DCCF7DF43544C56AB0F8D1AC36F04B0</vt:lpwstr>
  </property>
</Properties>
</file>