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E312E8" w14:textId="1526B849" w:rsidR="00B23CBA" w:rsidRDefault="00B23CBA" w:rsidP="00B23CBA">
      <w:pPr>
        <w:jc w:val="both"/>
        <w:rPr>
          <w:b/>
          <w:sz w:val="20"/>
          <w:szCs w:val="20"/>
          <w:u w:val="single"/>
        </w:rPr>
      </w:pPr>
      <w:r w:rsidRPr="002440C7">
        <w:rPr>
          <w:b/>
          <w:sz w:val="20"/>
          <w:szCs w:val="20"/>
          <w:u w:val="single"/>
        </w:rPr>
        <w:t>S2 List of excluded studies along with reasons for exclusion</w:t>
      </w:r>
    </w:p>
    <w:p w14:paraId="0978849E" w14:textId="023FFC21" w:rsidR="00042E44" w:rsidRPr="00042E44" w:rsidRDefault="00042E44" w:rsidP="00B23CBA">
      <w:pPr>
        <w:jc w:val="both"/>
        <w:rPr>
          <w:sz w:val="16"/>
          <w:szCs w:val="16"/>
          <w:u w:val="single"/>
        </w:rPr>
      </w:pPr>
      <w:r w:rsidRPr="00042E44">
        <w:rPr>
          <w:sz w:val="16"/>
          <w:szCs w:val="16"/>
          <w:u w:val="single"/>
        </w:rPr>
        <w:t>Final PICO-based (Population, Intervention, Comparison, Outcome) taxonomy of reasons used to exclude articles from systematic reviews. N = not a PICO-based exclusion reason.</w:t>
      </w:r>
    </w:p>
    <w:tbl>
      <w:tblPr>
        <w:tblStyle w:val="TableGrid"/>
        <w:tblW w:w="13887" w:type="dxa"/>
        <w:tblLook w:val="04A0" w:firstRow="1" w:lastRow="0" w:firstColumn="1" w:lastColumn="0" w:noHBand="0" w:noVBand="1"/>
      </w:tblPr>
      <w:tblGrid>
        <w:gridCol w:w="761"/>
        <w:gridCol w:w="2210"/>
        <w:gridCol w:w="1181"/>
        <w:gridCol w:w="1989"/>
        <w:gridCol w:w="2539"/>
        <w:gridCol w:w="5207"/>
      </w:tblGrid>
      <w:tr w:rsidR="00B23CBA" w14:paraId="7D0B4FB7" w14:textId="77777777" w:rsidTr="00212DCE">
        <w:trPr>
          <w:tblHeader/>
        </w:trPr>
        <w:tc>
          <w:tcPr>
            <w:tcW w:w="761" w:type="dxa"/>
            <w:shd w:val="clear" w:color="auto" w:fill="A6A6A6" w:themeFill="background1" w:themeFillShade="A6"/>
          </w:tcPr>
          <w:p w14:paraId="3A67BE98" w14:textId="77777777" w:rsidR="00B23CBA" w:rsidRPr="00EE65F7" w:rsidRDefault="00B23CBA" w:rsidP="00566923">
            <w:pPr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 xml:space="preserve">Number </w:t>
            </w:r>
          </w:p>
        </w:tc>
        <w:tc>
          <w:tcPr>
            <w:tcW w:w="2210" w:type="dxa"/>
            <w:shd w:val="clear" w:color="auto" w:fill="A6A6A6" w:themeFill="background1" w:themeFillShade="A6"/>
          </w:tcPr>
          <w:p w14:paraId="3907AB08" w14:textId="77777777" w:rsidR="00B23CBA" w:rsidRPr="00EE65F7" w:rsidRDefault="00B23CBA" w:rsidP="00566923">
            <w:pPr>
              <w:rPr>
                <w:rFonts w:cstheme="minorHAnsi"/>
                <w:b/>
                <w:sz w:val="16"/>
                <w:szCs w:val="16"/>
              </w:rPr>
            </w:pPr>
            <w:r w:rsidRPr="00EE65F7">
              <w:rPr>
                <w:rFonts w:cstheme="minorHAnsi"/>
                <w:b/>
                <w:sz w:val="16"/>
                <w:szCs w:val="16"/>
              </w:rPr>
              <w:t xml:space="preserve">Author </w:t>
            </w:r>
          </w:p>
        </w:tc>
        <w:tc>
          <w:tcPr>
            <w:tcW w:w="1181" w:type="dxa"/>
            <w:shd w:val="clear" w:color="auto" w:fill="A6A6A6" w:themeFill="background1" w:themeFillShade="A6"/>
          </w:tcPr>
          <w:p w14:paraId="76391544" w14:textId="77777777" w:rsidR="00B23CBA" w:rsidRPr="00EE65F7" w:rsidRDefault="00B23CBA" w:rsidP="00566923">
            <w:pPr>
              <w:rPr>
                <w:rFonts w:cstheme="minorHAnsi"/>
                <w:b/>
                <w:sz w:val="16"/>
                <w:szCs w:val="16"/>
              </w:rPr>
            </w:pPr>
            <w:r w:rsidRPr="00EE65F7">
              <w:rPr>
                <w:rFonts w:cstheme="minorHAnsi"/>
                <w:b/>
                <w:sz w:val="16"/>
                <w:szCs w:val="16"/>
              </w:rPr>
              <w:t xml:space="preserve">Country of Origin </w:t>
            </w:r>
          </w:p>
        </w:tc>
        <w:tc>
          <w:tcPr>
            <w:tcW w:w="1989" w:type="dxa"/>
            <w:shd w:val="clear" w:color="auto" w:fill="A6A6A6" w:themeFill="background1" w:themeFillShade="A6"/>
          </w:tcPr>
          <w:p w14:paraId="06F1B6DC" w14:textId="77777777" w:rsidR="00B23CBA" w:rsidRPr="00EE65F7" w:rsidRDefault="00B23CBA" w:rsidP="00566923">
            <w:pPr>
              <w:rPr>
                <w:rFonts w:cstheme="minorHAnsi"/>
                <w:b/>
                <w:sz w:val="16"/>
                <w:szCs w:val="16"/>
              </w:rPr>
            </w:pPr>
            <w:r w:rsidRPr="00EE65F7">
              <w:rPr>
                <w:rFonts w:cstheme="minorHAnsi"/>
                <w:b/>
                <w:sz w:val="16"/>
                <w:szCs w:val="16"/>
              </w:rPr>
              <w:t xml:space="preserve">Study Title </w:t>
            </w:r>
          </w:p>
        </w:tc>
        <w:tc>
          <w:tcPr>
            <w:tcW w:w="2539" w:type="dxa"/>
            <w:shd w:val="clear" w:color="auto" w:fill="A6A6A6" w:themeFill="background1" w:themeFillShade="A6"/>
          </w:tcPr>
          <w:p w14:paraId="0200D1CB" w14:textId="77777777" w:rsidR="00B23CBA" w:rsidRPr="00EE65F7" w:rsidRDefault="00B23CBA" w:rsidP="00566923">
            <w:pPr>
              <w:rPr>
                <w:rFonts w:cstheme="minorHAnsi"/>
                <w:b/>
                <w:sz w:val="16"/>
                <w:szCs w:val="16"/>
              </w:rPr>
            </w:pPr>
            <w:r w:rsidRPr="00EE65F7">
              <w:rPr>
                <w:rFonts w:cstheme="minorHAnsi"/>
                <w:b/>
                <w:sz w:val="16"/>
                <w:szCs w:val="16"/>
              </w:rPr>
              <w:t xml:space="preserve">Aim of the study </w:t>
            </w:r>
          </w:p>
        </w:tc>
        <w:tc>
          <w:tcPr>
            <w:tcW w:w="5207" w:type="dxa"/>
            <w:shd w:val="clear" w:color="auto" w:fill="A6A6A6" w:themeFill="background1" w:themeFillShade="A6"/>
          </w:tcPr>
          <w:p w14:paraId="747D113D" w14:textId="77777777" w:rsidR="00B23CBA" w:rsidRPr="00EE65F7" w:rsidRDefault="00B23CBA" w:rsidP="00566923">
            <w:pPr>
              <w:rPr>
                <w:rFonts w:cstheme="minorHAnsi"/>
                <w:b/>
                <w:sz w:val="16"/>
                <w:szCs w:val="16"/>
              </w:rPr>
            </w:pPr>
            <w:r w:rsidRPr="00EE65F7">
              <w:rPr>
                <w:rFonts w:cstheme="minorHAnsi"/>
                <w:b/>
                <w:sz w:val="16"/>
                <w:szCs w:val="16"/>
              </w:rPr>
              <w:t xml:space="preserve">Reason for Exclusion </w:t>
            </w:r>
          </w:p>
        </w:tc>
      </w:tr>
      <w:tr w:rsidR="00B23CBA" w14:paraId="7F8FC138" w14:textId="77777777" w:rsidTr="00212DCE">
        <w:trPr>
          <w:trHeight w:val="159"/>
        </w:trPr>
        <w:tc>
          <w:tcPr>
            <w:tcW w:w="761" w:type="dxa"/>
          </w:tcPr>
          <w:p w14:paraId="35FE084E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2210" w:type="dxa"/>
          </w:tcPr>
          <w:p w14:paraId="6D9176A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Adams B (2015)</w:t>
            </w:r>
          </w:p>
        </w:tc>
        <w:tc>
          <w:tcPr>
            <w:tcW w:w="1181" w:type="dxa"/>
          </w:tcPr>
          <w:p w14:paraId="0082724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27663CC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NHS Alliance: the evolution of primary care: </w:t>
            </w:r>
          </w:p>
        </w:tc>
        <w:tc>
          <w:tcPr>
            <w:tcW w:w="2539" w:type="dxa"/>
          </w:tcPr>
          <w:p w14:paraId="18372A6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This paper highlighted the NHS Alliance conference, which focused on pharmacist integration and GP work burden. </w:t>
            </w:r>
          </w:p>
        </w:tc>
        <w:tc>
          <w:tcPr>
            <w:tcW w:w="5207" w:type="dxa"/>
          </w:tcPr>
          <w:p w14:paraId="1761F9DD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This was a commentary.</w:t>
            </w:r>
          </w:p>
          <w:p w14:paraId="24BB3F9B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3E83F4DD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6755926B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58DF0A02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1C6C1731" w14:textId="77777777" w:rsidTr="00212DCE">
        <w:trPr>
          <w:trHeight w:val="159"/>
        </w:trPr>
        <w:tc>
          <w:tcPr>
            <w:tcW w:w="761" w:type="dxa"/>
          </w:tcPr>
          <w:p w14:paraId="48F4810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2210" w:type="dxa"/>
          </w:tcPr>
          <w:p w14:paraId="67068A6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Agyapong, V. I., et al. (2011)</w:t>
            </w:r>
          </w:p>
        </w:tc>
        <w:tc>
          <w:tcPr>
            <w:tcW w:w="1181" w:type="dxa"/>
          </w:tcPr>
          <w:p w14:paraId="00F9BA9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Ireland </w:t>
            </w:r>
          </w:p>
        </w:tc>
        <w:tc>
          <w:tcPr>
            <w:tcW w:w="1989" w:type="dxa"/>
          </w:tcPr>
          <w:p w14:paraId="0776F1E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 between specialized psychiatric services and primary care: the experiences and expectations of consultant psychiatrists in Ireland</w:t>
            </w:r>
          </w:p>
        </w:tc>
        <w:tc>
          <w:tcPr>
            <w:tcW w:w="2539" w:type="dxa"/>
          </w:tcPr>
          <w:p w14:paraId="792B826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explores the views of consultant psychiatrists in Ireland on shared care between specialized psychiatric services and primary care for patients with mental health difficulties.</w:t>
            </w:r>
          </w:p>
        </w:tc>
        <w:tc>
          <w:tcPr>
            <w:tcW w:w="5207" w:type="dxa"/>
          </w:tcPr>
          <w:p w14:paraId="1536EAC6" w14:textId="3BEB9ED9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 w:rsidR="007F1885">
              <w:rPr>
                <w:rFonts w:cstheme="minorHAnsi"/>
                <w:sz w:val="16"/>
                <w:szCs w:val="16"/>
              </w:rPr>
              <w:t xml:space="preserve">Intervention not delivered by pharmacist in general practice. </w:t>
            </w:r>
          </w:p>
          <w:p w14:paraId="76D96A18" w14:textId="5BFA4820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</w:t>
            </w:r>
            <w:r w:rsidR="00CE0EC4" w:rsidRPr="00CE0EC4">
              <w:rPr>
                <w:rFonts w:cstheme="minorHAnsi"/>
                <w:sz w:val="16"/>
                <w:szCs w:val="16"/>
              </w:rPr>
              <w:t xml:space="preserve">ecified in the review criteria </w:t>
            </w:r>
          </w:p>
          <w:p w14:paraId="0DC81574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4FEBCAFF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23D779E5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1F4776DF" w14:textId="77777777" w:rsidTr="00212DCE">
        <w:trPr>
          <w:trHeight w:val="159"/>
        </w:trPr>
        <w:tc>
          <w:tcPr>
            <w:tcW w:w="761" w:type="dxa"/>
          </w:tcPr>
          <w:p w14:paraId="79C273D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2210" w:type="dxa"/>
          </w:tcPr>
          <w:p w14:paraId="33E2CC0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Al-Alawi, K., et al. (2019)</w:t>
            </w:r>
          </w:p>
        </w:tc>
        <w:tc>
          <w:tcPr>
            <w:tcW w:w="1181" w:type="dxa"/>
          </w:tcPr>
          <w:p w14:paraId="1EBB23E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Oman </w:t>
            </w:r>
          </w:p>
        </w:tc>
        <w:tc>
          <w:tcPr>
            <w:tcW w:w="1989" w:type="dxa"/>
          </w:tcPr>
          <w:p w14:paraId="0C5D4790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Care providers' perceptions towards challenges and opportunities for service improvement at diabetes management clinics in public primary health care in Muscat, Oman: a qualitative study.</w:t>
            </w:r>
          </w:p>
        </w:tc>
        <w:tc>
          <w:tcPr>
            <w:tcW w:w="2539" w:type="dxa"/>
          </w:tcPr>
          <w:p w14:paraId="718F0F5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explore challenges and discuss opportunities for improvement of diabetes management clinics in primary health care centres in Oman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184C6702" w14:textId="7E9D7EC6" w:rsidR="00B23CBA" w:rsidRPr="00CE0EC4" w:rsidRDefault="007F1885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46186881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  <w:p w14:paraId="316E0038" w14:textId="2339206F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 w:rsidR="007F1885"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640B38A3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  <w:p w14:paraId="1D88AC52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7FC7AB17" w14:textId="77777777" w:rsidTr="00212DCE">
        <w:trPr>
          <w:trHeight w:val="159"/>
        </w:trPr>
        <w:tc>
          <w:tcPr>
            <w:tcW w:w="761" w:type="dxa"/>
          </w:tcPr>
          <w:p w14:paraId="13A7FB8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2210" w:type="dxa"/>
          </w:tcPr>
          <w:p w14:paraId="2E68BAC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Alhabib, S., et al. (2016)</w:t>
            </w:r>
          </w:p>
        </w:tc>
        <w:tc>
          <w:tcPr>
            <w:tcW w:w="1181" w:type="dxa"/>
          </w:tcPr>
          <w:p w14:paraId="02D1B372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Saudia Arabia </w:t>
            </w:r>
          </w:p>
        </w:tc>
        <w:tc>
          <w:tcPr>
            <w:tcW w:w="1989" w:type="dxa"/>
          </w:tcPr>
          <w:p w14:paraId="41DDBF6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An evolving role of clinical pharmacists in managing diabetes: Evidence from the literature</w:t>
            </w:r>
          </w:p>
        </w:tc>
        <w:tc>
          <w:tcPr>
            <w:tcW w:w="2539" w:type="dxa"/>
          </w:tcPr>
          <w:p w14:paraId="7304CBF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This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is a narra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tive review of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the evidence of the role of clinical pharmacists in managing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diabetic patient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3CA86FF8" w14:textId="77777777" w:rsidR="007F1885" w:rsidRPr="00CE0EC4" w:rsidRDefault="007F1885" w:rsidP="007F1885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24DC55E3" w14:textId="77777777" w:rsidR="007F1885" w:rsidRPr="00CE0EC4" w:rsidRDefault="007F1885" w:rsidP="007F1885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  <w:p w14:paraId="20B5F6BE" w14:textId="2D129344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6D99B6F3" w14:textId="77777777" w:rsidTr="00212DCE">
        <w:trPr>
          <w:trHeight w:val="159"/>
        </w:trPr>
        <w:tc>
          <w:tcPr>
            <w:tcW w:w="761" w:type="dxa"/>
          </w:tcPr>
          <w:p w14:paraId="29FB89E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2210" w:type="dxa"/>
          </w:tcPr>
          <w:p w14:paraId="31E6B9E3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Ali, S</w:t>
            </w:r>
            <w:r>
              <w:rPr>
                <w:rFonts w:cstheme="minorHAnsi"/>
                <w:sz w:val="16"/>
                <w:szCs w:val="16"/>
              </w:rPr>
              <w:t>., et al. (2013)</w:t>
            </w:r>
          </w:p>
        </w:tc>
        <w:tc>
          <w:tcPr>
            <w:tcW w:w="1181" w:type="dxa"/>
          </w:tcPr>
          <w:p w14:paraId="7B76182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United States of America </w:t>
            </w:r>
          </w:p>
        </w:tc>
        <w:tc>
          <w:tcPr>
            <w:tcW w:w="1989" w:type="dxa"/>
          </w:tcPr>
          <w:p w14:paraId="7C8A409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Psychiatric providers' willingness to participate in shared decision-making</w:t>
            </w:r>
            <w:r>
              <w:rPr>
                <w:rFonts w:cstheme="minorHAnsi"/>
                <w:sz w:val="16"/>
                <w:szCs w:val="16"/>
              </w:rPr>
              <w:t xml:space="preserve"> (SDM)</w:t>
            </w:r>
            <w:r w:rsidRPr="00EE65F7">
              <w:rPr>
                <w:rFonts w:cstheme="minorHAnsi"/>
                <w:sz w:val="16"/>
                <w:szCs w:val="16"/>
              </w:rPr>
              <w:t xml:space="preserve"> when prescribing psychotropic medications.</w:t>
            </w:r>
          </w:p>
        </w:tc>
        <w:tc>
          <w:tcPr>
            <w:tcW w:w="2539" w:type="dxa"/>
          </w:tcPr>
          <w:p w14:paraId="5EDD2E1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This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aims to determine psychiatric providers’ willingness to engage in SDM and factors that influence willingness.</w:t>
            </w:r>
          </w:p>
          <w:p w14:paraId="663DC93F" w14:textId="77777777" w:rsidR="00B23CBA" w:rsidRPr="00EE65F7" w:rsidRDefault="00B23CBA" w:rsidP="00566923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207" w:type="dxa"/>
          </w:tcPr>
          <w:p w14:paraId="45BD4FBF" w14:textId="77777777" w:rsidR="007F1885" w:rsidRPr="00CE0EC4" w:rsidRDefault="007F1885" w:rsidP="007F1885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0AA936A5" w14:textId="77777777" w:rsidR="007F1885" w:rsidRPr="00CE0EC4" w:rsidRDefault="007F1885" w:rsidP="007F1885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  <w:p w14:paraId="18A20CC5" w14:textId="77777777" w:rsidR="007F1885" w:rsidRPr="00CE0EC4" w:rsidRDefault="007F1885" w:rsidP="007F1885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23C23C8D" w14:textId="12D1B058" w:rsidR="00B23CBA" w:rsidRPr="00CE0EC4" w:rsidRDefault="007F1885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</w:tc>
      </w:tr>
      <w:tr w:rsidR="00B23CBA" w14:paraId="029E9005" w14:textId="77777777" w:rsidTr="00212DCE">
        <w:trPr>
          <w:trHeight w:val="1381"/>
        </w:trPr>
        <w:tc>
          <w:tcPr>
            <w:tcW w:w="761" w:type="dxa"/>
          </w:tcPr>
          <w:p w14:paraId="3D0C7E4A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2210" w:type="dxa"/>
          </w:tcPr>
          <w:p w14:paraId="2355BA0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Aljum</w:t>
            </w:r>
            <w:r>
              <w:rPr>
                <w:rFonts w:cstheme="minorHAnsi"/>
                <w:sz w:val="16"/>
                <w:szCs w:val="16"/>
              </w:rPr>
              <w:t>ah, K. and M. A. Hassali (2015)</w:t>
            </w:r>
          </w:p>
        </w:tc>
        <w:tc>
          <w:tcPr>
            <w:tcW w:w="1181" w:type="dxa"/>
          </w:tcPr>
          <w:p w14:paraId="2ACE233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Saudia Arabia </w:t>
            </w:r>
          </w:p>
        </w:tc>
        <w:tc>
          <w:tcPr>
            <w:tcW w:w="1989" w:type="dxa"/>
          </w:tcPr>
          <w:p w14:paraId="4128CC5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Impact of pharmacist intervention on adherence and measurable patient outcomes among depressed patients: a randomised controlled study.</w:t>
            </w:r>
          </w:p>
        </w:tc>
        <w:tc>
          <w:tcPr>
            <w:tcW w:w="2539" w:type="dxa"/>
          </w:tcPr>
          <w:p w14:paraId="55331E22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This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evaluates the effectiveness of shared decision making on pharmacist intervention for improving adherence and patient outcomes, c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ompared with usual care.</w:t>
            </w:r>
          </w:p>
        </w:tc>
        <w:tc>
          <w:tcPr>
            <w:tcW w:w="5207" w:type="dxa"/>
          </w:tcPr>
          <w:p w14:paraId="49516314" w14:textId="77777777" w:rsidR="007F1885" w:rsidRPr="00CE0EC4" w:rsidRDefault="007F1885" w:rsidP="007F1885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005B4ACE" w14:textId="5252D07B" w:rsidR="007F1885" w:rsidRDefault="007F1885" w:rsidP="007F1885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  <w:p w14:paraId="4556371C" w14:textId="16F9987A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wrong design.</w:t>
            </w:r>
          </w:p>
          <w:p w14:paraId="178CFA33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  <w:p w14:paraId="166745E1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12F089EE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30E823FD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54B9610C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66CCF5C7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5FFDCD20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26B32BCE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30B3F3D9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6D57AA4D" w14:textId="77777777" w:rsidTr="00212DCE">
        <w:trPr>
          <w:trHeight w:val="159"/>
        </w:trPr>
        <w:tc>
          <w:tcPr>
            <w:tcW w:w="761" w:type="dxa"/>
          </w:tcPr>
          <w:p w14:paraId="1807CE8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lastRenderedPageBreak/>
              <w:t>7</w:t>
            </w:r>
          </w:p>
        </w:tc>
        <w:tc>
          <w:tcPr>
            <w:tcW w:w="2210" w:type="dxa"/>
          </w:tcPr>
          <w:p w14:paraId="7E8B128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Almunef, M., et al. (2018)</w:t>
            </w:r>
          </w:p>
        </w:tc>
        <w:tc>
          <w:tcPr>
            <w:tcW w:w="1181" w:type="dxa"/>
          </w:tcPr>
          <w:p w14:paraId="3852645D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4BE11AED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Management of chronic illness in young people aged 10-24 years: A systematic review to explore the role of primary care pharmacists.</w:t>
            </w:r>
          </w:p>
        </w:tc>
        <w:tc>
          <w:tcPr>
            <w:tcW w:w="2539" w:type="dxa"/>
          </w:tcPr>
          <w:p w14:paraId="15D2D97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examines the role of primary care pharmacists in the</w:t>
            </w:r>
          </w:p>
          <w:p w14:paraId="54ED0B6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management of chronic illnesses in young people aged 10–24</w:t>
            </w:r>
          </w:p>
          <w:p w14:paraId="24DC886D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years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3B6A950A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Insufficient intervention data. </w:t>
            </w:r>
          </w:p>
          <w:p w14:paraId="02E47980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Intervention was not described in enough detail to determine the study should be included.                                                                         </w:t>
            </w:r>
          </w:p>
          <w:p w14:paraId="1215E750" w14:textId="389CD79A" w:rsidR="00B23CBA" w:rsidRPr="00EE65F7" w:rsidRDefault="00CE0EC4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C: wrong </w:t>
            </w:r>
            <w:r w:rsidR="00B23CBA" w:rsidRPr="00CE0EC4">
              <w:rPr>
                <w:rFonts w:cstheme="minorHAnsi"/>
                <w:sz w:val="16"/>
                <w:szCs w:val="16"/>
              </w:rPr>
              <w:t>design</w:t>
            </w:r>
            <w:r w:rsidRPr="00CE0EC4">
              <w:rPr>
                <w:rFonts w:cstheme="minorHAnsi"/>
                <w:sz w:val="16"/>
                <w:szCs w:val="16"/>
              </w:rPr>
              <w:t xml:space="preserve">.                                                                                                                                             </w:t>
            </w:r>
            <w:r w:rsidR="00B23CBA" w:rsidRPr="00CE0EC4">
              <w:rPr>
                <w:rFonts w:cstheme="minorHAnsi"/>
                <w:sz w:val="16"/>
                <w:szCs w:val="16"/>
              </w:rPr>
              <w:t xml:space="preserve"> The design of the study was not the one desired.</w:t>
            </w:r>
          </w:p>
        </w:tc>
      </w:tr>
      <w:tr w:rsidR="00B23CBA" w14:paraId="2D0E6AD4" w14:textId="77777777" w:rsidTr="00212DCE">
        <w:trPr>
          <w:trHeight w:val="159"/>
        </w:trPr>
        <w:tc>
          <w:tcPr>
            <w:tcW w:w="761" w:type="dxa"/>
          </w:tcPr>
          <w:p w14:paraId="572D2C5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2210" w:type="dxa"/>
          </w:tcPr>
          <w:p w14:paraId="7B0A832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Anderson, K., et al. (2015)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5D55896A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Australia </w:t>
            </w:r>
          </w:p>
        </w:tc>
        <w:tc>
          <w:tcPr>
            <w:tcW w:w="1989" w:type="dxa"/>
          </w:tcPr>
          <w:p w14:paraId="35858E3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Polypharmacy, deprescribing and shared decision-making in primary care: The role of the accredited pharmacist.</w:t>
            </w:r>
          </w:p>
        </w:tc>
        <w:tc>
          <w:tcPr>
            <w:tcW w:w="2539" w:type="dxa"/>
          </w:tcPr>
          <w:p w14:paraId="5FAE6EC2" w14:textId="77777777" w:rsidR="00B23CBA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Commentary: </w:t>
            </w:r>
          </w:p>
          <w:p w14:paraId="41DBF5F2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discusses the role of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pharmacist in supporting deprescribing and reducing polypharmacy. </w:t>
            </w:r>
          </w:p>
        </w:tc>
        <w:tc>
          <w:tcPr>
            <w:tcW w:w="5207" w:type="dxa"/>
          </w:tcPr>
          <w:p w14:paraId="2E772D37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B23CBA" w14:paraId="46AFEE10" w14:textId="77777777" w:rsidTr="00212DCE">
        <w:trPr>
          <w:trHeight w:val="159"/>
        </w:trPr>
        <w:tc>
          <w:tcPr>
            <w:tcW w:w="761" w:type="dxa"/>
          </w:tcPr>
          <w:p w14:paraId="1D25044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2210" w:type="dxa"/>
          </w:tcPr>
          <w:p w14:paraId="3023148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Anonymous </w:t>
            </w:r>
          </w:p>
          <w:p w14:paraId="4CD66F7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 (1994)</w:t>
            </w:r>
          </w:p>
        </w:tc>
        <w:tc>
          <w:tcPr>
            <w:tcW w:w="1181" w:type="dxa"/>
          </w:tcPr>
          <w:p w14:paraId="597F9A9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0F5BB6E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General practitioner/pharmacy interface a local initiative</w:t>
            </w:r>
          </w:p>
        </w:tc>
        <w:tc>
          <w:tcPr>
            <w:tcW w:w="2539" w:type="dxa"/>
          </w:tcPr>
          <w:p w14:paraId="4C84A065" w14:textId="77777777" w:rsidR="00B23CBA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Commentary: </w:t>
            </w:r>
          </w:p>
          <w:p w14:paraId="170A32C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 primary care development officer describes how communication between general practitioners and pharmacists has been improved in Sunderland. </w:t>
            </w:r>
          </w:p>
        </w:tc>
        <w:tc>
          <w:tcPr>
            <w:tcW w:w="5207" w:type="dxa"/>
          </w:tcPr>
          <w:p w14:paraId="7D4B18AA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This was a commentary.</w:t>
            </w:r>
          </w:p>
          <w:p w14:paraId="44FE352F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674B16A0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6389A79F" w14:textId="77777777" w:rsidTr="00212DCE">
        <w:trPr>
          <w:trHeight w:val="159"/>
        </w:trPr>
        <w:tc>
          <w:tcPr>
            <w:tcW w:w="761" w:type="dxa"/>
          </w:tcPr>
          <w:p w14:paraId="664CB1E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2210" w:type="dxa"/>
          </w:tcPr>
          <w:p w14:paraId="2751DFC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Anonymous </w:t>
            </w:r>
          </w:p>
          <w:p w14:paraId="0B03C97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(1999)</w:t>
            </w:r>
          </w:p>
        </w:tc>
        <w:tc>
          <w:tcPr>
            <w:tcW w:w="1181" w:type="dxa"/>
          </w:tcPr>
          <w:p w14:paraId="2B5495BA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6700BC9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The role of pharmacists in primary care groups</w:t>
            </w:r>
            <w:r>
              <w:rPr>
                <w:rFonts w:cstheme="minorHAnsi"/>
                <w:sz w:val="16"/>
                <w:szCs w:val="16"/>
              </w:rPr>
              <w:t xml:space="preserve"> (PCGs)</w:t>
            </w:r>
            <w:r w:rsidRPr="00EE65F7">
              <w:rPr>
                <w:rFonts w:cstheme="minorHAnsi"/>
                <w:sz w:val="16"/>
                <w:szCs w:val="16"/>
              </w:rPr>
              <w:t>: a strategic approach.</w:t>
            </w:r>
          </w:p>
        </w:tc>
        <w:tc>
          <w:tcPr>
            <w:tcW w:w="2539" w:type="dxa"/>
          </w:tcPr>
          <w:p w14:paraId="224FB34A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</w:rPr>
              <w:t>Conference: Examined issues surrounding the relevance and role of pharmacists within the new NHS structures, with a particular emphasis on how pharmacists could contribute to the work of PCGs.</w:t>
            </w:r>
          </w:p>
        </w:tc>
        <w:tc>
          <w:tcPr>
            <w:tcW w:w="5207" w:type="dxa"/>
          </w:tcPr>
          <w:p w14:paraId="669DEDD4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This was a commentary.</w:t>
            </w:r>
          </w:p>
          <w:p w14:paraId="53B9D6F3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1B780890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66ED3F72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36A7EF07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2EA9BCDB" w14:textId="77777777" w:rsidTr="00212DCE">
        <w:trPr>
          <w:trHeight w:val="159"/>
        </w:trPr>
        <w:tc>
          <w:tcPr>
            <w:tcW w:w="761" w:type="dxa"/>
          </w:tcPr>
          <w:p w14:paraId="32F074ED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2210" w:type="dxa"/>
          </w:tcPr>
          <w:p w14:paraId="4DC26CB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Anonymous </w:t>
            </w:r>
          </w:p>
          <w:p w14:paraId="36D22A7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(1995)</w:t>
            </w:r>
          </w:p>
        </w:tc>
        <w:tc>
          <w:tcPr>
            <w:tcW w:w="1181" w:type="dxa"/>
          </w:tcPr>
          <w:p w14:paraId="37B3B34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03F09BE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Pharmacy in a new age: the role of government</w:t>
            </w:r>
          </w:p>
        </w:tc>
        <w:tc>
          <w:tcPr>
            <w:tcW w:w="2539" w:type="dxa"/>
          </w:tcPr>
          <w:p w14:paraId="4099DE36" w14:textId="77777777" w:rsidR="00B23CBA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Commentary: </w:t>
            </w:r>
          </w:p>
          <w:p w14:paraId="69EE89A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</w:rPr>
              <w:t>This paper considers important factors shaping the future of pharmacy.</w:t>
            </w:r>
          </w:p>
        </w:tc>
        <w:tc>
          <w:tcPr>
            <w:tcW w:w="5207" w:type="dxa"/>
          </w:tcPr>
          <w:p w14:paraId="7F244CF8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B23CBA" w14:paraId="7E8403FC" w14:textId="77777777" w:rsidTr="00212DCE">
        <w:trPr>
          <w:trHeight w:val="159"/>
        </w:trPr>
        <w:tc>
          <w:tcPr>
            <w:tcW w:w="761" w:type="dxa"/>
          </w:tcPr>
          <w:p w14:paraId="40BEF3A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2210" w:type="dxa"/>
          </w:tcPr>
          <w:p w14:paraId="17F1D309" w14:textId="77777777" w:rsidR="00212DCE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Anonymous </w:t>
            </w:r>
          </w:p>
          <w:p w14:paraId="78961C31" w14:textId="24597BDF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(2003)</w:t>
            </w:r>
          </w:p>
        </w:tc>
        <w:tc>
          <w:tcPr>
            <w:tcW w:w="1181" w:type="dxa"/>
          </w:tcPr>
          <w:p w14:paraId="31C46B6E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575A168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 addiction scheme starts.</w:t>
            </w:r>
          </w:p>
        </w:tc>
        <w:tc>
          <w:tcPr>
            <w:tcW w:w="2539" w:type="dxa"/>
          </w:tcPr>
          <w:p w14:paraId="361F2265" w14:textId="77777777" w:rsidR="00B23CBA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Commentary: </w:t>
            </w:r>
          </w:p>
          <w:p w14:paraId="63773F00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The paper discusses a seamless addiction service involving hospital and community pharmacists.</w:t>
            </w:r>
          </w:p>
        </w:tc>
        <w:tc>
          <w:tcPr>
            <w:tcW w:w="5207" w:type="dxa"/>
          </w:tcPr>
          <w:p w14:paraId="70B8D9AF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B23CBA" w14:paraId="39A221C4" w14:textId="77777777" w:rsidTr="00212DCE">
        <w:trPr>
          <w:trHeight w:val="159"/>
        </w:trPr>
        <w:tc>
          <w:tcPr>
            <w:tcW w:w="761" w:type="dxa"/>
          </w:tcPr>
          <w:p w14:paraId="2999CCAA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</w:t>
            </w:r>
          </w:p>
        </w:tc>
        <w:tc>
          <w:tcPr>
            <w:tcW w:w="2210" w:type="dxa"/>
          </w:tcPr>
          <w:p w14:paraId="0C4D61D0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Ashcroft, D. M., et al. (1998)</w:t>
            </w:r>
          </w:p>
        </w:tc>
        <w:tc>
          <w:tcPr>
            <w:tcW w:w="1181" w:type="dxa"/>
          </w:tcPr>
          <w:p w14:paraId="0FAE2A0E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2790051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care: A study of patients' experiences with erythropoietin.</w:t>
            </w:r>
          </w:p>
        </w:tc>
        <w:tc>
          <w:tcPr>
            <w:tcW w:w="2539" w:type="dxa"/>
          </w:tcPr>
          <w:p w14:paraId="5B214C4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evaluate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s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the impact of a shared care scheme on patients receiving erythropoietin treatment.</w:t>
            </w:r>
          </w:p>
        </w:tc>
        <w:tc>
          <w:tcPr>
            <w:tcW w:w="5207" w:type="dxa"/>
          </w:tcPr>
          <w:p w14:paraId="7F1252AA" w14:textId="77777777" w:rsidR="00FB5687" w:rsidRPr="00CE0EC4" w:rsidRDefault="00FB5687" w:rsidP="00FB5687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487E8ADD" w14:textId="11823612" w:rsidR="00B23CBA" w:rsidRPr="00CE0EC4" w:rsidRDefault="00FB5687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</w:tc>
      </w:tr>
      <w:tr w:rsidR="00B23CBA" w14:paraId="14C0D4F2" w14:textId="77777777" w:rsidTr="00212DCE">
        <w:trPr>
          <w:trHeight w:val="159"/>
        </w:trPr>
        <w:tc>
          <w:tcPr>
            <w:tcW w:w="761" w:type="dxa"/>
          </w:tcPr>
          <w:p w14:paraId="1BF6421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</w:t>
            </w:r>
          </w:p>
        </w:tc>
        <w:tc>
          <w:tcPr>
            <w:tcW w:w="2210" w:type="dxa"/>
          </w:tcPr>
          <w:p w14:paraId="5152E0D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Bajr</w:t>
            </w:r>
            <w:r>
              <w:rPr>
                <w:rFonts w:cstheme="minorHAnsi"/>
                <w:sz w:val="16"/>
                <w:szCs w:val="16"/>
              </w:rPr>
              <w:t>amovic, J., et al. (2004)</w:t>
            </w:r>
          </w:p>
        </w:tc>
        <w:tc>
          <w:tcPr>
            <w:tcW w:w="1181" w:type="dxa"/>
          </w:tcPr>
          <w:p w14:paraId="7388B2E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Australia </w:t>
            </w:r>
          </w:p>
        </w:tc>
        <w:tc>
          <w:tcPr>
            <w:tcW w:w="1989" w:type="dxa"/>
          </w:tcPr>
          <w:p w14:paraId="5E44527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Perceptions around concordance--Focus groups and semi-structured interviews conducted with consumers, pharmacists and general practitioners.</w:t>
            </w:r>
          </w:p>
        </w:tc>
        <w:tc>
          <w:tcPr>
            <w:tcW w:w="2539" w:type="dxa"/>
          </w:tcPr>
          <w:p w14:paraId="7E1C4D28" w14:textId="77777777" w:rsidR="00B23CBA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explores the beliefs and expectations of general practitioners, consumers and pharmacists in relation to concordance.</w:t>
            </w:r>
          </w:p>
          <w:p w14:paraId="1EC90500" w14:textId="77777777" w:rsidR="00B23CBA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</w:p>
          <w:p w14:paraId="20D18215" w14:textId="77777777" w:rsidR="00B23CBA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</w:p>
          <w:p w14:paraId="20781222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207" w:type="dxa"/>
          </w:tcPr>
          <w:p w14:paraId="395C662A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wrong design.</w:t>
            </w:r>
          </w:p>
          <w:p w14:paraId="28C81B7F" w14:textId="7777777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  <w:p w14:paraId="1FD3A07E" w14:textId="53494BD7" w:rsidR="00B23CBA" w:rsidRPr="00CE0EC4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18EA7629" w14:textId="77777777" w:rsidTr="00212DCE">
        <w:trPr>
          <w:trHeight w:val="159"/>
        </w:trPr>
        <w:tc>
          <w:tcPr>
            <w:tcW w:w="761" w:type="dxa"/>
          </w:tcPr>
          <w:p w14:paraId="44B6133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2210" w:type="dxa"/>
          </w:tcPr>
          <w:p w14:paraId="180C13E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Barnes, E., et al. (2017)</w:t>
            </w:r>
          </w:p>
        </w:tc>
        <w:tc>
          <w:tcPr>
            <w:tcW w:w="1181" w:type="dxa"/>
          </w:tcPr>
          <w:p w14:paraId="22634B9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5658E50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New roles for clinical pharmacists in general practice.</w:t>
            </w:r>
          </w:p>
        </w:tc>
        <w:tc>
          <w:tcPr>
            <w:tcW w:w="2539" w:type="dxa"/>
          </w:tcPr>
          <w:p w14:paraId="2B574EAE" w14:textId="77777777" w:rsidR="00B23CBA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Commentary:</w:t>
            </w:r>
          </w:p>
          <w:p w14:paraId="4F723CD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The paper d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iscusses the NHS England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scheme to fund, r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ecruit and employ more clinical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pharmacists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in GP practices.</w:t>
            </w:r>
          </w:p>
        </w:tc>
        <w:tc>
          <w:tcPr>
            <w:tcW w:w="5207" w:type="dxa"/>
          </w:tcPr>
          <w:p w14:paraId="6C948620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B23CBA" w14:paraId="7AC4FDAF" w14:textId="77777777" w:rsidTr="00212DCE">
        <w:trPr>
          <w:trHeight w:val="159"/>
        </w:trPr>
        <w:tc>
          <w:tcPr>
            <w:tcW w:w="761" w:type="dxa"/>
          </w:tcPr>
          <w:p w14:paraId="75C3B22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</w:t>
            </w:r>
          </w:p>
        </w:tc>
        <w:tc>
          <w:tcPr>
            <w:tcW w:w="2210" w:type="dxa"/>
          </w:tcPr>
          <w:p w14:paraId="6F97336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Bellingham, C. (2004)</w:t>
            </w:r>
          </w:p>
        </w:tc>
        <w:tc>
          <w:tcPr>
            <w:tcW w:w="1181" w:type="dxa"/>
          </w:tcPr>
          <w:p w14:paraId="169CB6BD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151B37E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How to improve medicines management at the primary/secondary care interface.</w:t>
            </w:r>
          </w:p>
        </w:tc>
        <w:tc>
          <w:tcPr>
            <w:tcW w:w="2539" w:type="dxa"/>
          </w:tcPr>
          <w:p w14:paraId="503D023E" w14:textId="77777777" w:rsidR="00B23CBA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Commentary: </w:t>
            </w:r>
          </w:p>
          <w:p w14:paraId="4F8BF67D" w14:textId="77777777" w:rsidR="00B23CBA" w:rsidRPr="0059489C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The paper discusses medicines management at the interface. </w:t>
            </w:r>
          </w:p>
        </w:tc>
        <w:tc>
          <w:tcPr>
            <w:tcW w:w="5207" w:type="dxa"/>
          </w:tcPr>
          <w:p w14:paraId="477BFDD0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B23CBA" w14:paraId="50717D2C" w14:textId="77777777" w:rsidTr="00212DCE">
        <w:trPr>
          <w:trHeight w:val="159"/>
        </w:trPr>
        <w:tc>
          <w:tcPr>
            <w:tcW w:w="761" w:type="dxa"/>
          </w:tcPr>
          <w:p w14:paraId="72451CB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</w:t>
            </w:r>
          </w:p>
        </w:tc>
        <w:tc>
          <w:tcPr>
            <w:tcW w:w="2210" w:type="dxa"/>
          </w:tcPr>
          <w:p w14:paraId="606B289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Berendsen, A. J., et al. (2009)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0A0104C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Netherlands </w:t>
            </w:r>
          </w:p>
        </w:tc>
        <w:tc>
          <w:tcPr>
            <w:tcW w:w="1989" w:type="dxa"/>
          </w:tcPr>
          <w:p w14:paraId="6421B4B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Transition of care: experiences and preferences of patients across the primary/secondary interface–a qualitative study. </w:t>
            </w:r>
          </w:p>
        </w:tc>
        <w:tc>
          <w:tcPr>
            <w:tcW w:w="2539" w:type="dxa"/>
          </w:tcPr>
          <w:p w14:paraId="7C1EA99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article explores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the tr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ansition of care at the primary–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secondary interface with reference to the impact of patients' ability to make choices about their secondary care providers.</w:t>
            </w:r>
          </w:p>
        </w:tc>
        <w:tc>
          <w:tcPr>
            <w:tcW w:w="5207" w:type="dxa"/>
          </w:tcPr>
          <w:p w14:paraId="1C464B3B" w14:textId="77777777" w:rsidR="00FB5687" w:rsidRPr="00CE0EC4" w:rsidRDefault="00FB5687" w:rsidP="00FB5687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4FC0D081" w14:textId="77777777" w:rsidR="00FB5687" w:rsidRDefault="00FB5687" w:rsidP="00FB5687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  <w:p w14:paraId="330BB5F0" w14:textId="77777777" w:rsidR="00FB5687" w:rsidRPr="00CE0EC4" w:rsidRDefault="00FB5687" w:rsidP="00FB5687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wrong design.</w:t>
            </w:r>
          </w:p>
          <w:p w14:paraId="634F8031" w14:textId="77777777" w:rsidR="00FB5687" w:rsidRPr="00CE0EC4" w:rsidRDefault="00FB5687" w:rsidP="00FB5687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  <w:p w14:paraId="4C14AE59" w14:textId="132562A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23CBA" w14:paraId="1BA18E1D" w14:textId="77777777" w:rsidTr="00212DCE">
        <w:trPr>
          <w:trHeight w:val="159"/>
        </w:trPr>
        <w:tc>
          <w:tcPr>
            <w:tcW w:w="761" w:type="dxa"/>
          </w:tcPr>
          <w:p w14:paraId="2CDBEFF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</w:t>
            </w:r>
          </w:p>
        </w:tc>
        <w:tc>
          <w:tcPr>
            <w:tcW w:w="2210" w:type="dxa"/>
          </w:tcPr>
          <w:p w14:paraId="0C913DD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Bojke, C., et al. </w:t>
            </w:r>
          </w:p>
          <w:p w14:paraId="3AFEC8B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(2010)</w:t>
            </w:r>
          </w:p>
        </w:tc>
        <w:tc>
          <w:tcPr>
            <w:tcW w:w="1181" w:type="dxa"/>
          </w:tcPr>
          <w:p w14:paraId="5B66B2E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0DEA180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Cost-effectiveness of shared pharmaceutical care for older patients: RESPECT trial findings.</w:t>
            </w:r>
          </w:p>
        </w:tc>
        <w:tc>
          <w:tcPr>
            <w:tcW w:w="2539" w:type="dxa"/>
          </w:tcPr>
          <w:p w14:paraId="68A831F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evaluates the cost-effectiveness of shared pharmaceutical care for older people compared to usual care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5207" w:type="dxa"/>
          </w:tcPr>
          <w:p w14:paraId="0CE2A673" w14:textId="77777777" w:rsidR="00FB5687" w:rsidRPr="00CE0EC4" w:rsidRDefault="00FB5687" w:rsidP="00FB5687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6E184485" w14:textId="77777777" w:rsidR="00FB5687" w:rsidRDefault="00FB5687" w:rsidP="00FB5687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  <w:p w14:paraId="34098BBE" w14:textId="77777777" w:rsidR="00FB5687" w:rsidRPr="00CE0EC4" w:rsidRDefault="00FB5687" w:rsidP="00FB5687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C: wrong design.</w:t>
            </w:r>
          </w:p>
          <w:p w14:paraId="4444BA08" w14:textId="149B7C9A" w:rsidR="00B23CBA" w:rsidRPr="00FB5687" w:rsidRDefault="00FB5687" w:rsidP="0056692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</w:tc>
      </w:tr>
      <w:tr w:rsidR="00B23CBA" w14:paraId="677D84D0" w14:textId="77777777" w:rsidTr="00212DCE">
        <w:trPr>
          <w:trHeight w:val="159"/>
        </w:trPr>
        <w:tc>
          <w:tcPr>
            <w:tcW w:w="761" w:type="dxa"/>
          </w:tcPr>
          <w:p w14:paraId="1FD5B3C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19</w:t>
            </w:r>
          </w:p>
        </w:tc>
        <w:tc>
          <w:tcPr>
            <w:tcW w:w="2210" w:type="dxa"/>
          </w:tcPr>
          <w:p w14:paraId="645E601C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British National Association of Health Authorities and Trusts (1994)</w:t>
            </w:r>
          </w:p>
        </w:tc>
        <w:tc>
          <w:tcPr>
            <w:tcW w:w="1181" w:type="dxa"/>
          </w:tcPr>
          <w:p w14:paraId="139A0052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160AFDB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NAHAT Update: asthma care - the challenge ahead.</w:t>
            </w:r>
          </w:p>
          <w:p w14:paraId="3EB42A9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39" w:type="dxa"/>
          </w:tcPr>
          <w:p w14:paraId="20D3169C" w14:textId="77777777" w:rsidR="00B23CBA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Commentary: </w:t>
            </w:r>
          </w:p>
          <w:p w14:paraId="5D172F25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</w:rPr>
              <w:t>This paper examines the challenges which the treatment and management of asthma for all sectors of the health service</w:t>
            </w:r>
            <w:r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5207" w:type="dxa"/>
          </w:tcPr>
          <w:p w14:paraId="5D787B6D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C: This was a commentary.</w:t>
            </w:r>
          </w:p>
          <w:p w14:paraId="7223EE65" w14:textId="77777777" w:rsidR="00B23CBA" w:rsidRPr="00EA0BA3" w:rsidRDefault="00B23CBA" w:rsidP="00566923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B23CBA" w14:paraId="5A7A0DC9" w14:textId="77777777" w:rsidTr="00212DCE">
        <w:trPr>
          <w:trHeight w:val="159"/>
        </w:trPr>
        <w:tc>
          <w:tcPr>
            <w:tcW w:w="761" w:type="dxa"/>
          </w:tcPr>
          <w:p w14:paraId="555CFD9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2210" w:type="dxa"/>
          </w:tcPr>
          <w:p w14:paraId="6B79AED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Cain, R. M. (2006)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3635939F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United states of America </w:t>
            </w:r>
          </w:p>
        </w:tc>
        <w:tc>
          <w:tcPr>
            <w:tcW w:w="1989" w:type="dxa"/>
          </w:tcPr>
          <w:p w14:paraId="406D1E0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The physician-pharmacist interface in the clinical practice of pharmacy.</w:t>
            </w:r>
          </w:p>
        </w:tc>
        <w:tc>
          <w:tcPr>
            <w:tcW w:w="2539" w:type="dxa"/>
          </w:tcPr>
          <w:p w14:paraId="35265953" w14:textId="77777777" w:rsidR="00B23CBA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Commentary </w:t>
            </w:r>
          </w:p>
          <w:p w14:paraId="1B3D8A04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</w:rPr>
              <w:t>This paper deals with healthcare interface and how this may influence the overall practice of clinical pharmacy.</w:t>
            </w:r>
          </w:p>
        </w:tc>
        <w:tc>
          <w:tcPr>
            <w:tcW w:w="5207" w:type="dxa"/>
          </w:tcPr>
          <w:p w14:paraId="58BA9E43" w14:textId="77777777" w:rsidR="00EB7E19" w:rsidRPr="00EB7E19" w:rsidRDefault="00EB7E19" w:rsidP="00EB7E19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C: This was a commentary.</w:t>
            </w:r>
          </w:p>
          <w:p w14:paraId="22E46C29" w14:textId="5C5C3719" w:rsidR="00EB7E19" w:rsidRDefault="00EB7E19" w:rsidP="00EB7E19">
            <w:pPr>
              <w:rPr>
                <w:rFonts w:cstheme="minorHAnsi"/>
                <w:b/>
                <w:sz w:val="16"/>
                <w:szCs w:val="16"/>
              </w:rPr>
            </w:pPr>
          </w:p>
          <w:p w14:paraId="301616EB" w14:textId="0361593F" w:rsidR="00B23CBA" w:rsidRPr="00EE65F7" w:rsidRDefault="00EB7E19" w:rsidP="00EB7E1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 xml:space="preserve"> </w:t>
            </w:r>
          </w:p>
        </w:tc>
      </w:tr>
      <w:tr w:rsidR="00B23CBA" w14:paraId="568A970B" w14:textId="77777777" w:rsidTr="00212DCE">
        <w:trPr>
          <w:trHeight w:val="159"/>
        </w:trPr>
        <w:tc>
          <w:tcPr>
            <w:tcW w:w="761" w:type="dxa"/>
          </w:tcPr>
          <w:p w14:paraId="176FBEC0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21</w:t>
            </w:r>
          </w:p>
        </w:tc>
        <w:tc>
          <w:tcPr>
            <w:tcW w:w="2210" w:type="dxa"/>
          </w:tcPr>
          <w:p w14:paraId="34F5805A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Carrington, I. and J.            McAloon (2018)</w:t>
            </w:r>
          </w:p>
        </w:tc>
        <w:tc>
          <w:tcPr>
            <w:tcW w:w="1181" w:type="dxa"/>
          </w:tcPr>
          <w:p w14:paraId="4949C3CD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Northern Ireland </w:t>
            </w:r>
          </w:p>
        </w:tc>
        <w:tc>
          <w:tcPr>
            <w:tcW w:w="1989" w:type="dxa"/>
          </w:tcPr>
          <w:p w14:paraId="2DE977C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Why shared-care arrangements for prescribing in attention deficit hyperactivity disorder may not be accepted</w:t>
            </w:r>
          </w:p>
        </w:tc>
        <w:tc>
          <w:tcPr>
            <w:tcW w:w="2539" w:type="dxa"/>
          </w:tcPr>
          <w:p w14:paraId="70A4BAC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explores the reasons for the failure of uptake of shared-care arrangements for prescribing in</w:t>
            </w: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EE65F7"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attention deficit hyperactivity disorder</w:t>
            </w: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0151DCCF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1F7B4173" w14:textId="3C909218" w:rsidR="00B23CBA" w:rsidRPr="00EA0BA3" w:rsidRDefault="006E6ADC" w:rsidP="006E6ADC">
            <w:pPr>
              <w:rPr>
                <w:rFonts w:cstheme="minorHAnsi"/>
                <w:b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</w:tc>
      </w:tr>
      <w:tr w:rsidR="00B23CBA" w14:paraId="77DBC6E2" w14:textId="77777777" w:rsidTr="00212DCE">
        <w:trPr>
          <w:trHeight w:val="159"/>
        </w:trPr>
        <w:tc>
          <w:tcPr>
            <w:tcW w:w="761" w:type="dxa"/>
          </w:tcPr>
          <w:p w14:paraId="1DD158AA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</w:t>
            </w:r>
          </w:p>
        </w:tc>
        <w:tc>
          <w:tcPr>
            <w:tcW w:w="2210" w:type="dxa"/>
          </w:tcPr>
          <w:p w14:paraId="0343392B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Chana, N</w:t>
            </w:r>
            <w:r>
              <w:rPr>
                <w:rFonts w:cstheme="minorHAnsi"/>
                <w:sz w:val="16"/>
                <w:szCs w:val="16"/>
              </w:rPr>
              <w:t>., et al.                (2017)</w:t>
            </w:r>
          </w:p>
          <w:p w14:paraId="44F4DE11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81" w:type="dxa"/>
          </w:tcPr>
          <w:p w14:paraId="00F81BE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495342B6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Improving specialist drug prescribing in primary care using task and error analysis: an observational study.</w:t>
            </w:r>
          </w:p>
          <w:p w14:paraId="1A331923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39" w:type="dxa"/>
          </w:tcPr>
          <w:p w14:paraId="35580A90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explores how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clinical decision support systems can support GPs in prescribing specialist drugs using a task and error analysis.</w:t>
            </w:r>
          </w:p>
        </w:tc>
        <w:tc>
          <w:tcPr>
            <w:tcW w:w="5207" w:type="dxa"/>
          </w:tcPr>
          <w:p w14:paraId="651100B2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0D9A0EA8" w14:textId="58549364" w:rsidR="00B23CBA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  <w:p w14:paraId="6A30FC6D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7450C0AE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58FCC04E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736A5C28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525E52FB" w14:textId="77777777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  <w:p w14:paraId="07A2491E" w14:textId="77777777" w:rsidR="00B23CBA" w:rsidRPr="00EB7E19" w:rsidRDefault="00B23CBA" w:rsidP="00566923">
            <w:pPr>
              <w:rPr>
                <w:rFonts w:cstheme="minorHAnsi"/>
                <w:bCs/>
                <w:sz w:val="16"/>
                <w:szCs w:val="16"/>
              </w:rPr>
            </w:pPr>
          </w:p>
        </w:tc>
      </w:tr>
      <w:tr w:rsidR="00B23CBA" w14:paraId="4510EAB4" w14:textId="77777777" w:rsidTr="00212DCE">
        <w:trPr>
          <w:trHeight w:val="159"/>
        </w:trPr>
        <w:tc>
          <w:tcPr>
            <w:tcW w:w="761" w:type="dxa"/>
          </w:tcPr>
          <w:p w14:paraId="4569B4C7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2210" w:type="dxa"/>
          </w:tcPr>
          <w:p w14:paraId="034906B2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Chartrand, M., et al. (2013)</w:t>
            </w:r>
          </w:p>
        </w:tc>
        <w:tc>
          <w:tcPr>
            <w:tcW w:w="1181" w:type="dxa"/>
          </w:tcPr>
          <w:p w14:paraId="23928A52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Canada </w:t>
            </w:r>
          </w:p>
        </w:tc>
        <w:tc>
          <w:tcPr>
            <w:tcW w:w="1989" w:type="dxa"/>
          </w:tcPr>
          <w:p w14:paraId="47D13359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Implementation and evaluation of pharmacy services through a practice-based research network (PBRN).</w:t>
            </w:r>
          </w:p>
        </w:tc>
        <w:tc>
          <w:tcPr>
            <w:tcW w:w="2539" w:type="dxa"/>
          </w:tcPr>
          <w:p w14:paraId="3FABB9B8" w14:textId="77777777" w:rsidR="00B23CBA" w:rsidRPr="00EE65F7" w:rsidRDefault="00B23CBA" w:rsidP="00566923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</w:rPr>
              <w:t xml:space="preserve">The article </w:t>
            </w:r>
            <w:r w:rsidRPr="00EE65F7">
              <w:rPr>
                <w:rFonts w:cstheme="minorHAnsi"/>
                <w:sz w:val="16"/>
                <w:szCs w:val="16"/>
              </w:rPr>
              <w:t>discusses how to develop a web-based PBRN and assess the feasibility of this intervention</w:t>
            </w:r>
            <w:r>
              <w:rPr>
                <w:rFonts w:cstheme="minorHAnsi"/>
                <w:sz w:val="16"/>
                <w:szCs w:val="16"/>
              </w:rPr>
              <w:t>.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5207" w:type="dxa"/>
          </w:tcPr>
          <w:p w14:paraId="7838FB6E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3D12B5CE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  <w:p w14:paraId="3A00A043" w14:textId="0CF398C8" w:rsidR="00B23CBA" w:rsidRPr="00EB7E19" w:rsidRDefault="00B23CBA" w:rsidP="00566923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24807E05" w14:textId="77777777" w:rsidTr="00212DCE">
        <w:trPr>
          <w:trHeight w:val="159"/>
        </w:trPr>
        <w:tc>
          <w:tcPr>
            <w:tcW w:w="761" w:type="dxa"/>
          </w:tcPr>
          <w:p w14:paraId="3508D65B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24</w:t>
            </w:r>
          </w:p>
        </w:tc>
        <w:tc>
          <w:tcPr>
            <w:tcW w:w="2210" w:type="dxa"/>
          </w:tcPr>
          <w:p w14:paraId="2F14282B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Cox, W. M. (2002)</w:t>
            </w:r>
          </w:p>
        </w:tc>
        <w:tc>
          <w:tcPr>
            <w:tcW w:w="1181" w:type="dxa"/>
          </w:tcPr>
          <w:p w14:paraId="3355BB8F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Wales </w:t>
            </w:r>
          </w:p>
        </w:tc>
        <w:tc>
          <w:tcPr>
            <w:tcW w:w="1989" w:type="dxa"/>
          </w:tcPr>
          <w:p w14:paraId="7B0930C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Evaluation of a shared-care program for methadone treatment of drug abuse: An international perspective</w:t>
            </w:r>
          </w:p>
        </w:tc>
        <w:tc>
          <w:tcPr>
            <w:tcW w:w="2539" w:type="dxa"/>
          </w:tcPr>
          <w:p w14:paraId="2AA1BF67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This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evaluates a North Wales Shared-Care Program for methadone for the treatment of drug abuse.</w:t>
            </w:r>
          </w:p>
        </w:tc>
        <w:tc>
          <w:tcPr>
            <w:tcW w:w="5207" w:type="dxa"/>
          </w:tcPr>
          <w:p w14:paraId="5E560415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24E77F62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  <w:p w14:paraId="600E9FB3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31F5245B" w14:textId="2C1192B6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</w:tc>
      </w:tr>
      <w:tr w:rsidR="006E6ADC" w14:paraId="62F8631D" w14:textId="77777777" w:rsidTr="00212DCE">
        <w:trPr>
          <w:trHeight w:val="159"/>
        </w:trPr>
        <w:tc>
          <w:tcPr>
            <w:tcW w:w="761" w:type="dxa"/>
          </w:tcPr>
          <w:p w14:paraId="706F39D0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</w:t>
            </w:r>
          </w:p>
        </w:tc>
        <w:tc>
          <w:tcPr>
            <w:tcW w:w="2210" w:type="dxa"/>
          </w:tcPr>
          <w:p w14:paraId="7609E302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Crowe, S., et al. (2009)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7456CD11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4106036E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The prescribing of specialist medicines: what factors influence GPs' decision making?</w:t>
            </w:r>
          </w:p>
        </w:tc>
        <w:tc>
          <w:tcPr>
            <w:tcW w:w="2539" w:type="dxa"/>
          </w:tcPr>
          <w:p w14:paraId="1EBE6F5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explores the factors which influence GPs’ </w:t>
            </w: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decision-making process when re</w:t>
            </w:r>
            <w:r w:rsidRPr="00EE65F7"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quested to prescribe</w:t>
            </w: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a </w:t>
            </w:r>
            <w:r w:rsidRPr="00EE65F7"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specialist drug</w:t>
            </w: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3B725CC0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0AC281C0" w14:textId="1F452D34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</w:tc>
      </w:tr>
      <w:tr w:rsidR="006E6ADC" w14:paraId="7A607C82" w14:textId="77777777" w:rsidTr="00212DCE">
        <w:trPr>
          <w:trHeight w:val="159"/>
        </w:trPr>
        <w:tc>
          <w:tcPr>
            <w:tcW w:w="761" w:type="dxa"/>
          </w:tcPr>
          <w:p w14:paraId="6DFF2A7F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</w:t>
            </w:r>
          </w:p>
        </w:tc>
        <w:tc>
          <w:tcPr>
            <w:tcW w:w="2210" w:type="dxa"/>
          </w:tcPr>
          <w:p w14:paraId="710E379B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Crowe, S., et al. (2010)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49781DAF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20179D77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 arrangements for specialist drugs in the UK: the challenges facing GP adherence.</w:t>
            </w:r>
          </w:p>
        </w:tc>
        <w:tc>
          <w:tcPr>
            <w:tcW w:w="2539" w:type="dxa"/>
          </w:tcPr>
          <w:p w14:paraId="45009E5E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</w:rPr>
              <w:t xml:space="preserve">The article </w:t>
            </w:r>
            <w:r w:rsidRPr="00EE65F7">
              <w:rPr>
                <w:rFonts w:cstheme="minorHAnsi"/>
                <w:sz w:val="16"/>
                <w:szCs w:val="16"/>
              </w:rPr>
              <w:t>explore</w:t>
            </w:r>
            <w:r>
              <w:rPr>
                <w:rFonts w:cstheme="minorHAnsi"/>
                <w:sz w:val="16"/>
                <w:szCs w:val="16"/>
              </w:rPr>
              <w:t>s</w:t>
            </w:r>
            <w:r w:rsidRPr="00EE65F7">
              <w:rPr>
                <w:rFonts w:cstheme="minorHAnsi"/>
                <w:sz w:val="16"/>
                <w:szCs w:val="16"/>
              </w:rPr>
              <w:t xml:space="preserve"> the challenges facing GPs’ adherence to shared care arrangements for specialist drugs.</w:t>
            </w:r>
          </w:p>
        </w:tc>
        <w:tc>
          <w:tcPr>
            <w:tcW w:w="5207" w:type="dxa"/>
          </w:tcPr>
          <w:p w14:paraId="57459BD3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43C86892" w14:textId="2477D821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</w:tc>
      </w:tr>
      <w:tr w:rsidR="006E6ADC" w14:paraId="68331982" w14:textId="77777777" w:rsidTr="00212DCE">
        <w:trPr>
          <w:trHeight w:val="159"/>
        </w:trPr>
        <w:tc>
          <w:tcPr>
            <w:tcW w:w="761" w:type="dxa"/>
          </w:tcPr>
          <w:p w14:paraId="62956E67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2210" w:type="dxa"/>
          </w:tcPr>
          <w:p w14:paraId="19B943E8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Duggan, C., et al. (2001) </w:t>
            </w:r>
          </w:p>
        </w:tc>
        <w:tc>
          <w:tcPr>
            <w:tcW w:w="1181" w:type="dxa"/>
          </w:tcPr>
          <w:p w14:paraId="736ED0A1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7D4696E9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 in the UK: Failings of the past and lessons for the future.</w:t>
            </w:r>
          </w:p>
        </w:tc>
        <w:tc>
          <w:tcPr>
            <w:tcW w:w="2539" w:type="dxa"/>
          </w:tcPr>
          <w:p w14:paraId="1818748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To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explores and evaluate the implementation of shared care in the UK. </w:t>
            </w:r>
          </w:p>
        </w:tc>
        <w:tc>
          <w:tcPr>
            <w:tcW w:w="5207" w:type="dxa"/>
          </w:tcPr>
          <w:p w14:paraId="543A0888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70397B10" w14:textId="51661E13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</w:tc>
      </w:tr>
      <w:tr w:rsidR="006E6ADC" w14:paraId="650D0C4D" w14:textId="77777777" w:rsidTr="00212DCE">
        <w:trPr>
          <w:trHeight w:val="159"/>
        </w:trPr>
        <w:tc>
          <w:tcPr>
            <w:tcW w:w="761" w:type="dxa"/>
          </w:tcPr>
          <w:p w14:paraId="0B668472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2210" w:type="dxa"/>
          </w:tcPr>
          <w:p w14:paraId="76F3B252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Fearne, J., et al. (2018)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7E0CFABB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Malta </w:t>
            </w:r>
          </w:p>
        </w:tc>
        <w:tc>
          <w:tcPr>
            <w:tcW w:w="1989" w:type="dxa"/>
          </w:tcPr>
          <w:p w14:paraId="52FBDD61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Development and evaluation of shared paediatric pharmaceutical care plan.</w:t>
            </w:r>
          </w:p>
        </w:tc>
        <w:tc>
          <w:tcPr>
            <w:tcW w:w="2539" w:type="dxa"/>
          </w:tcPr>
          <w:p w14:paraId="2368BF69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The </w:t>
            </w:r>
            <w:r>
              <w:rPr>
                <w:rFonts w:cstheme="minorHAnsi"/>
                <w:sz w:val="16"/>
                <w:szCs w:val="16"/>
              </w:rPr>
              <w:t>article explored the development of a</w:t>
            </w:r>
            <w:r w:rsidRPr="00EE65F7">
              <w:rPr>
                <w:rFonts w:cstheme="minorHAnsi"/>
                <w:sz w:val="16"/>
                <w:szCs w:val="16"/>
              </w:rPr>
              <w:t xml:space="preserve"> shared paediatric pharmaceutical care template aimed at improving communication between pharmacists across different care settings</w:t>
            </w:r>
            <w:r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5207" w:type="dxa"/>
          </w:tcPr>
          <w:p w14:paraId="0AC43716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2481FE5E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The intervention was not delivered by the person specified in the review criteria.  </w:t>
            </w:r>
          </w:p>
          <w:p w14:paraId="2A08188B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53F1245E" w14:textId="13A24F69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</w:tc>
      </w:tr>
      <w:tr w:rsidR="006E6ADC" w14:paraId="7B1ACBFC" w14:textId="77777777" w:rsidTr="00212DCE">
        <w:trPr>
          <w:trHeight w:val="159"/>
        </w:trPr>
        <w:tc>
          <w:tcPr>
            <w:tcW w:w="761" w:type="dxa"/>
          </w:tcPr>
          <w:p w14:paraId="409DE43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29</w:t>
            </w:r>
          </w:p>
        </w:tc>
        <w:tc>
          <w:tcPr>
            <w:tcW w:w="2210" w:type="dxa"/>
          </w:tcPr>
          <w:p w14:paraId="04496163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Finch, E. and C. Ford (2002)</w:t>
            </w:r>
          </w:p>
        </w:tc>
        <w:tc>
          <w:tcPr>
            <w:tcW w:w="1181" w:type="dxa"/>
          </w:tcPr>
          <w:p w14:paraId="0E29BE0D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726CBD3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 at the primary and secondary interface: GPs and specialist drug services.</w:t>
            </w:r>
          </w:p>
        </w:tc>
        <w:tc>
          <w:tcPr>
            <w:tcW w:w="2539" w:type="dxa"/>
          </w:tcPr>
          <w:p w14:paraId="50A374D7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Book: </w:t>
            </w:r>
          </w:p>
          <w:p w14:paraId="29C64D2D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book chapter describes shared care of drug users in the UK </w:t>
            </w:r>
          </w:p>
        </w:tc>
        <w:tc>
          <w:tcPr>
            <w:tcW w:w="5207" w:type="dxa"/>
          </w:tcPr>
          <w:p w14:paraId="378B6E7F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6E6ADC" w14:paraId="0B43A188" w14:textId="77777777" w:rsidTr="00212DCE">
        <w:trPr>
          <w:trHeight w:val="159"/>
        </w:trPr>
        <w:tc>
          <w:tcPr>
            <w:tcW w:w="761" w:type="dxa"/>
          </w:tcPr>
          <w:p w14:paraId="4E10782F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2210" w:type="dxa"/>
          </w:tcPr>
          <w:p w14:paraId="68DF83CE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Grixti, D., et al. (2014)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61D062C8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Malta </w:t>
            </w:r>
          </w:p>
        </w:tc>
        <w:tc>
          <w:tcPr>
            <w:tcW w:w="1989" w:type="dxa"/>
          </w:tcPr>
          <w:p w14:paraId="126A708B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Development of shared care guidelines in rheumatology.</w:t>
            </w:r>
          </w:p>
        </w:tc>
        <w:tc>
          <w:tcPr>
            <w:tcW w:w="2539" w:type="dxa"/>
          </w:tcPr>
          <w:p w14:paraId="186C4ED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A poster presentation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on the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develop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ment of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shared care guidelines for rheumatology drugs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 W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ith the intent of providing seamless care between primary and secondary care settings.</w:t>
            </w:r>
          </w:p>
        </w:tc>
        <w:tc>
          <w:tcPr>
            <w:tcW w:w="5207" w:type="dxa"/>
          </w:tcPr>
          <w:p w14:paraId="2C51AAD5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69CA7D07" w14:textId="5F035656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182B694F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5473C787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1FF4BEAC" w14:textId="1E14007A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6090D36E" w14:textId="77777777" w:rsidTr="00212DCE">
        <w:trPr>
          <w:trHeight w:val="159"/>
        </w:trPr>
        <w:tc>
          <w:tcPr>
            <w:tcW w:w="761" w:type="dxa"/>
          </w:tcPr>
          <w:p w14:paraId="3C98981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2210" w:type="dxa"/>
          </w:tcPr>
          <w:p w14:paraId="450FF20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Gu, Y., et al. (2012</w:t>
            </w:r>
            <w:r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181" w:type="dxa"/>
          </w:tcPr>
          <w:p w14:paraId="0FC5463F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New Zealand </w:t>
            </w:r>
          </w:p>
        </w:tc>
        <w:tc>
          <w:tcPr>
            <w:tcW w:w="1989" w:type="dxa"/>
          </w:tcPr>
          <w:p w14:paraId="1E24A5D9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An Innovative Approach to Shared Care–New Zealand Pilot Study of a Technology-enabled National Shared Care Planning Programme. </w:t>
            </w:r>
          </w:p>
        </w:tc>
        <w:tc>
          <w:tcPr>
            <w:tcW w:w="2539" w:type="dxa"/>
          </w:tcPr>
          <w:p w14:paraId="7EFB29D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article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describes progress and lessons learned from the New Zealand National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Shared Care Planning Programme.</w:t>
            </w:r>
          </w:p>
        </w:tc>
        <w:tc>
          <w:tcPr>
            <w:tcW w:w="5207" w:type="dxa"/>
          </w:tcPr>
          <w:p w14:paraId="3E6F8BE1" w14:textId="77777777" w:rsidR="006E6ADC" w:rsidRPr="00CE0EC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 xml:space="preserve">I: </w:t>
            </w:r>
            <w:r>
              <w:rPr>
                <w:rFonts w:cstheme="minorHAnsi"/>
                <w:sz w:val="16"/>
                <w:szCs w:val="16"/>
              </w:rPr>
              <w:t>Not Shared Care Agreement (SCA) i</w:t>
            </w:r>
            <w:r w:rsidRPr="00CE0EC4">
              <w:rPr>
                <w:rFonts w:cstheme="minorHAnsi"/>
                <w:sz w:val="16"/>
                <w:szCs w:val="16"/>
              </w:rPr>
              <w:t xml:space="preserve">ntervention. </w:t>
            </w:r>
          </w:p>
          <w:p w14:paraId="57653436" w14:textId="58561393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study used the wrong model of intervention.</w:t>
            </w:r>
          </w:p>
        </w:tc>
      </w:tr>
      <w:tr w:rsidR="006E6ADC" w14:paraId="2CEB6D80" w14:textId="77777777" w:rsidTr="00212DCE">
        <w:trPr>
          <w:trHeight w:val="159"/>
        </w:trPr>
        <w:tc>
          <w:tcPr>
            <w:tcW w:w="761" w:type="dxa"/>
          </w:tcPr>
          <w:p w14:paraId="2B339065" w14:textId="524035C9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32</w:t>
            </w:r>
          </w:p>
        </w:tc>
        <w:tc>
          <w:tcPr>
            <w:tcW w:w="2210" w:type="dxa"/>
          </w:tcPr>
          <w:p w14:paraId="74374675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Johnson, C. (2018)</w:t>
            </w:r>
          </w:p>
        </w:tc>
        <w:tc>
          <w:tcPr>
            <w:tcW w:w="1181" w:type="dxa"/>
          </w:tcPr>
          <w:p w14:paraId="0796F98F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United States of America </w:t>
            </w:r>
          </w:p>
        </w:tc>
        <w:tc>
          <w:tcPr>
            <w:tcW w:w="1989" w:type="dxa"/>
          </w:tcPr>
          <w:p w14:paraId="45F08A96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Adult attention deficit and hyperactivity disorder (ADHD) clinic: A collaboration between psychiatry, primary care and pharmacy to improve access, care experience and affordability.</w:t>
            </w:r>
          </w:p>
        </w:tc>
        <w:tc>
          <w:tcPr>
            <w:tcW w:w="2539" w:type="dxa"/>
          </w:tcPr>
          <w:p w14:paraId="380179B4" w14:textId="77777777" w:rsidR="006E6ADC" w:rsidRPr="00EF053D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</w:rPr>
              <w:t xml:space="preserve"> discuss a collaborative,</w:t>
            </w:r>
            <w:r>
              <w:rPr>
                <w:rFonts w:cstheme="minorHAnsi"/>
                <w:sz w:val="16"/>
                <w:szCs w:val="16"/>
              </w:rPr>
              <w:t xml:space="preserve"> team-based adult ADHD service to improve the care experience. </w:t>
            </w:r>
          </w:p>
        </w:tc>
        <w:tc>
          <w:tcPr>
            <w:tcW w:w="5207" w:type="dxa"/>
          </w:tcPr>
          <w:p w14:paraId="4AD85566" w14:textId="77777777" w:rsidR="00F23FD1" w:rsidRPr="00CE0EC4" w:rsidRDefault="00F23FD1" w:rsidP="00F23FD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68511700" w14:textId="77777777" w:rsidR="00F23FD1" w:rsidRPr="00EB7E19" w:rsidRDefault="00F23FD1" w:rsidP="00F23FD1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065CB07D" w14:textId="5CB946A7" w:rsidR="006E6ADC" w:rsidRPr="00EB7E19" w:rsidRDefault="006E6ADC" w:rsidP="00F23FD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3CF00C6B" w14:textId="77777777" w:rsidTr="00212DCE">
        <w:trPr>
          <w:trHeight w:val="159"/>
        </w:trPr>
        <w:tc>
          <w:tcPr>
            <w:tcW w:w="761" w:type="dxa"/>
          </w:tcPr>
          <w:p w14:paraId="5ED482EB" w14:textId="5B82BEFD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33</w:t>
            </w:r>
          </w:p>
        </w:tc>
        <w:tc>
          <w:tcPr>
            <w:tcW w:w="2210" w:type="dxa"/>
          </w:tcPr>
          <w:p w14:paraId="19AF4CC9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J</w:t>
            </w:r>
            <w:r>
              <w:rPr>
                <w:rFonts w:cstheme="minorHAnsi"/>
                <w:sz w:val="16"/>
                <w:szCs w:val="16"/>
              </w:rPr>
              <w:t>ones, B. W. and W. Clark (2003)</w:t>
            </w:r>
          </w:p>
        </w:tc>
        <w:tc>
          <w:tcPr>
            <w:tcW w:w="1181" w:type="dxa"/>
          </w:tcPr>
          <w:p w14:paraId="75218592" w14:textId="77777777" w:rsidR="006E6ADC" w:rsidRPr="00EE65F7" w:rsidRDefault="006E6ADC" w:rsidP="006E6ADC">
            <w:pPr>
              <w:tabs>
                <w:tab w:val="left" w:pos="1485"/>
              </w:tabs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220E27F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 agreements:                         How to overcome the blank page.</w:t>
            </w:r>
          </w:p>
        </w:tc>
        <w:tc>
          <w:tcPr>
            <w:tcW w:w="2539" w:type="dxa"/>
          </w:tcPr>
          <w:p w14:paraId="14207811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This article describes how prescribing problems that occur across the primary-secondary care interface are being tackled by pharmacists and others in the West Midlands.</w:t>
            </w:r>
          </w:p>
        </w:tc>
        <w:tc>
          <w:tcPr>
            <w:tcW w:w="5207" w:type="dxa"/>
          </w:tcPr>
          <w:p w14:paraId="3CAADA46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P: wrong setting.</w:t>
            </w:r>
          </w:p>
          <w:p w14:paraId="01848ED1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 xml:space="preserve">Research setting was not correct. </w:t>
            </w:r>
          </w:p>
          <w:p w14:paraId="5567A42B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C: wrong design.</w:t>
            </w:r>
          </w:p>
          <w:p w14:paraId="0411E0F7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</w:tc>
      </w:tr>
      <w:tr w:rsidR="006E6ADC" w14:paraId="652658F9" w14:textId="77777777" w:rsidTr="00212DCE">
        <w:trPr>
          <w:trHeight w:val="159"/>
        </w:trPr>
        <w:tc>
          <w:tcPr>
            <w:tcW w:w="761" w:type="dxa"/>
          </w:tcPr>
          <w:p w14:paraId="6019308C" w14:textId="670B89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</w:t>
            </w:r>
          </w:p>
        </w:tc>
        <w:tc>
          <w:tcPr>
            <w:tcW w:w="2210" w:type="dxa"/>
          </w:tcPr>
          <w:p w14:paraId="4168563B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Jones, C., et al. (2017)</w:t>
            </w:r>
          </w:p>
        </w:tc>
        <w:tc>
          <w:tcPr>
            <w:tcW w:w="1181" w:type="dxa"/>
          </w:tcPr>
          <w:p w14:paraId="5AC0FA70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38546ED5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Update on the introduction of dose tapering to modernize and improve the biologics service in a district general hospital.</w:t>
            </w:r>
          </w:p>
        </w:tc>
        <w:tc>
          <w:tcPr>
            <w:tcW w:w="2539" w:type="dxa"/>
          </w:tcPr>
          <w:p w14:paraId="1A2CBA8C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Poster Presentation: </w:t>
            </w:r>
          </w:p>
          <w:p w14:paraId="40FD462E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Th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e poster presentation discuss the introduction of a 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departmental dose tapering protocol for patients with R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heumatoid arthritis.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5207" w:type="dxa"/>
          </w:tcPr>
          <w:p w14:paraId="4F7A2AD3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 xml:space="preserve">P: wrong setting. </w:t>
            </w:r>
          </w:p>
          <w:p w14:paraId="1CC9D1DF" w14:textId="75ACE89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Research setting was not correct.</w:t>
            </w:r>
          </w:p>
          <w:p w14:paraId="0384E0BA" w14:textId="77777777" w:rsidR="00F23FD1" w:rsidRPr="00CE0EC4" w:rsidRDefault="00F23FD1" w:rsidP="00F23FD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1BADEB55" w14:textId="77777777" w:rsidR="00F23FD1" w:rsidRPr="00EB7E19" w:rsidRDefault="00F23FD1" w:rsidP="00F23FD1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13775C8D" w14:textId="3E6D55E4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5CBDD249" w14:textId="77777777" w:rsidTr="00212DCE">
        <w:trPr>
          <w:trHeight w:val="159"/>
        </w:trPr>
        <w:tc>
          <w:tcPr>
            <w:tcW w:w="761" w:type="dxa"/>
          </w:tcPr>
          <w:p w14:paraId="0B303ACD" w14:textId="4CBAAC1D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2210" w:type="dxa"/>
          </w:tcPr>
          <w:p w14:paraId="544C84FE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Jon</w:t>
            </w:r>
            <w:r>
              <w:rPr>
                <w:rFonts w:cstheme="minorHAnsi"/>
                <w:sz w:val="16"/>
                <w:szCs w:val="16"/>
              </w:rPr>
              <w:t>es, E. and O. A. Cuevas (2018)</w:t>
            </w:r>
          </w:p>
        </w:tc>
        <w:tc>
          <w:tcPr>
            <w:tcW w:w="1181" w:type="dxa"/>
          </w:tcPr>
          <w:p w14:paraId="1696D8CC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3407B96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An audit on the use and monitoring of azathioprine (AZA) in a paediatric gastroenterology centre. Could NHS England via specialist commissioning rules (NHS-E-SPR) be affecting quality of care?</w:t>
            </w:r>
          </w:p>
        </w:tc>
        <w:tc>
          <w:tcPr>
            <w:tcW w:w="2539" w:type="dxa"/>
          </w:tcPr>
          <w:p w14:paraId="275FFC68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Poster Presentation: </w:t>
            </w:r>
          </w:p>
          <w:p w14:paraId="2862FBC6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An audit of gastroenterology centre’s adherence to the British Society of Gastroenterology Hepatology and Nutrition (B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SPGHAN) guideline.</w:t>
            </w:r>
          </w:p>
          <w:p w14:paraId="7861942C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</w:p>
          <w:p w14:paraId="5355FE2F" w14:textId="5A97F3FA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207" w:type="dxa"/>
          </w:tcPr>
          <w:p w14:paraId="2505431E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 xml:space="preserve">P: wrong setting. </w:t>
            </w:r>
          </w:p>
          <w:p w14:paraId="55EC9AE8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>Research setting was not correct.</w:t>
            </w:r>
          </w:p>
          <w:p w14:paraId="55A41619" w14:textId="77777777" w:rsidR="00F23FD1" w:rsidRPr="00CE0EC4" w:rsidRDefault="00F23FD1" w:rsidP="00F23FD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12F0A83C" w14:textId="77777777" w:rsidR="00F23FD1" w:rsidRPr="00EB7E19" w:rsidRDefault="00F23FD1" w:rsidP="00F23FD1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0D003A00" w14:textId="77777777" w:rsidR="006E6ADC" w:rsidRPr="00EB7E19" w:rsidRDefault="006E6ADC" w:rsidP="00F23FD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01C0CF79" w14:textId="77777777" w:rsidTr="00212DCE">
        <w:trPr>
          <w:trHeight w:val="159"/>
        </w:trPr>
        <w:tc>
          <w:tcPr>
            <w:tcW w:w="761" w:type="dxa"/>
          </w:tcPr>
          <w:p w14:paraId="793934E0" w14:textId="736760AD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</w:t>
            </w:r>
          </w:p>
        </w:tc>
        <w:tc>
          <w:tcPr>
            <w:tcW w:w="2210" w:type="dxa"/>
          </w:tcPr>
          <w:p w14:paraId="22AE66F8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Lloyd, L. A., et al. (2009)</w:t>
            </w:r>
          </w:p>
        </w:tc>
        <w:tc>
          <w:tcPr>
            <w:tcW w:w="1181" w:type="dxa"/>
          </w:tcPr>
          <w:p w14:paraId="17B0F9A9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7B667965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An audit of methotrexate monitoring in primary care as part of a shared care agreement. </w:t>
            </w:r>
          </w:p>
        </w:tc>
        <w:tc>
          <w:tcPr>
            <w:tcW w:w="2539" w:type="dxa"/>
          </w:tcPr>
          <w:p w14:paraId="254C0FF4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Conference abstract </w:t>
            </w:r>
          </w:p>
          <w:p w14:paraId="720CCBA5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conference abstract discusses and audit of methotrexate </w:t>
            </w:r>
          </w:p>
        </w:tc>
        <w:tc>
          <w:tcPr>
            <w:tcW w:w="5207" w:type="dxa"/>
          </w:tcPr>
          <w:p w14:paraId="1D5859CA" w14:textId="77777777" w:rsidR="006E6ADC" w:rsidRPr="002B20E5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2B20E5">
              <w:rPr>
                <w:rFonts w:cstheme="minorHAnsi"/>
                <w:sz w:val="16"/>
                <w:szCs w:val="16"/>
              </w:rPr>
              <w:t>I: Insufficient intervention data.</w:t>
            </w:r>
          </w:p>
          <w:p w14:paraId="6FED6822" w14:textId="7340F087" w:rsidR="006E6ADC" w:rsidRPr="00E00E7A" w:rsidRDefault="006E6ADC" w:rsidP="006E6ADC">
            <w:pPr>
              <w:rPr>
                <w:rFonts w:cstheme="minorHAnsi"/>
                <w:b/>
                <w:sz w:val="16"/>
                <w:szCs w:val="16"/>
              </w:rPr>
            </w:pPr>
            <w:r w:rsidRPr="002B20E5">
              <w:rPr>
                <w:rFonts w:cstheme="minorHAnsi"/>
                <w:sz w:val="16"/>
                <w:szCs w:val="16"/>
              </w:rPr>
              <w:t>Intervention was not described in enough detail to determine the study should be included</w:t>
            </w:r>
          </w:p>
        </w:tc>
      </w:tr>
      <w:tr w:rsidR="006E6ADC" w14:paraId="5A669AA7" w14:textId="77777777" w:rsidTr="00212DCE">
        <w:trPr>
          <w:trHeight w:val="159"/>
        </w:trPr>
        <w:tc>
          <w:tcPr>
            <w:tcW w:w="761" w:type="dxa"/>
          </w:tcPr>
          <w:p w14:paraId="5CE416D1" w14:textId="50048C01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37</w:t>
            </w:r>
          </w:p>
        </w:tc>
        <w:tc>
          <w:tcPr>
            <w:tcW w:w="2210" w:type="dxa"/>
          </w:tcPr>
          <w:p w14:paraId="354C432B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MacLellan, J., et al. (2017)</w:t>
            </w:r>
          </w:p>
        </w:tc>
        <w:tc>
          <w:tcPr>
            <w:tcW w:w="1181" w:type="dxa"/>
          </w:tcPr>
          <w:p w14:paraId="49B9A109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7163BCFE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Care:</w:t>
            </w:r>
          </w:p>
          <w:p w14:paraId="1A565D9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How can we do it?</w:t>
            </w:r>
          </w:p>
          <w:p w14:paraId="7E51A433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Findings from the</w:t>
            </w:r>
            <w:r>
              <w:t xml:space="preserve"> </w:t>
            </w:r>
            <w:r w:rsidRPr="004F2219">
              <w:rPr>
                <w:rFonts w:cstheme="minorHAnsi"/>
                <w:sz w:val="16"/>
                <w:szCs w:val="16"/>
              </w:rPr>
              <w:t>British HIV Association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>(</w:t>
            </w:r>
            <w:r w:rsidRPr="00EE65F7">
              <w:rPr>
                <w:rFonts w:cstheme="minorHAnsi"/>
                <w:sz w:val="16"/>
                <w:szCs w:val="16"/>
              </w:rPr>
              <w:t>BHIVA</w:t>
            </w:r>
            <w:r>
              <w:rPr>
                <w:rFonts w:cstheme="minorHAnsi"/>
                <w:sz w:val="16"/>
                <w:szCs w:val="16"/>
              </w:rPr>
              <w:t>)</w:t>
            </w:r>
            <w:r w:rsidRPr="00EE65F7">
              <w:rPr>
                <w:rFonts w:cstheme="minorHAnsi"/>
                <w:sz w:val="16"/>
                <w:szCs w:val="16"/>
              </w:rPr>
              <w:t xml:space="preserve"> Primary Care Project</w:t>
            </w:r>
          </w:p>
        </w:tc>
        <w:tc>
          <w:tcPr>
            <w:tcW w:w="2539" w:type="dxa"/>
          </w:tcPr>
          <w:p w14:paraId="1D152EC4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Report </w:t>
            </w:r>
          </w:p>
          <w:p w14:paraId="50AFE0F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Report by BHIVA on </w:t>
            </w:r>
          </w:p>
          <w:p w14:paraId="0655E2FC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Commissioning and delivery of high-quality healthcare for people with HIV between primary and specialist care across the life course.</w:t>
            </w:r>
          </w:p>
        </w:tc>
        <w:tc>
          <w:tcPr>
            <w:tcW w:w="5207" w:type="dxa"/>
          </w:tcPr>
          <w:p w14:paraId="27F19811" w14:textId="31B5605E" w:rsidR="006E6ADC" w:rsidRPr="002B20E5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2B20E5">
              <w:rPr>
                <w:rFonts w:cstheme="minorHAnsi"/>
                <w:sz w:val="16"/>
                <w:szCs w:val="16"/>
              </w:rPr>
              <w:t xml:space="preserve">C: wrong design. </w:t>
            </w:r>
          </w:p>
          <w:p w14:paraId="7A6398B1" w14:textId="77777777" w:rsidR="006E6ADC" w:rsidRPr="002B20E5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2B20E5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  <w:p w14:paraId="0846E8FA" w14:textId="77777777" w:rsidR="00F23FD1" w:rsidRPr="00CE0EC4" w:rsidRDefault="00F23FD1" w:rsidP="00F23FD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23646C01" w14:textId="77777777" w:rsidR="00F23FD1" w:rsidRPr="00EB7E19" w:rsidRDefault="00F23FD1" w:rsidP="00F23FD1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10B71328" w14:textId="699B5CE0" w:rsidR="006E6ADC" w:rsidRPr="002B20E5" w:rsidRDefault="006E6ADC" w:rsidP="00F23FD1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798E98CA" w14:textId="77777777" w:rsidTr="00212DCE">
        <w:trPr>
          <w:trHeight w:val="159"/>
        </w:trPr>
        <w:tc>
          <w:tcPr>
            <w:tcW w:w="761" w:type="dxa"/>
          </w:tcPr>
          <w:p w14:paraId="2D47F08E" w14:textId="4EECA245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38</w:t>
            </w:r>
          </w:p>
        </w:tc>
        <w:tc>
          <w:tcPr>
            <w:tcW w:w="2210" w:type="dxa"/>
          </w:tcPr>
          <w:p w14:paraId="3BE4430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Mercer, K., et al. (2018)</w:t>
            </w:r>
          </w:p>
        </w:tc>
        <w:tc>
          <w:tcPr>
            <w:tcW w:w="1181" w:type="dxa"/>
          </w:tcPr>
          <w:p w14:paraId="3EECAD1A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Canada </w:t>
            </w:r>
          </w:p>
        </w:tc>
        <w:tc>
          <w:tcPr>
            <w:tcW w:w="1989" w:type="dxa"/>
          </w:tcPr>
          <w:p w14:paraId="18B9897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Physician and pharmacist medication decision-making in the time of electronic health records: Mixed-methods study.</w:t>
            </w:r>
          </w:p>
        </w:tc>
        <w:tc>
          <w:tcPr>
            <w:tcW w:w="2539" w:type="dxa"/>
          </w:tcPr>
          <w:p w14:paraId="20DAD3CD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The article examines how physicians and pharmacists understand and </w:t>
            </w:r>
            <w:r w:rsidRPr="00EE65F7"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communicate patient-focused medication information using electronic health records</w:t>
            </w:r>
            <w:r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>.</w:t>
            </w:r>
            <w:r w:rsidRPr="00EE65F7">
              <w:rPr>
                <w:rFonts w:cstheme="minorHAnsi"/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</w:t>
            </w:r>
          </w:p>
        </w:tc>
        <w:tc>
          <w:tcPr>
            <w:tcW w:w="5207" w:type="dxa"/>
          </w:tcPr>
          <w:p w14:paraId="00C0F794" w14:textId="77777777" w:rsidR="00F23FD1" w:rsidRPr="00CE0EC4" w:rsidRDefault="00F23FD1" w:rsidP="00F23FD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0D9DFB5E" w14:textId="59E2BF62" w:rsidR="00F23FD1" w:rsidRDefault="00F23FD1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61586E3C" w14:textId="642C2BEC" w:rsidR="006E6ADC" w:rsidRPr="002B20E5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2B20E5">
              <w:rPr>
                <w:rFonts w:cstheme="minorHAnsi"/>
                <w:sz w:val="16"/>
                <w:szCs w:val="16"/>
              </w:rPr>
              <w:t xml:space="preserve">C: wrong design. </w:t>
            </w:r>
          </w:p>
          <w:p w14:paraId="1889CD1D" w14:textId="77777777" w:rsidR="006E6ADC" w:rsidRPr="002B20E5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2B20E5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</w:tc>
      </w:tr>
      <w:tr w:rsidR="006E6ADC" w14:paraId="0F4B704C" w14:textId="77777777" w:rsidTr="00212DCE">
        <w:trPr>
          <w:trHeight w:val="159"/>
        </w:trPr>
        <w:tc>
          <w:tcPr>
            <w:tcW w:w="761" w:type="dxa"/>
          </w:tcPr>
          <w:p w14:paraId="6E88739E" w14:textId="20023870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39</w:t>
            </w:r>
          </w:p>
        </w:tc>
        <w:tc>
          <w:tcPr>
            <w:tcW w:w="2210" w:type="dxa"/>
          </w:tcPr>
          <w:p w14:paraId="03C86685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Mercer, K., et al. (2020)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3A11A202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Canada </w:t>
            </w:r>
          </w:p>
        </w:tc>
        <w:tc>
          <w:tcPr>
            <w:tcW w:w="1989" w:type="dxa"/>
          </w:tcPr>
          <w:p w14:paraId="5180E837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“My pharmacist": Creating and maintaining relationship between physicians and pharmacists in primary care settings.</w:t>
            </w:r>
          </w:p>
        </w:tc>
        <w:tc>
          <w:tcPr>
            <w:tcW w:w="2539" w:type="dxa"/>
          </w:tcPr>
          <w:p w14:paraId="59595661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</w:t>
            </w: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examines how pharmacists and primary care physicia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ns communicate with each other and maintain relationships. </w:t>
            </w:r>
          </w:p>
        </w:tc>
        <w:tc>
          <w:tcPr>
            <w:tcW w:w="5207" w:type="dxa"/>
          </w:tcPr>
          <w:p w14:paraId="53539D41" w14:textId="23616BC9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C: wrong design. </w:t>
            </w:r>
          </w:p>
          <w:p w14:paraId="49C4B488" w14:textId="77777777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  <w:p w14:paraId="1A4EB128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57EF06A6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07DEF436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0529E094" w14:textId="77777777" w:rsidTr="00212DCE">
        <w:trPr>
          <w:trHeight w:val="159"/>
        </w:trPr>
        <w:tc>
          <w:tcPr>
            <w:tcW w:w="761" w:type="dxa"/>
          </w:tcPr>
          <w:p w14:paraId="5C1FBB52" w14:textId="2E4F0DB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2210" w:type="dxa"/>
          </w:tcPr>
          <w:p w14:paraId="48621CF8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Morakinyo, J. (2017)</w:t>
            </w:r>
          </w:p>
        </w:tc>
        <w:tc>
          <w:tcPr>
            <w:tcW w:w="1181" w:type="dxa"/>
          </w:tcPr>
          <w:p w14:paraId="76FE2A4F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0FAA1F33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Shared care guideline for the use of Methylphenidate, Dexamfetamine, Lisdexamfetamine dimesylate &amp; Atomoxetine for the management of Attention Deficit Hyperactivity Disorder (ADHD) in Adults (18-64years)."</w:t>
            </w:r>
          </w:p>
        </w:tc>
        <w:tc>
          <w:tcPr>
            <w:tcW w:w="2539" w:type="dxa"/>
          </w:tcPr>
          <w:p w14:paraId="0C7B9CCE" w14:textId="77777777" w:rsidR="006E6ADC" w:rsidRPr="009D1EE5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An NHS document </w:t>
            </w:r>
            <w:r w:rsidRPr="009D1EE5">
              <w:rPr>
                <w:rFonts w:cstheme="minorHAnsi"/>
                <w:sz w:val="16"/>
                <w:szCs w:val="16"/>
                <w:shd w:val="clear" w:color="auto" w:fill="FFFFFF"/>
              </w:rPr>
              <w:t>provides information allowing patients with ADHD to be managed</w:t>
            </w:r>
          </w:p>
          <w:p w14:paraId="7D3B43EE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9D1EE5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safely via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</w:t>
            </w:r>
            <w:r w:rsidRPr="009D1EE5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transfer of prescribing across the primary and secondary care interface. </w:t>
            </w:r>
          </w:p>
          <w:p w14:paraId="65A9EB08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5207" w:type="dxa"/>
          </w:tcPr>
          <w:p w14:paraId="42AA8F90" w14:textId="77777777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Guideline not original research </w:t>
            </w:r>
          </w:p>
          <w:p w14:paraId="2452523E" w14:textId="77777777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5737F0B5" w14:textId="77777777" w:rsidTr="00212DCE">
        <w:trPr>
          <w:trHeight w:val="159"/>
        </w:trPr>
        <w:tc>
          <w:tcPr>
            <w:tcW w:w="761" w:type="dxa"/>
          </w:tcPr>
          <w:p w14:paraId="6597DCAC" w14:textId="73AF5FD6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</w:t>
            </w:r>
          </w:p>
        </w:tc>
        <w:tc>
          <w:tcPr>
            <w:tcW w:w="2210" w:type="dxa"/>
          </w:tcPr>
          <w:p w14:paraId="0DF9AC79" w14:textId="24E51F86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Mousa, Y., et al. (2009)</w:t>
            </w:r>
            <w:r w:rsidRPr="009D1EE5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3E5A4658" w14:textId="04F72EE6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28497423" w14:textId="19CEF184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9D1EE5">
              <w:rPr>
                <w:rFonts w:cstheme="minorHAnsi"/>
                <w:sz w:val="16"/>
                <w:szCs w:val="16"/>
              </w:rPr>
              <w:t xml:space="preserve">Investigating the potential for improved management of patients with long term conditions </w:t>
            </w:r>
            <w:r>
              <w:rPr>
                <w:rFonts w:cstheme="minorHAnsi"/>
                <w:sz w:val="16"/>
                <w:szCs w:val="16"/>
              </w:rPr>
              <w:t>through shared-care protocols.</w:t>
            </w:r>
          </w:p>
        </w:tc>
        <w:tc>
          <w:tcPr>
            <w:tcW w:w="2539" w:type="dxa"/>
          </w:tcPr>
          <w:p w14:paraId="24F93836" w14:textId="33142521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  <w:bdr w:val="none" w:sz="0" w:space="0" w:color="auto" w:frame="1"/>
                <w:shd w:val="clear" w:color="auto" w:fill="FFFFFF"/>
              </w:rPr>
              <w:t>This article</w:t>
            </w:r>
            <w:r w:rsidRPr="009D1EE5">
              <w:rPr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evaluate</w:t>
            </w:r>
            <w:r>
              <w:rPr>
                <w:sz w:val="16"/>
                <w:szCs w:val="16"/>
                <w:bdr w:val="none" w:sz="0" w:space="0" w:color="auto" w:frame="1"/>
                <w:shd w:val="clear" w:color="auto" w:fill="FFFFFF"/>
              </w:rPr>
              <w:t>s</w:t>
            </w:r>
            <w:r w:rsidRPr="009D1EE5">
              <w:rPr>
                <w:sz w:val="16"/>
                <w:szCs w:val="16"/>
                <w:bdr w:val="none" w:sz="0" w:space="0" w:color="auto" w:frame="1"/>
                <w:shd w:val="clear" w:color="auto" w:fill="FFFFFF"/>
              </w:rPr>
              <w:t xml:space="preserve"> the need and satisfaction of GPs and community pharmacists within the area with these guidelines</w:t>
            </w:r>
            <w:r>
              <w:rPr>
                <w:sz w:val="16"/>
                <w:szCs w:val="16"/>
                <w:bdr w:val="none" w:sz="0" w:space="0" w:color="auto" w:frame="1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6AD4F056" w14:textId="77777777" w:rsidR="00F23FD1" w:rsidRPr="00CE0EC4" w:rsidRDefault="00F23FD1" w:rsidP="00F23FD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0614F600" w14:textId="77777777" w:rsidR="00F23FD1" w:rsidRPr="00EB7E19" w:rsidRDefault="00F23FD1" w:rsidP="00F23FD1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05FD5369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6275A8D3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56DAA402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1CD2B626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5AA285FA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27FAAE2D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56F8AC78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1CFD534F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  <w:p w14:paraId="07EE2CC3" w14:textId="77777777" w:rsidR="006E6ADC" w:rsidRPr="00B53E3E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6D0A0A2D" w14:textId="77777777" w:rsidTr="00212DCE">
        <w:trPr>
          <w:trHeight w:val="159"/>
        </w:trPr>
        <w:tc>
          <w:tcPr>
            <w:tcW w:w="761" w:type="dxa"/>
          </w:tcPr>
          <w:p w14:paraId="674A5100" w14:textId="1A6BEFF3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42</w:t>
            </w:r>
          </w:p>
        </w:tc>
        <w:tc>
          <w:tcPr>
            <w:tcW w:w="2210" w:type="dxa"/>
          </w:tcPr>
          <w:p w14:paraId="291261F7" w14:textId="473970BB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NICE (2016)</w:t>
            </w:r>
            <w:r w:rsidRPr="00EE65F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414508F6" w14:textId="2B023EFB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1075A31B" w14:textId="1036E726" w:rsidR="006E6ADC" w:rsidRPr="009D1EE5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E65F7">
              <w:rPr>
                <w:rFonts w:cstheme="minorHAnsi"/>
                <w:sz w:val="16"/>
                <w:szCs w:val="16"/>
              </w:rPr>
              <w:t>Transition between inpatient hospital settings and community or care home settings for adults with social care needs. National Institute for Health and Care Excellence.</w:t>
            </w:r>
          </w:p>
        </w:tc>
        <w:tc>
          <w:tcPr>
            <w:tcW w:w="2539" w:type="dxa"/>
          </w:tcPr>
          <w:p w14:paraId="0BFEFF34" w14:textId="254E469E" w:rsidR="006E6ADC" w:rsidRDefault="006E6ADC" w:rsidP="006E6ADC">
            <w:pPr>
              <w:rPr>
                <w:sz w:val="16"/>
                <w:szCs w:val="16"/>
                <w:bdr w:val="none" w:sz="0" w:space="0" w:color="auto" w:frame="1"/>
                <w:shd w:val="clear" w:color="auto" w:fill="FFFFFF"/>
              </w:rPr>
            </w:pPr>
            <w:r w:rsidRPr="00EE65F7">
              <w:rPr>
                <w:rFonts w:cstheme="minorHAnsi"/>
                <w:sz w:val="16"/>
                <w:szCs w:val="16"/>
                <w:shd w:val="clear" w:color="auto" w:fill="FFFFFF"/>
              </w:rPr>
              <w:t>This guideline covers the transition between inpatient hospital settings and community or care homes for adults with social care needs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46F7DC83" w14:textId="77777777" w:rsidR="006E6ADC" w:rsidRPr="00EB7E19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 xml:space="preserve">Guideline not original research </w:t>
            </w:r>
          </w:p>
          <w:p w14:paraId="509130CD" w14:textId="2DD36183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B7E19">
              <w:rPr>
                <w:rFonts w:cstheme="minorHAnsi"/>
                <w:sz w:val="16"/>
                <w:szCs w:val="16"/>
              </w:rPr>
              <w:t xml:space="preserve"> </w:t>
            </w:r>
          </w:p>
        </w:tc>
      </w:tr>
      <w:tr w:rsidR="006E6ADC" w14:paraId="6B292AD1" w14:textId="77777777" w:rsidTr="00212DCE">
        <w:trPr>
          <w:trHeight w:val="159"/>
        </w:trPr>
        <w:tc>
          <w:tcPr>
            <w:tcW w:w="761" w:type="dxa"/>
          </w:tcPr>
          <w:p w14:paraId="15683F3D" w14:textId="08A4F7C4" w:rsidR="006E6ADC" w:rsidRPr="00E9755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43</w:t>
            </w:r>
          </w:p>
        </w:tc>
        <w:tc>
          <w:tcPr>
            <w:tcW w:w="2210" w:type="dxa"/>
          </w:tcPr>
          <w:p w14:paraId="5B4EC666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Nkansah, N., et al. (2010)</w:t>
            </w:r>
            <w:r w:rsidRPr="00E9755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781E1C9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International (Systematic Review: Cochrane Review). Authors based in United States of America </w:t>
            </w:r>
          </w:p>
        </w:tc>
        <w:tc>
          <w:tcPr>
            <w:tcW w:w="1989" w:type="dxa"/>
          </w:tcPr>
          <w:p w14:paraId="363B5EB0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E97557">
              <w:rPr>
                <w:rFonts w:cstheme="minorHAnsi"/>
                <w:sz w:val="16"/>
                <w:szCs w:val="16"/>
              </w:rPr>
              <w:t>Effect of outpatient pharmacists' non‐dispensing roles on patient outc</w:t>
            </w:r>
            <w:r>
              <w:rPr>
                <w:rFonts w:cstheme="minorHAnsi"/>
                <w:sz w:val="16"/>
                <w:szCs w:val="16"/>
              </w:rPr>
              <w:t>omes and prescribing patterns.</w:t>
            </w:r>
          </w:p>
        </w:tc>
        <w:tc>
          <w:tcPr>
            <w:tcW w:w="2539" w:type="dxa"/>
          </w:tcPr>
          <w:p w14:paraId="1EAC68C5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article discusses </w:t>
            </w:r>
            <w:r w:rsidRPr="00E97557">
              <w:rPr>
                <w:rFonts w:cstheme="minorHAnsi"/>
                <w:sz w:val="16"/>
                <w:szCs w:val="16"/>
                <w:shd w:val="clear" w:color="auto" w:fill="FFFFFF"/>
              </w:rPr>
              <w:t>outpatient pharmacists' non-dispensing roles on patient and health professional outcomes.</w:t>
            </w:r>
          </w:p>
        </w:tc>
        <w:tc>
          <w:tcPr>
            <w:tcW w:w="5207" w:type="dxa"/>
          </w:tcPr>
          <w:p w14:paraId="573C1772" w14:textId="57FBA818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C: wrong design. </w:t>
            </w:r>
          </w:p>
          <w:p w14:paraId="375C4E00" w14:textId="77777777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</w:tc>
      </w:tr>
      <w:tr w:rsidR="006E6ADC" w14:paraId="1AEEEB9F" w14:textId="77777777" w:rsidTr="00212DCE">
        <w:trPr>
          <w:trHeight w:val="159"/>
        </w:trPr>
        <w:tc>
          <w:tcPr>
            <w:tcW w:w="761" w:type="dxa"/>
          </w:tcPr>
          <w:p w14:paraId="255C8572" w14:textId="46AE5328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44</w:t>
            </w:r>
          </w:p>
        </w:tc>
        <w:tc>
          <w:tcPr>
            <w:tcW w:w="2210" w:type="dxa"/>
          </w:tcPr>
          <w:p w14:paraId="69782115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O'Halloran, K. A. (2016)</w:t>
            </w:r>
          </w:p>
          <w:p w14:paraId="409A0516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81" w:type="dxa"/>
          </w:tcPr>
          <w:p w14:paraId="6FC1EA6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7D49F084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376D76">
              <w:rPr>
                <w:rFonts w:cstheme="minorHAnsi"/>
                <w:sz w:val="16"/>
                <w:szCs w:val="16"/>
              </w:rPr>
              <w:t>Developing Integrated Care Teams Acros</w:t>
            </w:r>
            <w:r>
              <w:rPr>
                <w:rFonts w:cstheme="minorHAnsi"/>
                <w:sz w:val="16"/>
                <w:szCs w:val="16"/>
              </w:rPr>
              <w:t>s the North West London System.</w:t>
            </w:r>
          </w:p>
          <w:p w14:paraId="189CF144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39" w:type="dxa"/>
          </w:tcPr>
          <w:p w14:paraId="57E0742D" w14:textId="77777777" w:rsidR="006E6ADC" w:rsidRPr="00EE65F7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Conference abstract on developing integrated care system in London. </w:t>
            </w:r>
          </w:p>
        </w:tc>
        <w:tc>
          <w:tcPr>
            <w:tcW w:w="5207" w:type="dxa"/>
          </w:tcPr>
          <w:p w14:paraId="58D5BE35" w14:textId="77777777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6E6ADC" w14:paraId="6001450B" w14:textId="77777777" w:rsidTr="00212DCE">
        <w:trPr>
          <w:trHeight w:val="159"/>
        </w:trPr>
        <w:tc>
          <w:tcPr>
            <w:tcW w:w="761" w:type="dxa"/>
          </w:tcPr>
          <w:p w14:paraId="5AD1E99C" w14:textId="0997C1C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45</w:t>
            </w:r>
          </w:p>
        </w:tc>
        <w:tc>
          <w:tcPr>
            <w:tcW w:w="2210" w:type="dxa"/>
          </w:tcPr>
          <w:p w14:paraId="41FBDE03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Petty, D. (2019)</w:t>
            </w:r>
          </w:p>
        </w:tc>
        <w:tc>
          <w:tcPr>
            <w:tcW w:w="1181" w:type="dxa"/>
          </w:tcPr>
          <w:p w14:paraId="7680F8D8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4CD77BEA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9319E2">
              <w:rPr>
                <w:rFonts w:cstheme="minorHAnsi"/>
                <w:sz w:val="16"/>
                <w:szCs w:val="16"/>
              </w:rPr>
              <w:t>Clinical pharmacist roles in primary care networks</w:t>
            </w:r>
            <w:r>
              <w:rPr>
                <w:rFonts w:cstheme="minorHAnsi"/>
                <w:sz w:val="16"/>
                <w:szCs w:val="16"/>
              </w:rPr>
              <w:t xml:space="preserve"> (PCN)</w:t>
            </w:r>
            <w:r w:rsidRPr="009319E2">
              <w:rPr>
                <w:rFonts w:cstheme="minorHAnsi"/>
                <w:sz w:val="16"/>
                <w:szCs w:val="16"/>
              </w:rPr>
              <w:t>.</w:t>
            </w:r>
          </w:p>
        </w:tc>
        <w:tc>
          <w:tcPr>
            <w:tcW w:w="2539" w:type="dxa"/>
          </w:tcPr>
          <w:p w14:paraId="01B9AD2F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</w:t>
            </w:r>
            <w:r w:rsidRPr="009319E2">
              <w:rPr>
                <w:rFonts w:cstheme="minorHAnsi"/>
                <w:sz w:val="16"/>
                <w:szCs w:val="16"/>
                <w:shd w:val="clear" w:color="auto" w:fill="FFFFFF"/>
              </w:rPr>
              <w:t>his article discusses the roles that will be expected of clinical pharmacists within PCNs and how these roles are likely to develop in the future.</w:t>
            </w:r>
          </w:p>
        </w:tc>
        <w:tc>
          <w:tcPr>
            <w:tcW w:w="5207" w:type="dxa"/>
          </w:tcPr>
          <w:p w14:paraId="4B358A23" w14:textId="77777777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C: This was a commentary.</w:t>
            </w:r>
          </w:p>
        </w:tc>
      </w:tr>
      <w:tr w:rsidR="006E6ADC" w14:paraId="2A76DCB6" w14:textId="77777777" w:rsidTr="00212DCE">
        <w:trPr>
          <w:trHeight w:val="159"/>
        </w:trPr>
        <w:tc>
          <w:tcPr>
            <w:tcW w:w="761" w:type="dxa"/>
          </w:tcPr>
          <w:p w14:paraId="2BC2B028" w14:textId="1F604711" w:rsidR="006E6ADC" w:rsidRPr="009319E2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46</w:t>
            </w:r>
          </w:p>
        </w:tc>
        <w:tc>
          <w:tcPr>
            <w:tcW w:w="2210" w:type="dxa"/>
          </w:tcPr>
          <w:p w14:paraId="66ECBD5B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Pharm, K. M. M. B. (2018)</w:t>
            </w:r>
            <w:r w:rsidRPr="009319E2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23292932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Australia </w:t>
            </w:r>
          </w:p>
        </w:tc>
        <w:tc>
          <w:tcPr>
            <w:tcW w:w="1989" w:type="dxa"/>
          </w:tcPr>
          <w:p w14:paraId="7D1E3488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9319E2">
              <w:rPr>
                <w:rFonts w:cstheme="minorHAnsi"/>
                <w:sz w:val="16"/>
                <w:szCs w:val="16"/>
              </w:rPr>
              <w:t>Clozapine, concomitant medications and consumers: Assessing the accuracy of medication records and the lived experience of people prescribed clozapine under shared care arrangements</w:t>
            </w:r>
          </w:p>
        </w:tc>
        <w:tc>
          <w:tcPr>
            <w:tcW w:w="2539" w:type="dxa"/>
          </w:tcPr>
          <w:p w14:paraId="0AD24FA7" w14:textId="77777777" w:rsidR="006E6ADC" w:rsidRPr="00087008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 w:rsidRPr="001546F5">
              <w:rPr>
                <w:rFonts w:cstheme="minorHAnsi"/>
                <w:sz w:val="16"/>
                <w:szCs w:val="16"/>
                <w:shd w:val="clear" w:color="auto" w:fill="FFFFFF"/>
              </w:rPr>
              <w:t>This thesis discusses interventions to optimise access to accurate medication information, and communication pathways between stakeholders and consumers of clozapine shared care service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1DB72C18" w14:textId="77777777" w:rsidR="00F23FD1" w:rsidRPr="00CE0EC4" w:rsidRDefault="00F23FD1" w:rsidP="00F23FD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17236113" w14:textId="77777777" w:rsidR="00F23FD1" w:rsidRPr="00EB7E19" w:rsidRDefault="00F23FD1" w:rsidP="00F23FD1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4693AD94" w14:textId="6D2E210F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54C97FA3" w14:textId="77777777" w:rsidTr="00212DCE">
        <w:trPr>
          <w:trHeight w:val="159"/>
        </w:trPr>
        <w:tc>
          <w:tcPr>
            <w:tcW w:w="761" w:type="dxa"/>
          </w:tcPr>
          <w:p w14:paraId="2CFDF2B5" w14:textId="2F4E4E89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47</w:t>
            </w:r>
          </w:p>
        </w:tc>
        <w:tc>
          <w:tcPr>
            <w:tcW w:w="2210" w:type="dxa"/>
          </w:tcPr>
          <w:p w14:paraId="2554D343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Richmond, S., et al. (2010)</w:t>
            </w:r>
            <w:r w:rsidRPr="00087008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42396C15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2FF44B0E" w14:textId="77777777" w:rsidR="006E6ADC" w:rsidRPr="00376D76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087008">
              <w:rPr>
                <w:rFonts w:cstheme="minorHAnsi"/>
                <w:sz w:val="16"/>
                <w:szCs w:val="16"/>
              </w:rPr>
              <w:t>Effectiveness of shared pharmaceutical care for older patients</w:t>
            </w:r>
            <w:r>
              <w:rPr>
                <w:rFonts w:cstheme="minorHAnsi"/>
                <w:sz w:val="16"/>
                <w:szCs w:val="16"/>
              </w:rPr>
              <w:t>: RESPECT trial findings.</w:t>
            </w:r>
          </w:p>
        </w:tc>
        <w:tc>
          <w:tcPr>
            <w:tcW w:w="2539" w:type="dxa"/>
          </w:tcPr>
          <w:p w14:paraId="49F0215E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The article evaluates the effe</w:t>
            </w:r>
            <w:r w:rsidRPr="00087008">
              <w:rPr>
                <w:rFonts w:cstheme="minorHAnsi"/>
                <w:sz w:val="16"/>
                <w:szCs w:val="16"/>
                <w:shd w:val="clear" w:color="auto" w:fill="FFFFFF"/>
              </w:rPr>
              <w:t>ctiv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eness of pharmace</w:t>
            </w:r>
            <w:r w:rsidRPr="00087008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utical  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             ca</w:t>
            </w:r>
            <w:r w:rsidRPr="00087008">
              <w:rPr>
                <w:rFonts w:cstheme="minorHAnsi"/>
                <w:sz w:val="16"/>
                <w:szCs w:val="16"/>
                <w:shd w:val="clear" w:color="auto" w:fill="FFFFFF"/>
              </w:rPr>
              <w:t>re fo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r older people, sha</w:t>
            </w:r>
            <w:r w:rsidRPr="00087008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red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                betwee</w:t>
            </w:r>
            <w:r w:rsidRPr="00087008">
              <w:rPr>
                <w:rFonts w:cstheme="minorHAnsi"/>
                <w:sz w:val="16"/>
                <w:szCs w:val="16"/>
                <w:shd w:val="clear" w:color="auto" w:fill="FFFFFF"/>
              </w:rPr>
              <w:t>n GPs and community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pharmacist s in the UK, relative to usual care. </w:t>
            </w:r>
          </w:p>
        </w:tc>
        <w:tc>
          <w:tcPr>
            <w:tcW w:w="5207" w:type="dxa"/>
          </w:tcPr>
          <w:p w14:paraId="5AA5484E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1E05AC07" w14:textId="034DB0F5" w:rsidR="004F6773" w:rsidRDefault="004F6773" w:rsidP="006E6ADC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5855206B" w14:textId="7A72B7E4" w:rsidR="006E6ADC" w:rsidRPr="00D80504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C: wrong design.                                                                                                                                              The design of the study was not the one desired. </w:t>
            </w:r>
          </w:p>
        </w:tc>
      </w:tr>
      <w:tr w:rsidR="006E6ADC" w14:paraId="794B5E7C" w14:textId="77777777" w:rsidTr="00212DCE">
        <w:trPr>
          <w:trHeight w:val="159"/>
        </w:trPr>
        <w:tc>
          <w:tcPr>
            <w:tcW w:w="761" w:type="dxa"/>
          </w:tcPr>
          <w:p w14:paraId="51327717" w14:textId="657CB4F8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48</w:t>
            </w:r>
          </w:p>
        </w:tc>
        <w:tc>
          <w:tcPr>
            <w:tcW w:w="2210" w:type="dxa"/>
          </w:tcPr>
          <w:p w14:paraId="180F9642" w14:textId="77777777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087008">
              <w:rPr>
                <w:rFonts w:cstheme="minorHAnsi"/>
                <w:sz w:val="16"/>
                <w:szCs w:val="16"/>
              </w:rPr>
              <w:t xml:space="preserve">Roberts, R. I. </w:t>
            </w:r>
            <w:r>
              <w:rPr>
                <w:rFonts w:cstheme="minorHAnsi"/>
                <w:sz w:val="16"/>
                <w:szCs w:val="16"/>
              </w:rPr>
              <w:t>(1997)</w:t>
            </w:r>
          </w:p>
        </w:tc>
        <w:tc>
          <w:tcPr>
            <w:tcW w:w="1181" w:type="dxa"/>
          </w:tcPr>
          <w:p w14:paraId="290420D8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Wales </w:t>
            </w:r>
          </w:p>
        </w:tc>
        <w:tc>
          <w:tcPr>
            <w:tcW w:w="1989" w:type="dxa"/>
          </w:tcPr>
          <w:p w14:paraId="1E6CC128" w14:textId="77777777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087008">
              <w:rPr>
                <w:rFonts w:cstheme="minorHAnsi"/>
                <w:sz w:val="16"/>
                <w:szCs w:val="16"/>
              </w:rPr>
              <w:t>Roberts, R. I. "The Welsh shared care prescribing project."</w:t>
            </w:r>
          </w:p>
        </w:tc>
        <w:tc>
          <w:tcPr>
            <w:tcW w:w="2539" w:type="dxa"/>
          </w:tcPr>
          <w:p w14:paraId="4D3AE855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article discusses the Welsh shared care prescribing project. </w:t>
            </w:r>
          </w:p>
        </w:tc>
        <w:tc>
          <w:tcPr>
            <w:tcW w:w="5207" w:type="dxa"/>
          </w:tcPr>
          <w:p w14:paraId="67EFE5AF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N </w:t>
            </w:r>
            <w:bookmarkStart w:id="0" w:name="_GoBack"/>
            <w:r w:rsidRPr="00D80504">
              <w:rPr>
                <w:rFonts w:cstheme="minorHAnsi"/>
                <w:sz w:val="16"/>
                <w:szCs w:val="16"/>
              </w:rPr>
              <w:t xml:space="preserve">article not </w:t>
            </w:r>
            <w:bookmarkEnd w:id="0"/>
            <w:r w:rsidRPr="00D80504">
              <w:rPr>
                <w:rFonts w:cstheme="minorHAnsi"/>
                <w:sz w:val="16"/>
                <w:szCs w:val="16"/>
              </w:rPr>
              <w:t>available The staff performing the systematic review were unable to obtain the full text of the article.</w:t>
            </w:r>
            <w:r w:rsidRPr="00D80504">
              <w:rPr>
                <w:rFonts w:cstheme="minorHAnsi"/>
                <w:sz w:val="16"/>
                <w:szCs w:val="16"/>
              </w:rPr>
              <w:tab/>
            </w:r>
          </w:p>
        </w:tc>
      </w:tr>
      <w:tr w:rsidR="006E6ADC" w14:paraId="6D1DE941" w14:textId="77777777" w:rsidTr="00212DCE">
        <w:trPr>
          <w:trHeight w:val="159"/>
        </w:trPr>
        <w:tc>
          <w:tcPr>
            <w:tcW w:w="761" w:type="dxa"/>
          </w:tcPr>
          <w:p w14:paraId="5B74BB2C" w14:textId="7B619AAC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49</w:t>
            </w:r>
          </w:p>
        </w:tc>
        <w:tc>
          <w:tcPr>
            <w:tcW w:w="2210" w:type="dxa"/>
          </w:tcPr>
          <w:p w14:paraId="283D7834" w14:textId="77777777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Sibbald, B., et al. (1992)</w:t>
            </w:r>
          </w:p>
        </w:tc>
        <w:tc>
          <w:tcPr>
            <w:tcW w:w="1181" w:type="dxa"/>
          </w:tcPr>
          <w:p w14:paraId="593927F9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00BF676F" w14:textId="77777777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F04467">
              <w:rPr>
                <w:rFonts w:cstheme="minorHAnsi"/>
                <w:sz w:val="16"/>
                <w:szCs w:val="16"/>
              </w:rPr>
              <w:t>Prescribing at the hospital-general practice interface. II: Impact of hospital outpatient dispensing policies in England on general practitioners and hospital consultants</w:t>
            </w:r>
          </w:p>
        </w:tc>
        <w:tc>
          <w:tcPr>
            <w:tcW w:w="2539" w:type="dxa"/>
          </w:tcPr>
          <w:p w14:paraId="49EFB6FC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article evaluates the impact on general practitioners and hospital consultants on outpatient dispensing policies. </w:t>
            </w:r>
          </w:p>
        </w:tc>
        <w:tc>
          <w:tcPr>
            <w:tcW w:w="5207" w:type="dxa"/>
          </w:tcPr>
          <w:p w14:paraId="12510E4C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4A9E2511" w14:textId="77777777" w:rsidR="004F6773" w:rsidRPr="00EB7E19" w:rsidRDefault="004F6773" w:rsidP="004F677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5055229E" w14:textId="568A4A4B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7B8B8416" w14:textId="77777777" w:rsidTr="00212DCE">
        <w:trPr>
          <w:trHeight w:val="983"/>
        </w:trPr>
        <w:tc>
          <w:tcPr>
            <w:tcW w:w="761" w:type="dxa"/>
          </w:tcPr>
          <w:p w14:paraId="2F8A44FF" w14:textId="7CC82264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50</w:t>
            </w:r>
          </w:p>
        </w:tc>
        <w:tc>
          <w:tcPr>
            <w:tcW w:w="2210" w:type="dxa"/>
          </w:tcPr>
          <w:p w14:paraId="6685B124" w14:textId="77777777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Smith, S. M., et al. (2017)</w:t>
            </w:r>
            <w:r w:rsidRPr="00F04467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31E9AF5C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International (Systematic Review: Cochrane Review). Authors based in Republic of Ireland. </w:t>
            </w:r>
          </w:p>
        </w:tc>
        <w:tc>
          <w:tcPr>
            <w:tcW w:w="1989" w:type="dxa"/>
          </w:tcPr>
          <w:p w14:paraId="6CF92ADF" w14:textId="77777777" w:rsidR="006E6ADC" w:rsidRPr="0008700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F04467">
              <w:rPr>
                <w:rFonts w:cstheme="minorHAnsi"/>
                <w:sz w:val="16"/>
                <w:szCs w:val="16"/>
              </w:rPr>
              <w:t>Shared care across the interface between primary and specialty care in mana</w:t>
            </w:r>
            <w:r>
              <w:rPr>
                <w:rFonts w:cstheme="minorHAnsi"/>
                <w:sz w:val="16"/>
                <w:szCs w:val="16"/>
              </w:rPr>
              <w:t>gement of long term conditions.</w:t>
            </w:r>
          </w:p>
        </w:tc>
        <w:tc>
          <w:tcPr>
            <w:tcW w:w="2539" w:type="dxa"/>
          </w:tcPr>
          <w:p w14:paraId="2DEE8DAC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systematic review examines the </w:t>
            </w:r>
            <w:r w:rsidRPr="00C058DF">
              <w:rPr>
                <w:rFonts w:cstheme="minorHAnsi"/>
                <w:sz w:val="16"/>
                <w:szCs w:val="16"/>
                <w:shd w:val="clear" w:color="auto" w:fill="FFFFFF"/>
              </w:rPr>
              <w:t>effectiveness of shared ca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re health service interventions.</w:t>
            </w:r>
          </w:p>
        </w:tc>
        <w:tc>
          <w:tcPr>
            <w:tcW w:w="5207" w:type="dxa"/>
          </w:tcPr>
          <w:p w14:paraId="2D4AEED9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2EB9C756" w14:textId="77777777" w:rsidR="004F6773" w:rsidRPr="00EB7E19" w:rsidRDefault="004F6773" w:rsidP="004F677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115EC3D5" w14:textId="3000E481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23FBAAF0" w14:textId="77777777" w:rsidTr="00212DCE">
        <w:trPr>
          <w:trHeight w:val="983"/>
        </w:trPr>
        <w:tc>
          <w:tcPr>
            <w:tcW w:w="761" w:type="dxa"/>
          </w:tcPr>
          <w:p w14:paraId="32574BA9" w14:textId="6CCDE168" w:rsidR="006E6ADC" w:rsidRPr="00C058DF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51</w:t>
            </w:r>
          </w:p>
        </w:tc>
        <w:tc>
          <w:tcPr>
            <w:tcW w:w="2210" w:type="dxa"/>
          </w:tcPr>
          <w:p w14:paraId="59FE5C0C" w14:textId="77777777" w:rsidR="006E6ADC" w:rsidRPr="00C058DF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058DF">
              <w:rPr>
                <w:rFonts w:cstheme="minorHAnsi"/>
                <w:sz w:val="16"/>
                <w:szCs w:val="16"/>
              </w:rPr>
              <w:t>Sowerby, C. and D</w:t>
            </w:r>
            <w:r>
              <w:rPr>
                <w:rFonts w:cstheme="minorHAnsi"/>
                <w:sz w:val="16"/>
                <w:szCs w:val="16"/>
              </w:rPr>
              <w:t>. Taylor (2017)</w:t>
            </w:r>
          </w:p>
          <w:p w14:paraId="0E1E2768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81" w:type="dxa"/>
          </w:tcPr>
          <w:p w14:paraId="35DA7B9A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19C48CFA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058DF">
              <w:rPr>
                <w:rFonts w:cstheme="minorHAnsi"/>
                <w:sz w:val="16"/>
                <w:szCs w:val="16"/>
              </w:rPr>
              <w:t>Cross-sector user and provider perceptions on experiences of shared-care c</w:t>
            </w:r>
            <w:r>
              <w:rPr>
                <w:rFonts w:cstheme="minorHAnsi"/>
                <w:sz w:val="16"/>
                <w:szCs w:val="16"/>
              </w:rPr>
              <w:t>lozapine: a qualitative study.</w:t>
            </w:r>
          </w:p>
        </w:tc>
        <w:tc>
          <w:tcPr>
            <w:tcW w:w="2539" w:type="dxa"/>
          </w:tcPr>
          <w:p w14:paraId="246117FB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article examines stakeholder perceptions on </w:t>
            </w:r>
            <w:r w:rsidRPr="00C058DF">
              <w:rPr>
                <w:rFonts w:cstheme="minorHAnsi"/>
                <w:sz w:val="16"/>
                <w:szCs w:val="16"/>
                <w:shd w:val="clear" w:color="auto" w:fill="FFFFFF"/>
              </w:rPr>
              <w:t>delivering a shared-care clozapine service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and understanding its</w:t>
            </w:r>
            <w:r w:rsidRPr="00C058DF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effectiveness and acceptability of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service. </w:t>
            </w:r>
          </w:p>
        </w:tc>
        <w:tc>
          <w:tcPr>
            <w:tcW w:w="5207" w:type="dxa"/>
          </w:tcPr>
          <w:p w14:paraId="131DE363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7CA8FEDD" w14:textId="77777777" w:rsidR="004F6773" w:rsidRPr="00EB7E19" w:rsidRDefault="004F6773" w:rsidP="004F677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5F4638BE" w14:textId="2820F32E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038EC711" w14:textId="77777777" w:rsidTr="00212DCE">
        <w:trPr>
          <w:trHeight w:val="983"/>
        </w:trPr>
        <w:tc>
          <w:tcPr>
            <w:tcW w:w="761" w:type="dxa"/>
          </w:tcPr>
          <w:p w14:paraId="08D991D5" w14:textId="3577BEF0" w:rsidR="006E6ADC" w:rsidRPr="00C058DF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52</w:t>
            </w:r>
          </w:p>
        </w:tc>
        <w:tc>
          <w:tcPr>
            <w:tcW w:w="2210" w:type="dxa"/>
          </w:tcPr>
          <w:p w14:paraId="1DBC4749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058DF">
              <w:rPr>
                <w:rFonts w:cstheme="minorHAnsi"/>
                <w:sz w:val="16"/>
                <w:szCs w:val="16"/>
              </w:rPr>
              <w:t>Ste</w:t>
            </w:r>
            <w:r>
              <w:rPr>
                <w:rFonts w:cstheme="minorHAnsi"/>
                <w:sz w:val="16"/>
                <w:szCs w:val="16"/>
              </w:rPr>
              <w:t>ckowych, K. and M. Smith (2018)</w:t>
            </w:r>
            <w:r w:rsidRPr="00C058DF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5B078A1E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United States of America </w:t>
            </w:r>
          </w:p>
        </w:tc>
        <w:tc>
          <w:tcPr>
            <w:tcW w:w="1989" w:type="dxa"/>
          </w:tcPr>
          <w:p w14:paraId="4B4A8F7E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C058DF">
              <w:rPr>
                <w:rFonts w:cstheme="minorHAnsi"/>
                <w:sz w:val="16"/>
                <w:szCs w:val="16"/>
              </w:rPr>
              <w:t>Lessons learned and real-world challenges of implementing clinical pharmacy services in a primary care office.</w:t>
            </w:r>
          </w:p>
        </w:tc>
        <w:tc>
          <w:tcPr>
            <w:tcW w:w="2539" w:type="dxa"/>
          </w:tcPr>
          <w:p w14:paraId="066FB283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Conference abstract on the </w:t>
            </w:r>
            <w:r w:rsidRPr="002E1789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implementation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and </w:t>
            </w:r>
            <w:r w:rsidRPr="002E1789">
              <w:rPr>
                <w:rFonts w:cstheme="minorHAnsi"/>
                <w:sz w:val="16"/>
                <w:szCs w:val="16"/>
                <w:shd w:val="clear" w:color="auto" w:fill="FFFFFF"/>
              </w:rPr>
              <w:t>chall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enges faced while starting new</w:t>
            </w:r>
            <w:r w:rsidRPr="002E1789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clinical pharmacy services within 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primary care.</w:t>
            </w:r>
          </w:p>
        </w:tc>
        <w:tc>
          <w:tcPr>
            <w:tcW w:w="5207" w:type="dxa"/>
          </w:tcPr>
          <w:p w14:paraId="062007FC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C: wrong design. </w:t>
            </w:r>
          </w:p>
          <w:p w14:paraId="15DF1176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  <w:p w14:paraId="29AD9736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604F2D62" w14:textId="77777777" w:rsidTr="00212DCE">
        <w:trPr>
          <w:trHeight w:val="983"/>
        </w:trPr>
        <w:tc>
          <w:tcPr>
            <w:tcW w:w="761" w:type="dxa"/>
          </w:tcPr>
          <w:p w14:paraId="17777F7D" w14:textId="675D9F0C" w:rsidR="006E6ADC" w:rsidRPr="002E1789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53</w:t>
            </w:r>
          </w:p>
        </w:tc>
        <w:tc>
          <w:tcPr>
            <w:tcW w:w="2210" w:type="dxa"/>
          </w:tcPr>
          <w:p w14:paraId="5E62AD9C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Swallow, V. M., et al. (2013)</w:t>
            </w:r>
            <w:r w:rsidRPr="002E1789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0AAB134A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600FBAA6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2E1789">
              <w:rPr>
                <w:rFonts w:cstheme="minorHAnsi"/>
                <w:sz w:val="16"/>
                <w:szCs w:val="16"/>
              </w:rPr>
              <w:t>Multidisciplinary teams, and parents, negotiating common ground in shared-care of children with long-term conditions: A m</w:t>
            </w:r>
            <w:r>
              <w:rPr>
                <w:rFonts w:cstheme="minorHAnsi"/>
                <w:sz w:val="16"/>
                <w:szCs w:val="16"/>
              </w:rPr>
              <w:t>ixed methods study.</w:t>
            </w:r>
          </w:p>
        </w:tc>
        <w:tc>
          <w:tcPr>
            <w:tcW w:w="2539" w:type="dxa"/>
          </w:tcPr>
          <w:p w14:paraId="5678580E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article examines the </w:t>
            </w:r>
            <w:r w:rsidRPr="007864F8">
              <w:rPr>
                <w:rFonts w:cstheme="minorHAnsi"/>
                <w:sz w:val="16"/>
                <w:szCs w:val="16"/>
                <w:shd w:val="clear" w:color="auto" w:fill="FFFFFF"/>
              </w:rPr>
              <w:t>multi-method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</w:t>
            </w:r>
            <w:r w:rsidRPr="007864F8">
              <w:rPr>
                <w:rFonts w:cstheme="minorHAnsi"/>
                <w:sz w:val="16"/>
                <w:szCs w:val="16"/>
                <w:shd w:val="clear" w:color="auto" w:fill="FFFFFF"/>
              </w:rPr>
              <w:t>study of social interaction between multidisciplinary tea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ms and parents as they shared</w:t>
            </w:r>
            <w:r w:rsidRPr="007864F8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clinical care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61D7048C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P: wrong setting. </w:t>
            </w:r>
          </w:p>
          <w:p w14:paraId="10D66B8B" w14:textId="79A7C6A2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Research setting was not correct.</w:t>
            </w:r>
          </w:p>
          <w:p w14:paraId="0CE87091" w14:textId="1983119D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C: wrong </w:t>
            </w:r>
            <w:r w:rsidRPr="00D80504">
              <w:rPr>
                <w:rFonts w:cstheme="minorHAnsi"/>
                <w:sz w:val="16"/>
                <w:szCs w:val="16"/>
              </w:rPr>
              <w:t>design.</w:t>
            </w:r>
          </w:p>
          <w:p w14:paraId="4C331F93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</w:tc>
      </w:tr>
      <w:tr w:rsidR="006E6ADC" w14:paraId="11454737" w14:textId="77777777" w:rsidTr="00212DCE">
        <w:trPr>
          <w:trHeight w:val="983"/>
        </w:trPr>
        <w:tc>
          <w:tcPr>
            <w:tcW w:w="761" w:type="dxa"/>
          </w:tcPr>
          <w:p w14:paraId="588CE06B" w14:textId="746A6550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54</w:t>
            </w:r>
          </w:p>
        </w:tc>
        <w:tc>
          <w:tcPr>
            <w:tcW w:w="2210" w:type="dxa"/>
          </w:tcPr>
          <w:p w14:paraId="2F8A3E37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Taylor, D., et al. (2010)</w:t>
            </w:r>
          </w:p>
          <w:p w14:paraId="6581998C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81" w:type="dxa"/>
          </w:tcPr>
          <w:p w14:paraId="37EC7A55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England</w:t>
            </w:r>
          </w:p>
        </w:tc>
        <w:tc>
          <w:tcPr>
            <w:tcW w:w="1989" w:type="dxa"/>
          </w:tcPr>
          <w:p w14:paraId="061DECFE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7864F8">
              <w:rPr>
                <w:rFonts w:cstheme="minorHAnsi"/>
                <w:sz w:val="16"/>
                <w:szCs w:val="16"/>
              </w:rPr>
              <w:t>User and staff perspectives</w:t>
            </w:r>
            <w:r>
              <w:rPr>
                <w:rFonts w:cstheme="minorHAnsi"/>
                <w:sz w:val="16"/>
                <w:szCs w:val="16"/>
              </w:rPr>
              <w:t xml:space="preserve"> of clozapine clinic services.</w:t>
            </w:r>
          </w:p>
          <w:p w14:paraId="45198525" w14:textId="77777777" w:rsidR="006E6ADC" w:rsidRPr="00F04467" w:rsidRDefault="006E6ADC" w:rsidP="006E6ADC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539" w:type="dxa"/>
          </w:tcPr>
          <w:p w14:paraId="7F15B11B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The article examines the stakeholder’s perspectives of specialist clozapine clinics in England. </w:t>
            </w:r>
          </w:p>
        </w:tc>
        <w:tc>
          <w:tcPr>
            <w:tcW w:w="5207" w:type="dxa"/>
          </w:tcPr>
          <w:p w14:paraId="7E3862C0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P: wrong setting. </w:t>
            </w:r>
          </w:p>
          <w:p w14:paraId="54314906" w14:textId="347C3D4C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Something about the research setting was not correct.</w:t>
            </w:r>
          </w:p>
          <w:p w14:paraId="4EE4B180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6F5454C7" w14:textId="5829ECD7" w:rsidR="006E6ADC" w:rsidRPr="00D80504" w:rsidRDefault="004F6773" w:rsidP="004F677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</w:tc>
      </w:tr>
      <w:tr w:rsidR="006E6ADC" w14:paraId="2B419AA0" w14:textId="77777777" w:rsidTr="00212DCE">
        <w:trPr>
          <w:trHeight w:val="983"/>
        </w:trPr>
        <w:tc>
          <w:tcPr>
            <w:tcW w:w="761" w:type="dxa"/>
          </w:tcPr>
          <w:p w14:paraId="29C9C932" w14:textId="624AC106" w:rsidR="006E6ADC" w:rsidRPr="00354E80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55</w:t>
            </w:r>
          </w:p>
        </w:tc>
        <w:tc>
          <w:tcPr>
            <w:tcW w:w="2210" w:type="dxa"/>
          </w:tcPr>
          <w:p w14:paraId="3D385031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Terry, D. R. P. (2011)</w:t>
            </w:r>
            <w:r w:rsidRPr="00354E80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34693727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4375945B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1C3DAC">
              <w:rPr>
                <w:rFonts w:cstheme="minorHAnsi"/>
                <w:sz w:val="16"/>
                <w:szCs w:val="16"/>
              </w:rPr>
              <w:t>Medicines management across the primary-hospital healthcare interface: a study of paediatric patients</w:t>
            </w:r>
          </w:p>
        </w:tc>
        <w:tc>
          <w:tcPr>
            <w:tcW w:w="2539" w:type="dxa"/>
          </w:tcPr>
          <w:p w14:paraId="10C941F3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This thesis examines medicines management across the primary and secondary interface for paediatric patients and how processes can be improved. </w:t>
            </w:r>
          </w:p>
        </w:tc>
        <w:tc>
          <w:tcPr>
            <w:tcW w:w="5207" w:type="dxa"/>
          </w:tcPr>
          <w:p w14:paraId="2AA772FB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5F5067B5" w14:textId="748D1992" w:rsidR="004F6773" w:rsidRDefault="004F6773" w:rsidP="004F677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588D92EE" w14:textId="288DB473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 xml:space="preserve">C: wrong design. </w:t>
            </w:r>
          </w:p>
          <w:p w14:paraId="4A4A9BA3" w14:textId="77777777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</w:tc>
      </w:tr>
      <w:tr w:rsidR="006E6ADC" w14:paraId="4B5C0E54" w14:textId="77777777" w:rsidTr="007E7FD1">
        <w:trPr>
          <w:trHeight w:val="817"/>
        </w:trPr>
        <w:tc>
          <w:tcPr>
            <w:tcW w:w="761" w:type="dxa"/>
          </w:tcPr>
          <w:p w14:paraId="0ED5C0DF" w14:textId="40635251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56</w:t>
            </w:r>
          </w:p>
        </w:tc>
        <w:tc>
          <w:tcPr>
            <w:tcW w:w="2210" w:type="dxa"/>
          </w:tcPr>
          <w:p w14:paraId="3954EF32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Terry, D., et al. (2012)</w:t>
            </w:r>
          </w:p>
        </w:tc>
        <w:tc>
          <w:tcPr>
            <w:tcW w:w="1181" w:type="dxa"/>
          </w:tcPr>
          <w:p w14:paraId="0A69363F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0152C3A4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354E80">
              <w:rPr>
                <w:rFonts w:cstheme="minorHAnsi"/>
                <w:sz w:val="16"/>
                <w:szCs w:val="16"/>
              </w:rPr>
              <w:t>Prescribing for child</w:t>
            </w:r>
            <w:r>
              <w:rPr>
                <w:rFonts w:cstheme="minorHAnsi"/>
                <w:sz w:val="16"/>
                <w:szCs w:val="16"/>
              </w:rPr>
              <w:t>ren at the interfaces of care.</w:t>
            </w:r>
          </w:p>
        </w:tc>
        <w:tc>
          <w:tcPr>
            <w:tcW w:w="2539" w:type="dxa"/>
          </w:tcPr>
          <w:p w14:paraId="5F281942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This article reviews</w:t>
            </w:r>
            <w:r w:rsidRPr="00354E80"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 the current arrangements in England relating to prescribing for children at the interfaces of care</w:t>
            </w:r>
            <w:r>
              <w:rPr>
                <w:rFonts w:cstheme="minorHAnsi"/>
                <w:sz w:val="16"/>
                <w:szCs w:val="16"/>
                <w:shd w:val="clear" w:color="auto" w:fill="FFFFFF"/>
              </w:rPr>
              <w:t>.</w:t>
            </w:r>
          </w:p>
        </w:tc>
        <w:tc>
          <w:tcPr>
            <w:tcW w:w="5207" w:type="dxa"/>
          </w:tcPr>
          <w:p w14:paraId="2346340F" w14:textId="77777777" w:rsidR="006E6ADC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C: This was a commentary.</w:t>
            </w:r>
          </w:p>
          <w:p w14:paraId="7C857750" w14:textId="77777777" w:rsidR="006E6ADC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</w:p>
          <w:p w14:paraId="205DD90A" w14:textId="21C1644D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13A7934C" w14:textId="77777777" w:rsidTr="00212DCE">
        <w:trPr>
          <w:trHeight w:val="983"/>
        </w:trPr>
        <w:tc>
          <w:tcPr>
            <w:tcW w:w="761" w:type="dxa"/>
          </w:tcPr>
          <w:p w14:paraId="259E811D" w14:textId="255AB1BA" w:rsidR="006E6ADC" w:rsidRPr="001C3DA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57</w:t>
            </w:r>
          </w:p>
        </w:tc>
        <w:tc>
          <w:tcPr>
            <w:tcW w:w="2210" w:type="dxa"/>
          </w:tcPr>
          <w:p w14:paraId="4CCBEBC8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1C3DAC">
              <w:rPr>
                <w:rFonts w:cstheme="minorHAnsi"/>
                <w:sz w:val="16"/>
                <w:szCs w:val="16"/>
              </w:rPr>
              <w:t xml:space="preserve">Travis, </w:t>
            </w:r>
            <w:r>
              <w:rPr>
                <w:rFonts w:cstheme="minorHAnsi"/>
                <w:sz w:val="16"/>
                <w:szCs w:val="16"/>
              </w:rPr>
              <w:t>S. S. and Bethea</w:t>
            </w:r>
            <w:r>
              <w:t xml:space="preserve"> </w:t>
            </w:r>
            <w:r w:rsidRPr="00596A6D">
              <w:rPr>
                <w:rFonts w:cstheme="minorHAnsi"/>
                <w:sz w:val="16"/>
                <w:szCs w:val="16"/>
              </w:rPr>
              <w:t xml:space="preserve">L. S. </w:t>
            </w:r>
            <w:r>
              <w:rPr>
                <w:rFonts w:cstheme="minorHAnsi"/>
                <w:sz w:val="16"/>
                <w:szCs w:val="16"/>
              </w:rPr>
              <w:t xml:space="preserve"> (2001) </w:t>
            </w:r>
          </w:p>
        </w:tc>
        <w:tc>
          <w:tcPr>
            <w:tcW w:w="1181" w:type="dxa"/>
          </w:tcPr>
          <w:p w14:paraId="462144FA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United States of America </w:t>
            </w:r>
          </w:p>
        </w:tc>
        <w:tc>
          <w:tcPr>
            <w:tcW w:w="1989" w:type="dxa"/>
          </w:tcPr>
          <w:p w14:paraId="05600530" w14:textId="77777777" w:rsidR="006E6ADC" w:rsidRPr="007864F8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1C3DAC">
              <w:rPr>
                <w:rFonts w:cstheme="minorHAnsi"/>
                <w:sz w:val="16"/>
                <w:szCs w:val="16"/>
              </w:rPr>
              <w:t>Medication administration by family members of dependent elder</w:t>
            </w:r>
            <w:r>
              <w:rPr>
                <w:rFonts w:cstheme="minorHAnsi"/>
                <w:sz w:val="16"/>
                <w:szCs w:val="16"/>
              </w:rPr>
              <w:t>s in shared care arrangements.</w:t>
            </w:r>
          </w:p>
        </w:tc>
        <w:tc>
          <w:tcPr>
            <w:tcW w:w="2539" w:type="dxa"/>
          </w:tcPr>
          <w:p w14:paraId="4FB3B829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This article examines family member’s experiences with medication administration.</w:t>
            </w:r>
          </w:p>
        </w:tc>
        <w:tc>
          <w:tcPr>
            <w:tcW w:w="5207" w:type="dxa"/>
          </w:tcPr>
          <w:p w14:paraId="0DBBC8F4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7818DEA0" w14:textId="77777777" w:rsidR="004F6773" w:rsidRPr="00EB7E19" w:rsidRDefault="004F6773" w:rsidP="004F677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159DFF42" w14:textId="5CF6D5DB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C: wrong design</w:t>
            </w:r>
            <w:r w:rsidR="000C03A9">
              <w:rPr>
                <w:rFonts w:cstheme="minorHAnsi"/>
                <w:sz w:val="16"/>
                <w:szCs w:val="16"/>
              </w:rPr>
              <w:t>.</w:t>
            </w:r>
            <w:r w:rsidRPr="00D80504">
              <w:rPr>
                <w:rFonts w:cstheme="minorHAnsi"/>
                <w:sz w:val="16"/>
                <w:szCs w:val="16"/>
              </w:rPr>
              <w:t xml:space="preserve"> </w:t>
            </w:r>
          </w:p>
          <w:p w14:paraId="2B5B0DD5" w14:textId="06262B30" w:rsidR="006E6ADC" w:rsidRPr="00D80504" w:rsidRDefault="006E6ADC" w:rsidP="006E6ADC">
            <w:pPr>
              <w:tabs>
                <w:tab w:val="left" w:pos="1425"/>
              </w:tabs>
              <w:rPr>
                <w:rFonts w:cstheme="minorHAnsi"/>
                <w:sz w:val="16"/>
                <w:szCs w:val="16"/>
              </w:rPr>
            </w:pPr>
            <w:r w:rsidRPr="00D80504">
              <w:rPr>
                <w:rFonts w:cstheme="minorHAnsi"/>
                <w:sz w:val="16"/>
                <w:szCs w:val="16"/>
              </w:rPr>
              <w:t>The design of the study was not the one desired.</w:t>
            </w:r>
          </w:p>
          <w:p w14:paraId="5F2E70BB" w14:textId="77777777" w:rsidR="006E6ADC" w:rsidRPr="00D80504" w:rsidRDefault="006E6ADC" w:rsidP="006E6ADC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6E6ADC" w14:paraId="0CEDD20A" w14:textId="77777777" w:rsidTr="00212DCE">
        <w:trPr>
          <w:trHeight w:val="983"/>
        </w:trPr>
        <w:tc>
          <w:tcPr>
            <w:tcW w:w="761" w:type="dxa"/>
          </w:tcPr>
          <w:p w14:paraId="1ECA8A87" w14:textId="02B8DB88" w:rsidR="006E6ADC" w:rsidRPr="001C3DA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58</w:t>
            </w:r>
          </w:p>
        </w:tc>
        <w:tc>
          <w:tcPr>
            <w:tcW w:w="2210" w:type="dxa"/>
          </w:tcPr>
          <w:p w14:paraId="5B310E32" w14:textId="77777777" w:rsidR="006E6ADC" w:rsidRPr="001C3DA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Walker, M. (2001)</w:t>
            </w:r>
            <w:r w:rsidRPr="001C3DAC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03FA7400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3A40E3B1" w14:textId="77777777" w:rsidR="006E6ADC" w:rsidRPr="001C3DAC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1C3DAC">
              <w:rPr>
                <w:rFonts w:cstheme="minorHAnsi"/>
                <w:sz w:val="16"/>
                <w:szCs w:val="16"/>
              </w:rPr>
              <w:t>Shared care for opiate substance mi</w:t>
            </w:r>
            <w:r>
              <w:rPr>
                <w:rFonts w:cstheme="minorHAnsi"/>
                <w:sz w:val="16"/>
                <w:szCs w:val="16"/>
              </w:rPr>
              <w:t>susers in Berkshire.</w:t>
            </w:r>
          </w:p>
        </w:tc>
        <w:tc>
          <w:tcPr>
            <w:tcW w:w="2539" w:type="dxa"/>
          </w:tcPr>
          <w:p w14:paraId="666BBFE9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 xml:space="preserve">A discussion paper on shared care services for opiate substance misusers. </w:t>
            </w:r>
          </w:p>
        </w:tc>
        <w:tc>
          <w:tcPr>
            <w:tcW w:w="5207" w:type="dxa"/>
          </w:tcPr>
          <w:p w14:paraId="4EAE39D7" w14:textId="77777777" w:rsidR="006E6ADC" w:rsidRPr="00D80504" w:rsidRDefault="006E6ADC" w:rsidP="006E6ADC">
            <w:pPr>
              <w:rPr>
                <w:rFonts w:cstheme="minorHAnsi"/>
                <w:bCs/>
                <w:sz w:val="16"/>
                <w:szCs w:val="16"/>
              </w:rPr>
            </w:pPr>
            <w:r w:rsidRPr="00D80504">
              <w:rPr>
                <w:rFonts w:cstheme="minorHAnsi"/>
                <w:bCs/>
                <w:sz w:val="16"/>
                <w:szCs w:val="16"/>
              </w:rPr>
              <w:t>C: This was a commentary.</w:t>
            </w:r>
          </w:p>
        </w:tc>
      </w:tr>
      <w:tr w:rsidR="006E6ADC" w14:paraId="3D4ACCA5" w14:textId="77777777" w:rsidTr="00212DCE">
        <w:trPr>
          <w:trHeight w:val="983"/>
        </w:trPr>
        <w:tc>
          <w:tcPr>
            <w:tcW w:w="761" w:type="dxa"/>
          </w:tcPr>
          <w:p w14:paraId="1A9F7073" w14:textId="05C3635C" w:rsidR="006E6ADC" w:rsidRPr="00841AAA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59</w:t>
            </w:r>
          </w:p>
        </w:tc>
        <w:tc>
          <w:tcPr>
            <w:tcW w:w="2210" w:type="dxa"/>
          </w:tcPr>
          <w:p w14:paraId="71A9A2B2" w14:textId="77777777" w:rsidR="006E6ADC" w:rsidRPr="001C3DA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Yones, E., et al. (2019)</w:t>
            </w:r>
            <w:r w:rsidRPr="00841AAA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</w:tcPr>
          <w:p w14:paraId="13D38C57" w14:textId="77777777" w:rsidR="006E6ADC" w:rsidRDefault="006E6ADC" w:rsidP="006E6AD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England </w:t>
            </w:r>
          </w:p>
        </w:tc>
        <w:tc>
          <w:tcPr>
            <w:tcW w:w="1989" w:type="dxa"/>
          </w:tcPr>
          <w:p w14:paraId="35BB9AE1" w14:textId="77777777" w:rsidR="006E6ADC" w:rsidRPr="001C3DAC" w:rsidRDefault="006E6ADC" w:rsidP="006E6ADC">
            <w:pPr>
              <w:rPr>
                <w:rFonts w:cstheme="minorHAnsi"/>
                <w:sz w:val="16"/>
                <w:szCs w:val="16"/>
              </w:rPr>
            </w:pPr>
            <w:r w:rsidRPr="00841AAA">
              <w:rPr>
                <w:rFonts w:cstheme="minorHAnsi"/>
                <w:sz w:val="16"/>
                <w:szCs w:val="16"/>
              </w:rPr>
              <w:t xml:space="preserve">Prescribing dronedarone for paroxysmal atrial fibrillation: How is it done across the UK and is it safe? </w:t>
            </w:r>
          </w:p>
        </w:tc>
        <w:tc>
          <w:tcPr>
            <w:tcW w:w="2539" w:type="dxa"/>
          </w:tcPr>
          <w:p w14:paraId="79318932" w14:textId="77777777" w:rsidR="006E6ADC" w:rsidRDefault="006E6ADC" w:rsidP="006E6ADC">
            <w:pPr>
              <w:rPr>
                <w:rFonts w:cstheme="minorHAnsi"/>
                <w:sz w:val="16"/>
                <w:szCs w:val="16"/>
                <w:shd w:val="clear" w:color="auto" w:fill="FFFFFF"/>
              </w:rPr>
            </w:pPr>
            <w:r>
              <w:rPr>
                <w:rFonts w:cstheme="minorHAnsi"/>
                <w:sz w:val="16"/>
                <w:szCs w:val="16"/>
                <w:shd w:val="clear" w:color="auto" w:fill="FFFFFF"/>
              </w:rPr>
              <w:t>A short report on the prescribing of dronedarone in the UK and how it can be safely prescribed with a local shared care protocol.</w:t>
            </w:r>
          </w:p>
        </w:tc>
        <w:tc>
          <w:tcPr>
            <w:tcW w:w="5207" w:type="dxa"/>
          </w:tcPr>
          <w:p w14:paraId="5A38A381" w14:textId="77777777" w:rsidR="004F6773" w:rsidRPr="00CE0EC4" w:rsidRDefault="004F6773" w:rsidP="004F6773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I: Intervention not delivered by pharmacist in general practice.</w:t>
            </w:r>
          </w:p>
          <w:p w14:paraId="49E56A6C" w14:textId="77777777" w:rsidR="004F6773" w:rsidRPr="00EB7E19" w:rsidRDefault="004F6773" w:rsidP="004F6773">
            <w:pPr>
              <w:rPr>
                <w:rFonts w:cstheme="minorHAnsi"/>
                <w:sz w:val="16"/>
                <w:szCs w:val="16"/>
              </w:rPr>
            </w:pPr>
            <w:r w:rsidRPr="00CE0EC4">
              <w:rPr>
                <w:rFonts w:cstheme="minorHAnsi"/>
                <w:sz w:val="16"/>
                <w:szCs w:val="16"/>
              </w:rPr>
              <w:t>The intervention was not delivered by the person specified in the review criter</w:t>
            </w:r>
            <w:r>
              <w:rPr>
                <w:rFonts w:cstheme="minorHAnsi"/>
                <w:sz w:val="16"/>
                <w:szCs w:val="16"/>
              </w:rPr>
              <w:t xml:space="preserve">ia. </w:t>
            </w:r>
          </w:p>
          <w:p w14:paraId="69E625F3" w14:textId="3E97A242" w:rsidR="006E6ADC" w:rsidRPr="00D80504" w:rsidRDefault="006E6ADC" w:rsidP="006E6ADC">
            <w:pPr>
              <w:rPr>
                <w:rFonts w:cstheme="minorHAnsi"/>
                <w:bCs/>
                <w:sz w:val="16"/>
                <w:szCs w:val="16"/>
              </w:rPr>
            </w:pPr>
          </w:p>
        </w:tc>
      </w:tr>
    </w:tbl>
    <w:p w14:paraId="0E6CC513" w14:textId="7DD11F19" w:rsidR="00B23CBA" w:rsidRDefault="00B23CBA" w:rsidP="00B23CBA">
      <w:pPr>
        <w:jc w:val="both"/>
      </w:pPr>
    </w:p>
    <w:p w14:paraId="5AA300EF" w14:textId="77777777" w:rsidR="00B23CBA" w:rsidRDefault="00B23CBA" w:rsidP="00B23CBA">
      <w:pPr>
        <w:jc w:val="both"/>
      </w:pPr>
    </w:p>
    <w:p w14:paraId="66C45B9B" w14:textId="77777777" w:rsidR="00C1668E" w:rsidRDefault="00C1668E"/>
    <w:sectPr w:rsidR="00C1668E" w:rsidSect="00E45A3D">
      <w:pgSz w:w="16838" w:h="11906" w:orient="landscape"/>
      <w:pgMar w:top="11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4FD901" w14:textId="77777777" w:rsidR="00955519" w:rsidRDefault="00955519" w:rsidP="00EF4599">
      <w:pPr>
        <w:spacing w:after="0" w:line="240" w:lineRule="auto"/>
      </w:pPr>
      <w:r>
        <w:separator/>
      </w:r>
    </w:p>
  </w:endnote>
  <w:endnote w:type="continuationSeparator" w:id="0">
    <w:p w14:paraId="1477A048" w14:textId="77777777" w:rsidR="00955519" w:rsidRDefault="00955519" w:rsidP="00EF4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2536EF" w14:textId="77777777" w:rsidR="00955519" w:rsidRDefault="00955519" w:rsidP="00EF4599">
      <w:pPr>
        <w:spacing w:after="0" w:line="240" w:lineRule="auto"/>
      </w:pPr>
      <w:r>
        <w:separator/>
      </w:r>
    </w:p>
  </w:footnote>
  <w:footnote w:type="continuationSeparator" w:id="0">
    <w:p w14:paraId="53EB737C" w14:textId="77777777" w:rsidR="00955519" w:rsidRDefault="00955519" w:rsidP="00EF45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E5438"/>
    <w:multiLevelType w:val="hybridMultilevel"/>
    <w:tmpl w:val="74C650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BC1"/>
    <w:rsid w:val="0001454B"/>
    <w:rsid w:val="00042E44"/>
    <w:rsid w:val="000770BE"/>
    <w:rsid w:val="00087008"/>
    <w:rsid w:val="000C03A9"/>
    <w:rsid w:val="000C304E"/>
    <w:rsid w:val="000C30CC"/>
    <w:rsid w:val="000D0521"/>
    <w:rsid w:val="00106B9C"/>
    <w:rsid w:val="001546F5"/>
    <w:rsid w:val="001620BD"/>
    <w:rsid w:val="001A7601"/>
    <w:rsid w:val="001B1203"/>
    <w:rsid w:val="001C3DAC"/>
    <w:rsid w:val="001F143C"/>
    <w:rsid w:val="00212DCE"/>
    <w:rsid w:val="00216501"/>
    <w:rsid w:val="00220656"/>
    <w:rsid w:val="00224C89"/>
    <w:rsid w:val="002440C7"/>
    <w:rsid w:val="00250D94"/>
    <w:rsid w:val="00277F0F"/>
    <w:rsid w:val="002A2358"/>
    <w:rsid w:val="002B20E5"/>
    <w:rsid w:val="002E1789"/>
    <w:rsid w:val="002E6ED2"/>
    <w:rsid w:val="002F14D8"/>
    <w:rsid w:val="00354E80"/>
    <w:rsid w:val="00376D76"/>
    <w:rsid w:val="00397203"/>
    <w:rsid w:val="003C0751"/>
    <w:rsid w:val="00435E6C"/>
    <w:rsid w:val="00447443"/>
    <w:rsid w:val="004B0DAF"/>
    <w:rsid w:val="004F2219"/>
    <w:rsid w:val="004F6773"/>
    <w:rsid w:val="00531C9D"/>
    <w:rsid w:val="00566923"/>
    <w:rsid w:val="00567E2A"/>
    <w:rsid w:val="0059489C"/>
    <w:rsid w:val="00596A6D"/>
    <w:rsid w:val="005B35B2"/>
    <w:rsid w:val="005C5389"/>
    <w:rsid w:val="005D5CCC"/>
    <w:rsid w:val="005F7A98"/>
    <w:rsid w:val="00626795"/>
    <w:rsid w:val="00675AC2"/>
    <w:rsid w:val="006E6ADC"/>
    <w:rsid w:val="006F0BA7"/>
    <w:rsid w:val="00742FDE"/>
    <w:rsid w:val="0076408E"/>
    <w:rsid w:val="007864F8"/>
    <w:rsid w:val="007E7FD1"/>
    <w:rsid w:val="007F1885"/>
    <w:rsid w:val="0080204F"/>
    <w:rsid w:val="00821C20"/>
    <w:rsid w:val="00841AAA"/>
    <w:rsid w:val="0087536C"/>
    <w:rsid w:val="008B25E8"/>
    <w:rsid w:val="008B3B89"/>
    <w:rsid w:val="008C6029"/>
    <w:rsid w:val="0090638E"/>
    <w:rsid w:val="00924C3F"/>
    <w:rsid w:val="009319E2"/>
    <w:rsid w:val="00945C2D"/>
    <w:rsid w:val="00955519"/>
    <w:rsid w:val="009761C3"/>
    <w:rsid w:val="009D1EE5"/>
    <w:rsid w:val="00A278D2"/>
    <w:rsid w:val="00A43E90"/>
    <w:rsid w:val="00A74490"/>
    <w:rsid w:val="00B23CBA"/>
    <w:rsid w:val="00B53E3E"/>
    <w:rsid w:val="00BD55EB"/>
    <w:rsid w:val="00BE20A7"/>
    <w:rsid w:val="00C058DF"/>
    <w:rsid w:val="00C065E0"/>
    <w:rsid w:val="00C1668E"/>
    <w:rsid w:val="00C371E8"/>
    <w:rsid w:val="00CA6CDF"/>
    <w:rsid w:val="00CD3CEF"/>
    <w:rsid w:val="00CE0EC4"/>
    <w:rsid w:val="00CE3328"/>
    <w:rsid w:val="00CF1F4F"/>
    <w:rsid w:val="00CF4C53"/>
    <w:rsid w:val="00D40430"/>
    <w:rsid w:val="00D4450D"/>
    <w:rsid w:val="00D514D8"/>
    <w:rsid w:val="00D57BC1"/>
    <w:rsid w:val="00D80504"/>
    <w:rsid w:val="00DF183D"/>
    <w:rsid w:val="00E00E7A"/>
    <w:rsid w:val="00E15B14"/>
    <w:rsid w:val="00E16E5A"/>
    <w:rsid w:val="00E3545C"/>
    <w:rsid w:val="00E4212E"/>
    <w:rsid w:val="00E45A3D"/>
    <w:rsid w:val="00E97557"/>
    <w:rsid w:val="00EA0499"/>
    <w:rsid w:val="00EA0AF3"/>
    <w:rsid w:val="00EA0BA3"/>
    <w:rsid w:val="00EA261A"/>
    <w:rsid w:val="00EB7E19"/>
    <w:rsid w:val="00EE65F7"/>
    <w:rsid w:val="00EF053D"/>
    <w:rsid w:val="00EF4599"/>
    <w:rsid w:val="00F04467"/>
    <w:rsid w:val="00F23FD1"/>
    <w:rsid w:val="00F42E7E"/>
    <w:rsid w:val="00F508E4"/>
    <w:rsid w:val="00F752DB"/>
    <w:rsid w:val="00FB5687"/>
    <w:rsid w:val="00FB5CB2"/>
    <w:rsid w:val="00FC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C9560"/>
  <w15:chartTrackingRefBased/>
  <w15:docId w15:val="{18146BFB-8689-41DD-A134-82C4D5C6C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7BC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7BC1"/>
    <w:pPr>
      <w:ind w:left="720"/>
      <w:contextualSpacing/>
    </w:pPr>
  </w:style>
  <w:style w:type="table" w:styleId="TableGrid">
    <w:name w:val="Table Grid"/>
    <w:basedOn w:val="TableNormal"/>
    <w:uiPriority w:val="39"/>
    <w:rsid w:val="00C166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24C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4C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4C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4C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4C8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4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C8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45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599"/>
  </w:style>
  <w:style w:type="paragraph" w:styleId="Footer">
    <w:name w:val="footer"/>
    <w:basedOn w:val="Normal"/>
    <w:link w:val="FooterChar"/>
    <w:uiPriority w:val="99"/>
    <w:unhideWhenUsed/>
    <w:rsid w:val="00EF45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2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11580">
          <w:marLeft w:val="0"/>
          <w:marRight w:val="0"/>
          <w:marTop w:val="450"/>
          <w:marBottom w:val="45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  <w:divsChild>
            <w:div w:id="25251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521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6933C5-E5BD-45CE-BE9A-FD201B2F4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3605</Words>
  <Characters>20555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Aston University</Company>
  <LinksUpToDate>false</LinksUpToDate>
  <CharactersWithSpaces>24112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Iqbal, Naveed</dc:creator>
  <cp:keywords/>
  <dc:description/>
  <cp:lastModifiedBy>Iqbal, Naveed</cp:lastModifiedBy>
  <cp:revision>8</cp:revision>
  <cp:lastPrinted>2020-11-30T15:55:00Z</cp:lastPrinted>
  <dcterms:created xsi:type="dcterms:W3CDTF">2020-12-11T16:36:00Z</dcterms:created>
  <dcterms:modified xsi:type="dcterms:W3CDTF">2020-12-11T21:06:00Z</dcterms:modified>
</cp:coreProperties>
</file>