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D26BC7" w14:textId="77777777" w:rsidR="00FC0B27" w:rsidRPr="00483651" w:rsidRDefault="00FC0B27" w:rsidP="00FC0B27">
      <w:pPr>
        <w:ind w:firstLine="0"/>
        <w:jc w:val="center"/>
        <w:rPr>
          <w:rFonts w:eastAsia="SimSun" w:cs="Times New Roman"/>
          <w:b/>
          <w:bCs/>
          <w:kern w:val="2"/>
          <w:szCs w:val="20"/>
          <w:lang w:eastAsia="zh-CN"/>
        </w:rPr>
      </w:pPr>
      <w:r w:rsidRPr="00483651">
        <w:rPr>
          <w:rFonts w:eastAsia="SimSun" w:cs="Times New Roman"/>
          <w:b/>
          <w:bCs/>
          <w:kern w:val="2"/>
          <w:szCs w:val="20"/>
          <w:lang w:eastAsia="zh-CN"/>
        </w:rPr>
        <w:t>Supplementary material - Methods</w:t>
      </w:r>
    </w:p>
    <w:p w14:paraId="3F7D86B6" w14:textId="77777777" w:rsidR="00FC0B27" w:rsidRPr="00483651" w:rsidRDefault="00FC0B27" w:rsidP="00FC0B27">
      <w:pPr>
        <w:ind w:firstLine="0"/>
        <w:rPr>
          <w:rFonts w:eastAsia="SimSun" w:cs="Times New Roman"/>
          <w:b/>
          <w:bCs/>
          <w:kern w:val="2"/>
          <w:szCs w:val="20"/>
          <w:lang w:eastAsia="zh-CN"/>
        </w:rPr>
      </w:pPr>
    </w:p>
    <w:p w14:paraId="4DA5D0A7" w14:textId="77777777" w:rsidR="00FC0B27" w:rsidRPr="00483651" w:rsidRDefault="00FC0B27" w:rsidP="00FC0B27">
      <w:pPr>
        <w:ind w:firstLine="0"/>
        <w:rPr>
          <w:rFonts w:eastAsia="SimSun" w:cs="Times New Roman"/>
          <w:b/>
          <w:bCs/>
          <w:kern w:val="2"/>
          <w:szCs w:val="20"/>
          <w:lang w:eastAsia="zh-CN"/>
        </w:rPr>
      </w:pPr>
    </w:p>
    <w:p w14:paraId="6D427D04" w14:textId="77777777" w:rsidR="00FC0B27" w:rsidRDefault="00FC0B27" w:rsidP="00FC0B27">
      <w:pPr>
        <w:spacing w:line="480" w:lineRule="auto"/>
        <w:ind w:firstLine="0"/>
        <w:jc w:val="left"/>
        <w:rPr>
          <w:rFonts w:cs="Times New Roman"/>
          <w:b/>
          <w:bCs/>
          <w:szCs w:val="20"/>
        </w:rPr>
      </w:pPr>
      <w:r w:rsidRPr="00483651">
        <w:rPr>
          <w:rFonts w:eastAsia="SimSun" w:cs="Times New Roman"/>
          <w:b/>
          <w:bCs/>
          <w:kern w:val="2"/>
          <w:szCs w:val="20"/>
          <w:lang w:eastAsia="zh-CN"/>
        </w:rPr>
        <w:t xml:space="preserve">Supplementary material S1. </w:t>
      </w:r>
      <w:r w:rsidRPr="00483651">
        <w:rPr>
          <w:rFonts w:cs="Times New Roman"/>
          <w:b/>
          <w:bCs/>
          <w:szCs w:val="20"/>
        </w:rPr>
        <w:t>Chemical composition by GC–Mass Spectrometry (GC–MS)</w:t>
      </w:r>
    </w:p>
    <w:p w14:paraId="2AC3074D" w14:textId="77777777" w:rsidR="00FC0B27" w:rsidRPr="00483651" w:rsidRDefault="00FC0B27" w:rsidP="00FC0B27">
      <w:pPr>
        <w:spacing w:line="480" w:lineRule="auto"/>
        <w:ind w:firstLine="0"/>
        <w:jc w:val="left"/>
        <w:rPr>
          <w:rFonts w:eastAsia="SimSun" w:cs="Times New Roman"/>
          <w:b/>
          <w:bCs/>
          <w:kern w:val="2"/>
          <w:szCs w:val="20"/>
          <w:lang w:eastAsia="zh-CN"/>
        </w:rPr>
      </w:pPr>
    </w:p>
    <w:p w14:paraId="16FBF0C3" w14:textId="77777777" w:rsidR="00FC0B27" w:rsidRPr="00483651" w:rsidRDefault="00FC0B27" w:rsidP="00FC0B27">
      <w:pPr>
        <w:spacing w:line="480" w:lineRule="auto"/>
        <w:jc w:val="left"/>
        <w:rPr>
          <w:rFonts w:cs="Times New Roman"/>
          <w:color w:val="000000" w:themeColor="text1"/>
          <w:szCs w:val="20"/>
        </w:rPr>
      </w:pPr>
      <w:r w:rsidRPr="00483651">
        <w:rPr>
          <w:rFonts w:cs="Times New Roman"/>
          <w:b/>
          <w:bCs/>
          <w:i/>
          <w:iCs/>
          <w:color w:val="000000" w:themeColor="text1"/>
          <w:szCs w:val="20"/>
        </w:rPr>
        <w:t>For the liquid-liquid extraction in the GC-MS evaluation</w:t>
      </w:r>
      <w:r w:rsidRPr="00483651">
        <w:rPr>
          <w:rFonts w:cs="Times New Roman"/>
          <w:color w:val="000000" w:themeColor="text1"/>
          <w:szCs w:val="20"/>
        </w:rPr>
        <w:t xml:space="preserve">, 1 mL of WS was transferred to 4 mL vial along with 1 mL of the solvent (ethyl acetate, hexane or dichloromethane). The mixture was stirred in vortex for 2 minutes and after fraction separation, 500 µL of the top organic layer was collected for derivatization process while 200 µL was transferred to vial insert for injection in the chromatographic system. </w:t>
      </w:r>
      <w:r w:rsidRPr="00483651">
        <w:rPr>
          <w:rFonts w:eastAsia="Times New Roman" w:cs="Times New Roman"/>
          <w:color w:val="000000" w:themeColor="text1"/>
          <w:szCs w:val="20"/>
          <w:lang w:eastAsia="pt-BR"/>
        </w:rPr>
        <w:t xml:space="preserve">The acylation reaction with </w:t>
      </w:r>
      <w:r w:rsidRPr="00483651">
        <w:rPr>
          <w:rFonts w:cs="Times New Roman"/>
          <w:color w:val="000000" w:themeColor="text1"/>
          <w:szCs w:val="20"/>
        </w:rPr>
        <w:t>acetic anhydride was performed after drying under vacuum the organic fraction of the liquid-liquid extraction followed by the addition of 840 µL of sodium carbonate solution 5% (w/v) along with 30 µL of acetic anhydride. The mixture was agitated in vortex for 2 minutes and 500 µL of hexane was added followed by 1 minute stirring in vortex again. After the separation fraction, the top hexane layer was collected (200 µL) and transferred to a chromatographic insert to GC-MS analysis.  The derivatization of the WS without liquid-liquid extraction was performed by the addition of 30 µL of acetic anhydride and 25 mg of sodium carbonate to 500 µL of WS. After stirring in vortex by 2 minutes, 200 µL was collected to evaporation in vacuum.</w:t>
      </w:r>
    </w:p>
    <w:p w14:paraId="5A502FDF" w14:textId="77777777" w:rsidR="00FC0B27" w:rsidRPr="00483651" w:rsidRDefault="00FC0B27" w:rsidP="00FC0B27">
      <w:pPr>
        <w:spacing w:line="480" w:lineRule="auto"/>
        <w:jc w:val="left"/>
        <w:rPr>
          <w:rFonts w:eastAsia="Times New Roman" w:cs="Times New Roman"/>
          <w:color w:val="000000" w:themeColor="text1"/>
          <w:szCs w:val="20"/>
          <w:lang w:eastAsia="pt-BR"/>
        </w:rPr>
      </w:pPr>
      <w:r w:rsidRPr="00483651">
        <w:rPr>
          <w:rFonts w:cs="Times New Roman"/>
          <w:color w:val="000000" w:themeColor="text1"/>
          <w:szCs w:val="20"/>
        </w:rPr>
        <w:t xml:space="preserve">For evaporation in the SpeedVac, </w:t>
      </w:r>
      <w:r w:rsidRPr="00483651">
        <w:rPr>
          <w:rFonts w:eastAsia="Times New Roman" w:cs="Times New Roman"/>
          <w:color w:val="000000" w:themeColor="text1"/>
          <w:szCs w:val="20"/>
          <w:lang w:eastAsia="pt-BR"/>
        </w:rPr>
        <w:t xml:space="preserve">200 μL of the WS (after derivatization or not) were added in chromatography vial inserts and were kept under vacuum at 40 ºC for 2 hours to dry and full removal of water. Each sample was reconstituted with 200 μL of acetone (HPLC grade) under vortex agitation for subsequent analysis in a gas chromatography. </w:t>
      </w:r>
    </w:p>
    <w:p w14:paraId="51495F58" w14:textId="77777777" w:rsidR="00FC0B27" w:rsidRPr="00483651" w:rsidRDefault="00FC0B27" w:rsidP="00FC0B27">
      <w:pPr>
        <w:spacing w:line="480" w:lineRule="auto"/>
        <w:jc w:val="left"/>
        <w:rPr>
          <w:rFonts w:cs="Times New Roman"/>
          <w:color w:val="000000" w:themeColor="text1"/>
          <w:szCs w:val="20"/>
        </w:rPr>
      </w:pPr>
    </w:p>
    <w:p w14:paraId="06DB8AF0" w14:textId="77777777" w:rsidR="00FC0B27" w:rsidRPr="00483651" w:rsidRDefault="00FC0B27" w:rsidP="00FC0B27">
      <w:pPr>
        <w:spacing w:line="480" w:lineRule="auto"/>
        <w:jc w:val="left"/>
        <w:rPr>
          <w:rFonts w:eastAsia="Times New Roman" w:cs="Times New Roman"/>
          <w:szCs w:val="20"/>
          <w:lang w:eastAsia="pt-BR"/>
        </w:rPr>
      </w:pPr>
      <w:r w:rsidRPr="00483651">
        <w:rPr>
          <w:rFonts w:eastAsia="Times New Roman" w:cs="Times New Roman"/>
          <w:b/>
          <w:bCs/>
          <w:i/>
          <w:iCs/>
          <w:szCs w:val="20"/>
          <w:lang w:eastAsia="pt-BR"/>
        </w:rPr>
        <w:t>Preparation of WS fractions for organic acids analysis by GC-MS followed this procedure:</w:t>
      </w:r>
      <w:r w:rsidRPr="00483651">
        <w:rPr>
          <w:rFonts w:eastAsia="Times New Roman" w:cs="Times New Roman"/>
          <w:szCs w:val="20"/>
          <w:lang w:eastAsia="pt-BR"/>
        </w:rPr>
        <w:t xml:space="preserve"> First, the water-soluble fractions (20 μL) were mixed to 20 µL of 5α-cholestane (internal standard, 0.2 mg mL</w:t>
      </w:r>
      <w:r w:rsidRPr="00483651">
        <w:rPr>
          <w:rFonts w:eastAsia="Times New Roman" w:cs="Times New Roman"/>
          <w:szCs w:val="20"/>
          <w:vertAlign w:val="superscript"/>
          <w:lang w:eastAsia="pt-BR"/>
        </w:rPr>
        <w:t>-1</w:t>
      </w:r>
      <w:r w:rsidRPr="00483651">
        <w:rPr>
          <w:rFonts w:eastAsia="Times New Roman" w:cs="Times New Roman"/>
          <w:szCs w:val="20"/>
          <w:lang w:eastAsia="pt-BR"/>
        </w:rPr>
        <w:t xml:space="preserve"> ethyl acetate) and then transferred to a conical tube (1.5 mL) for subsequent drying under vacuum in </w:t>
      </w:r>
      <w:r w:rsidRPr="00483651">
        <w:rPr>
          <w:rFonts w:eastAsia="Times New Roman" w:cs="Times New Roman"/>
          <w:i/>
          <w:iCs/>
          <w:szCs w:val="20"/>
          <w:lang w:eastAsia="pt-BR"/>
        </w:rPr>
        <w:t>SpeedVac</w:t>
      </w:r>
      <w:r w:rsidRPr="00483651">
        <w:rPr>
          <w:rFonts w:eastAsia="Times New Roman" w:cs="Times New Roman"/>
          <w:szCs w:val="20"/>
          <w:lang w:eastAsia="pt-BR"/>
        </w:rPr>
        <w:t xml:space="preserve"> device for 1 h followed by a freezing step. The frozen material was derivatized through metoximation. A pyridine solution (50 µL) containing 20 mg mL-1 of methoxyamine chloride was added to the dried water-soluble fraction, followed by a mixture in a vortex for 30 s. The chemical reaction was performed for 90 min at 40 ºC. After the incubation, we added 50 μL of the silylation agent N-Methyl-N-(trimethylsilyl) trifluoroacetamide (MSTFA) in the prepared solution under agitation for 30 s, and subsequent incubation at 40 ºC for 90 min. After that, the final solution was </w:t>
      </w:r>
      <w:r w:rsidRPr="00483651">
        <w:rPr>
          <w:rFonts w:eastAsia="Times New Roman" w:cs="Times New Roman"/>
          <w:szCs w:val="20"/>
          <w:lang w:eastAsia="pt-BR"/>
        </w:rPr>
        <w:lastRenderedPageBreak/>
        <w:t>centrifuged at 14,000 rpm for 5 min, and one aliquot (80 μL) was transferred to a glass conical vial (0.5 mL) for subsequent chromatographic analysis.</w:t>
      </w:r>
    </w:p>
    <w:p w14:paraId="2F6DD61B" w14:textId="77777777" w:rsidR="00FC0B27" w:rsidRPr="00483651" w:rsidRDefault="00FC0B27" w:rsidP="00FC0B27">
      <w:pPr>
        <w:spacing w:line="480" w:lineRule="auto"/>
        <w:ind w:firstLine="0"/>
        <w:jc w:val="left"/>
        <w:rPr>
          <w:rFonts w:eastAsia="SimSun" w:cs="Times New Roman"/>
          <w:b/>
          <w:bCs/>
          <w:kern w:val="2"/>
          <w:szCs w:val="20"/>
          <w:lang w:eastAsia="zh-CN"/>
        </w:rPr>
      </w:pPr>
      <w:r w:rsidRPr="00483651">
        <w:rPr>
          <w:rFonts w:eastAsia="SimSun" w:cs="Times New Roman"/>
          <w:b/>
          <w:bCs/>
          <w:kern w:val="2"/>
          <w:szCs w:val="20"/>
          <w:lang w:eastAsia="zh-CN"/>
        </w:rPr>
        <w:t xml:space="preserve"> </w:t>
      </w:r>
    </w:p>
    <w:p w14:paraId="23BB9723" w14:textId="77777777" w:rsidR="00FC0B27" w:rsidRDefault="00FC0B27" w:rsidP="00FC0B27">
      <w:pPr>
        <w:spacing w:line="480" w:lineRule="auto"/>
        <w:ind w:firstLine="0"/>
        <w:jc w:val="left"/>
        <w:rPr>
          <w:rFonts w:eastAsia="Times New Roman" w:cs="Times New Roman"/>
          <w:b/>
          <w:bCs/>
          <w:szCs w:val="20"/>
          <w:lang w:eastAsia="pt-BR"/>
        </w:rPr>
      </w:pPr>
      <w:r w:rsidRPr="00483651">
        <w:rPr>
          <w:rFonts w:eastAsia="SimSun" w:cs="Times New Roman"/>
          <w:b/>
          <w:bCs/>
          <w:kern w:val="2"/>
          <w:szCs w:val="20"/>
          <w:lang w:eastAsia="zh-CN"/>
        </w:rPr>
        <w:t xml:space="preserve">Supplementary material S2. </w:t>
      </w:r>
      <w:r w:rsidRPr="00483651">
        <w:rPr>
          <w:rFonts w:eastAsia="Times New Roman" w:cs="Times New Roman"/>
          <w:b/>
          <w:bCs/>
          <w:szCs w:val="20"/>
          <w:lang w:eastAsia="pt-BR"/>
        </w:rPr>
        <w:t>Antioxidant capacity</w:t>
      </w:r>
    </w:p>
    <w:p w14:paraId="6EA1DE92" w14:textId="77777777" w:rsidR="00FC0B27" w:rsidRPr="00483651" w:rsidRDefault="00FC0B27" w:rsidP="00FC0B27">
      <w:pPr>
        <w:spacing w:line="480" w:lineRule="auto"/>
        <w:ind w:firstLine="0"/>
        <w:jc w:val="left"/>
        <w:rPr>
          <w:rFonts w:eastAsia="SimSun" w:cs="Times New Roman"/>
          <w:b/>
          <w:bCs/>
          <w:kern w:val="2"/>
          <w:szCs w:val="20"/>
          <w:lang w:eastAsia="zh-CN"/>
        </w:rPr>
      </w:pPr>
    </w:p>
    <w:p w14:paraId="52E48478" w14:textId="77777777" w:rsidR="00FC0B27" w:rsidRPr="00483651" w:rsidRDefault="00FC0B27" w:rsidP="00FC0B27">
      <w:pPr>
        <w:spacing w:line="480" w:lineRule="auto"/>
        <w:jc w:val="left"/>
        <w:rPr>
          <w:rFonts w:eastAsia="Times New Roman" w:cs="Times New Roman"/>
          <w:szCs w:val="20"/>
          <w:lang w:eastAsia="pt-BR"/>
        </w:rPr>
      </w:pPr>
      <w:r w:rsidRPr="00483651">
        <w:rPr>
          <w:rFonts w:eastAsia="Times New Roman" w:cs="Times New Roman"/>
          <w:i/>
          <w:iCs/>
          <w:szCs w:val="20"/>
          <w:lang w:eastAsia="pt-BR"/>
        </w:rPr>
        <w:t>DPPH method</w:t>
      </w:r>
      <w:r w:rsidRPr="00483651">
        <w:rPr>
          <w:rFonts w:eastAsia="Times New Roman" w:cs="Times New Roman"/>
          <w:szCs w:val="20"/>
          <w:lang w:eastAsia="pt-BR"/>
        </w:rPr>
        <w:t xml:space="preserve">:  The experiment follows the procedure described in Magalhães et al. </w:t>
      </w:r>
      <w:r w:rsidRPr="00483651">
        <w:rPr>
          <w:rFonts w:eastAsia="Times New Roman" w:cs="Times New Roman"/>
          <w:szCs w:val="20"/>
          <w:vertAlign w:val="superscript"/>
          <w:lang w:eastAsia="pt-BR"/>
        </w:rPr>
        <w:fldChar w:fldCharType="begin" w:fldLock="1"/>
      </w:r>
      <w:r>
        <w:rPr>
          <w:rFonts w:eastAsia="Times New Roman" w:cs="Times New Roman"/>
          <w:szCs w:val="20"/>
          <w:vertAlign w:val="superscript"/>
          <w:lang w:eastAsia="pt-BR"/>
        </w:rPr>
        <w:instrText>ADDIN CSL_CITATION {"citationItems":[{"id":"ITEM-1","itemData":{"author":[{"dropping-particle":"","family":"MAGALHÃES","given":"W. L. E.","non-dropping-particle":"","parse-names":false,"suffix":""},{"dropping-particle":"de","family":"MATOS","given":"M.","non-dropping-particle":"","parse-names":false,"suffix":""},{"dropping-particle":"V.","family":"LOURENÇON","given":"T.","non-dropping-particle":"","parse-names":false,"suffix":""}],"container-title":"Embrapa Forests-Technical Communication","id":"ITEM-1","issued":{"date-parts":[["2018"]]},"title":"Scientific methodology: determination of the antioxidant capacity of lignin by capturing the free radical DPPH","type":"article-journal"},"uris":["http://www.mendeley.com/documents/?uuid=f19f0687-55fe-4bf3-a552-156b63c8b190"]}],"mendeley":{"formattedCitation":"[45]","plainTextFormattedCitation":"[45]","previouslyFormattedCitation":"[45]"},"properties":{"noteIndex":0},"schema":"https://github.com/citation-style-language/schema/raw/master/csl-citation.json"}</w:instrText>
      </w:r>
      <w:r w:rsidRPr="00483651">
        <w:rPr>
          <w:rFonts w:eastAsia="Times New Roman" w:cs="Times New Roman"/>
          <w:szCs w:val="20"/>
          <w:vertAlign w:val="superscript"/>
          <w:lang w:eastAsia="pt-BR"/>
        </w:rPr>
        <w:fldChar w:fldCharType="separate"/>
      </w:r>
      <w:r w:rsidRPr="009A7DEA">
        <w:rPr>
          <w:rFonts w:eastAsia="Times New Roman" w:cs="Times New Roman"/>
          <w:noProof/>
          <w:szCs w:val="20"/>
          <w:lang w:eastAsia="pt-BR"/>
        </w:rPr>
        <w:t>[45]</w:t>
      </w:r>
      <w:r w:rsidRPr="00483651">
        <w:rPr>
          <w:rFonts w:eastAsia="Times New Roman" w:cs="Times New Roman"/>
          <w:szCs w:val="20"/>
          <w:vertAlign w:val="superscript"/>
          <w:lang w:eastAsia="pt-BR"/>
        </w:rPr>
        <w:fldChar w:fldCharType="end"/>
      </w:r>
      <w:r w:rsidRPr="00483651">
        <w:rPr>
          <w:rFonts w:eastAsia="Times New Roman" w:cs="Times New Roman"/>
          <w:szCs w:val="20"/>
          <w:lang w:eastAsia="pt-BR"/>
        </w:rPr>
        <w:t>. Briefly, 0.1 mL of each WS was added to a flask containing 3.9 mL of DPPH methanolic solution. The time-dependent absorbance at 515 nm in UV-Vis equipment was acquired up to reach a constant absorbance. Standard solution (3.9 mL) and methanol (0.1 ml) were used as a blank. The scavenging activity on DPPH radical was expressed in terms of efficient concentration (EC</w:t>
      </w:r>
      <w:r w:rsidRPr="00483651">
        <w:rPr>
          <w:rFonts w:eastAsia="Times New Roman" w:cs="Times New Roman"/>
          <w:szCs w:val="20"/>
          <w:vertAlign w:val="subscript"/>
          <w:lang w:eastAsia="pt-BR"/>
        </w:rPr>
        <w:t>50</w:t>
      </w:r>
      <w:r w:rsidRPr="00483651">
        <w:rPr>
          <w:rFonts w:eastAsia="Times New Roman" w:cs="Times New Roman"/>
          <w:szCs w:val="20"/>
          <w:lang w:eastAsia="pt-BR"/>
        </w:rPr>
        <w:t>) and inhibition concentration (IC</w:t>
      </w:r>
      <w:r w:rsidRPr="00483651">
        <w:rPr>
          <w:rFonts w:eastAsia="Times New Roman" w:cs="Times New Roman"/>
          <w:szCs w:val="20"/>
          <w:vertAlign w:val="subscript"/>
          <w:lang w:eastAsia="pt-BR"/>
        </w:rPr>
        <w:t>50</w:t>
      </w:r>
      <w:r w:rsidRPr="00483651">
        <w:rPr>
          <w:rFonts w:eastAsia="Times New Roman" w:cs="Times New Roman"/>
          <w:szCs w:val="20"/>
          <w:lang w:eastAsia="pt-BR"/>
        </w:rPr>
        <w:t>).</w:t>
      </w:r>
    </w:p>
    <w:p w14:paraId="23BACC22" w14:textId="77777777" w:rsidR="00FC0B27" w:rsidRPr="00483651" w:rsidRDefault="00FC0B27" w:rsidP="00FC0B27">
      <w:pPr>
        <w:spacing w:line="480" w:lineRule="auto"/>
        <w:jc w:val="left"/>
        <w:rPr>
          <w:rFonts w:cs="Times New Roman"/>
          <w:szCs w:val="20"/>
        </w:rPr>
      </w:pPr>
      <w:r w:rsidRPr="00483651">
        <w:rPr>
          <w:rFonts w:eastAsia="Times New Roman" w:cs="Times New Roman"/>
          <w:i/>
          <w:iCs/>
          <w:szCs w:val="20"/>
          <w:lang w:eastAsia="pt-BR"/>
        </w:rPr>
        <w:t>ABTS method:</w:t>
      </w:r>
      <w:r w:rsidRPr="00483651">
        <w:rPr>
          <w:rFonts w:eastAsia="Times New Roman" w:cs="Times New Roman"/>
          <w:szCs w:val="20"/>
          <w:lang w:eastAsia="pt-BR"/>
        </w:rPr>
        <w:t xml:space="preserve"> The experiment follows the procedure described in Rufino et al. </w:t>
      </w:r>
      <w:r w:rsidRPr="00483651">
        <w:rPr>
          <w:rFonts w:eastAsia="Times New Roman" w:cs="Times New Roman"/>
          <w:szCs w:val="20"/>
          <w:vertAlign w:val="superscript"/>
          <w:lang w:eastAsia="pt-BR"/>
        </w:rPr>
        <w:fldChar w:fldCharType="begin" w:fldLock="1"/>
      </w:r>
      <w:r>
        <w:rPr>
          <w:rFonts w:eastAsia="Times New Roman" w:cs="Times New Roman"/>
          <w:szCs w:val="20"/>
          <w:vertAlign w:val="superscript"/>
          <w:lang w:eastAsia="pt-BR"/>
        </w:rPr>
        <w:instrText>ADDIN CSL_CITATION {"citationItems":[{"id":"ITEM-1","itemData":{"author":[{"dropping-particle":"","family":"RUFINO","given":"M. D. S. M.","non-dropping-particle":"","parse-names":false,"suffix":""},{"dropping-particle":"","family":"ALVES","given":"R. E.","non-dropping-particle":"","parse-names":false,"suffix":""},{"dropping-particle":"","family":"BRITO","given":"E. S.","non-dropping-particle":"","parse-names":false,"suffix":""},{"dropping-particle":"","family":"MORAIS","given":"S. M.","non-dropping-particle":"","parse-names":false,"suffix":""},{"dropping-particle":"","family":"SAMPAIO","given":"C. G.","non-dropping-particle":"","parse-names":false,"suffix":""},{"dropping-particle":"","family":"PÉREZ-JIMÉNEZ","given":"J.","non-dropping-particle":"","parse-names":false,"suffix":""},{"dropping-particle":"","family":"SAURA-CALIXTO","given":"F. D.","non-dropping-particle":"","parse-names":false,"suffix":""}],"container-title":"Brazilian Agricultural Research Corporation","id":"ITEM-1","issued":{"date-parts":[["2006"]]},"page":"4","title":"Scientific Methodology: Determination of total antioxidant activity in fruits by the iron reduction method (FRAP)","type":"article-journal"},"uris":["http://www.mendeley.com/documents/?uuid=41461ce7-410e-480d-9b44-c682b598a636"]}],"mendeley":{"formattedCitation":"[46]","plainTextFormattedCitation":"[46]","previouslyFormattedCitation":"[46]"},"properties":{"noteIndex":0},"schema":"https://github.com/citation-style-language/schema/raw/master/csl-citation.json"}</w:instrText>
      </w:r>
      <w:r w:rsidRPr="00483651">
        <w:rPr>
          <w:rFonts w:eastAsia="Times New Roman" w:cs="Times New Roman"/>
          <w:szCs w:val="20"/>
          <w:vertAlign w:val="superscript"/>
          <w:lang w:eastAsia="pt-BR"/>
        </w:rPr>
        <w:fldChar w:fldCharType="separate"/>
      </w:r>
      <w:r w:rsidRPr="009A7DEA">
        <w:rPr>
          <w:rFonts w:eastAsia="Times New Roman" w:cs="Times New Roman"/>
          <w:noProof/>
          <w:szCs w:val="20"/>
          <w:lang w:eastAsia="pt-BR"/>
        </w:rPr>
        <w:t>[46]</w:t>
      </w:r>
      <w:r w:rsidRPr="00483651">
        <w:rPr>
          <w:rFonts w:eastAsia="Times New Roman" w:cs="Times New Roman"/>
          <w:szCs w:val="20"/>
          <w:vertAlign w:val="superscript"/>
          <w:lang w:eastAsia="pt-BR"/>
        </w:rPr>
        <w:fldChar w:fldCharType="end"/>
      </w:r>
      <w:r w:rsidRPr="00483651">
        <w:rPr>
          <w:rFonts w:eastAsia="Times New Roman" w:cs="Times New Roman"/>
          <w:szCs w:val="20"/>
          <w:lang w:eastAsia="pt-BR"/>
        </w:rPr>
        <w:t xml:space="preserve">. In summary, the </w:t>
      </w:r>
      <w:r w:rsidRPr="00483651">
        <w:rPr>
          <w:rFonts w:cs="Times New Roman"/>
          <w:szCs w:val="20"/>
        </w:rPr>
        <w:t>ABTS</w:t>
      </w:r>
      <w:r w:rsidRPr="00483651">
        <w:rPr>
          <w:rFonts w:cs="Times New Roman"/>
          <w:szCs w:val="20"/>
          <w:vertAlign w:val="superscript"/>
        </w:rPr>
        <w:t xml:space="preserve">•+ </w:t>
      </w:r>
      <w:r w:rsidRPr="00483651">
        <w:rPr>
          <w:rFonts w:cs="Times New Roman"/>
          <w:szCs w:val="20"/>
        </w:rPr>
        <w:t>cationic radical was formed by the reaction of 5 mL of ABTS (7 mM) with 88 µL of potassium persulfate (140 mM). The solution was left in the dark for 16h. Then, 1 mL of the ABTS</w:t>
      </w:r>
      <w:r w:rsidRPr="00483651">
        <w:rPr>
          <w:rFonts w:cs="Times New Roman"/>
          <w:szCs w:val="20"/>
          <w:vertAlign w:val="superscript"/>
        </w:rPr>
        <w:t xml:space="preserve">•+ </w:t>
      </w:r>
      <w:r w:rsidRPr="00483651">
        <w:rPr>
          <w:rFonts w:cs="Times New Roman"/>
          <w:szCs w:val="20"/>
        </w:rPr>
        <w:t>cationic radical was dissolved in ethanol until the UV-Vis absorbance at 734 nm of the prepared solution was 0.700 ± 0.050. The antioxidant activity was measured in triplicate for each WS. In a dark room, one aliquot of 30 µL of each WS was added to 3.0 mL of the ABTS</w:t>
      </w:r>
      <w:r w:rsidRPr="00483651">
        <w:rPr>
          <w:rFonts w:cs="Times New Roman"/>
          <w:szCs w:val="20"/>
          <w:vertAlign w:val="superscript"/>
        </w:rPr>
        <w:t xml:space="preserve">•+ </w:t>
      </w:r>
      <w:r w:rsidRPr="00483651">
        <w:rPr>
          <w:rFonts w:cs="Times New Roman"/>
          <w:szCs w:val="20"/>
        </w:rPr>
        <w:t>cationic radical and the absorbance at 734 nm was measured after 6 min. Ethanol was used as blank. Trolox was used as standard, and the results were expressed in terms of Trolox equivalent antioxidant capacity (TEAC) (µM trolox/g).</w:t>
      </w:r>
    </w:p>
    <w:p w14:paraId="5035F457" w14:textId="77777777" w:rsidR="00FC0B27" w:rsidRDefault="00FC0B27" w:rsidP="00FC0B27">
      <w:pPr>
        <w:spacing w:line="480" w:lineRule="auto"/>
        <w:jc w:val="left"/>
        <w:rPr>
          <w:rFonts w:cs="Times New Roman"/>
          <w:szCs w:val="20"/>
        </w:rPr>
      </w:pPr>
      <w:r w:rsidRPr="00483651">
        <w:rPr>
          <w:rFonts w:cs="Times New Roman"/>
          <w:i/>
          <w:iCs/>
          <w:szCs w:val="20"/>
        </w:rPr>
        <w:t>FRAP method:</w:t>
      </w:r>
      <w:r w:rsidRPr="00483651">
        <w:rPr>
          <w:rFonts w:cs="Times New Roman"/>
          <w:szCs w:val="20"/>
        </w:rPr>
        <w:t xml:space="preserve"> </w:t>
      </w:r>
      <w:r w:rsidRPr="00483651">
        <w:rPr>
          <w:rFonts w:eastAsia="Times New Roman" w:cs="Times New Roman"/>
          <w:szCs w:val="20"/>
          <w:lang w:eastAsia="pt-BR"/>
        </w:rPr>
        <w:t xml:space="preserve">The experiment follows the procedure described in Rufino et al. </w:t>
      </w:r>
      <w:r w:rsidRPr="00483651">
        <w:rPr>
          <w:rFonts w:eastAsia="Times New Roman" w:cs="Times New Roman"/>
          <w:szCs w:val="20"/>
          <w:vertAlign w:val="superscript"/>
          <w:lang w:eastAsia="pt-BR"/>
        </w:rPr>
        <w:fldChar w:fldCharType="begin" w:fldLock="1"/>
      </w:r>
      <w:r>
        <w:rPr>
          <w:rFonts w:eastAsia="Times New Roman" w:cs="Times New Roman"/>
          <w:szCs w:val="20"/>
          <w:vertAlign w:val="superscript"/>
          <w:lang w:eastAsia="pt-BR"/>
        </w:rPr>
        <w:instrText>ADDIN CSL_CITATION {"citationItems":[{"id":"ITEM-1","itemData":{"author":[{"dropping-particle":"","family":"RUFINO","given":"M. D. S. M.","non-dropping-particle":"","parse-names":false,"suffix":""},{"dropping-particle":"","family":"ALVES","given":"R. E.","non-dropping-particle":"","parse-names":false,"suffix":""},{"dropping-particle":"","family":"BRITO","given":"E. S.","non-dropping-particle":"","parse-names":false,"suffix":""},{"dropping-particle":"","family":"MORAIS","given":"S. M.","non-dropping-particle":"","parse-names":false,"suffix":""},{"dropping-particle":"","family":"SAMPAIO","given":"C. G.","non-dropping-particle":"","parse-names":false,"suffix":""},{"dropping-particle":"","family":"PÉREZ-JIMÉNEZ","given":"J.","non-dropping-particle":"","parse-names":false,"suffix":""},{"dropping-particle":"","family":"SAURA-CALIXTO","given":"F. D.","non-dropping-particle":"","parse-names":false,"suffix":""}],"container-title":"Brazilian Agricultural Research Corporation","id":"ITEM-1","issued":{"date-parts":[["2006"]]},"page":"4","title":"Scientific Methodology: Determination of total antioxidant activity in fruits by the iron reduction method (FRAP)","type":"article-journal"},"uris":["http://www.mendeley.com/documents/?uuid=41461ce7-410e-480d-9b44-c682b598a636"]}],"mendeley":{"formattedCitation":"[46]","plainTextFormattedCitation":"[46]","previouslyFormattedCitation":"[46]"},"properties":{"noteIndex":0},"schema":"https://github.com/citation-style-language/schema/raw/master/csl-citation.json"}</w:instrText>
      </w:r>
      <w:r w:rsidRPr="00483651">
        <w:rPr>
          <w:rFonts w:eastAsia="Times New Roman" w:cs="Times New Roman"/>
          <w:szCs w:val="20"/>
          <w:vertAlign w:val="superscript"/>
          <w:lang w:eastAsia="pt-BR"/>
        </w:rPr>
        <w:fldChar w:fldCharType="separate"/>
      </w:r>
      <w:r w:rsidRPr="009A7DEA">
        <w:rPr>
          <w:rFonts w:eastAsia="Times New Roman" w:cs="Times New Roman"/>
          <w:noProof/>
          <w:szCs w:val="20"/>
          <w:lang w:eastAsia="pt-BR"/>
        </w:rPr>
        <w:t>[46]</w:t>
      </w:r>
      <w:r w:rsidRPr="00483651">
        <w:rPr>
          <w:rFonts w:eastAsia="Times New Roman" w:cs="Times New Roman"/>
          <w:szCs w:val="20"/>
          <w:vertAlign w:val="superscript"/>
          <w:lang w:eastAsia="pt-BR"/>
        </w:rPr>
        <w:fldChar w:fldCharType="end"/>
      </w:r>
      <w:r w:rsidRPr="00483651">
        <w:rPr>
          <w:rFonts w:eastAsia="Times New Roman" w:cs="Times New Roman"/>
          <w:szCs w:val="20"/>
          <w:lang w:eastAsia="pt-BR"/>
        </w:rPr>
        <w:t xml:space="preserve">. Briefly, in a dark room, one aliquot of 90 </w:t>
      </w:r>
      <w:r w:rsidRPr="00483651">
        <w:rPr>
          <w:rFonts w:cs="Times New Roman"/>
          <w:szCs w:val="20"/>
        </w:rPr>
        <w:t>μL of each diluted WS (40, 20 e 10 mg mL </w:t>
      </w:r>
      <w:r w:rsidRPr="00483651">
        <w:rPr>
          <w:rFonts w:cs="Times New Roman"/>
          <w:szCs w:val="20"/>
          <w:vertAlign w:val="superscript"/>
        </w:rPr>
        <w:t>-1</w:t>
      </w:r>
      <w:r w:rsidRPr="00483651">
        <w:rPr>
          <w:rFonts w:cs="Times New Roman"/>
          <w:szCs w:val="20"/>
        </w:rPr>
        <w:t>) was added to a flask containing 270 μL of distilled water and 2.7mL of FRAP reagent. The reaction was carried out at 37 ºC for 30 min. The absorbance at 595 nm in UV-Vis equipment was acquired.  The FRAP reagent was used as blank and Iron(II) sulfate (FeSO</w:t>
      </w:r>
      <w:r w:rsidRPr="00483651">
        <w:rPr>
          <w:rFonts w:cs="Times New Roman"/>
          <w:szCs w:val="20"/>
          <w:vertAlign w:val="subscript"/>
        </w:rPr>
        <w:t>4</w:t>
      </w:r>
      <w:r w:rsidRPr="00483651">
        <w:rPr>
          <w:rFonts w:cs="Times New Roman"/>
          <w:szCs w:val="20"/>
        </w:rPr>
        <w:t>) reagent as standard. The ferric reducing antioxidant power was expressed in terms of ferrous equivalent.</w:t>
      </w:r>
    </w:p>
    <w:p w14:paraId="40EB8C17" w14:textId="77777777" w:rsidR="00FC0B27" w:rsidRDefault="00FC0B27" w:rsidP="00FC0B27">
      <w:pPr>
        <w:spacing w:line="480" w:lineRule="auto"/>
        <w:jc w:val="left"/>
        <w:rPr>
          <w:rFonts w:cs="Times New Roman"/>
          <w:szCs w:val="20"/>
        </w:rPr>
      </w:pPr>
    </w:p>
    <w:p w14:paraId="05A256B2" w14:textId="77777777" w:rsidR="00D10C5B" w:rsidRDefault="00D10C5B"/>
    <w:sectPr w:rsidR="00D10C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B27"/>
    <w:rsid w:val="00D10C5B"/>
    <w:rsid w:val="00FC0B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20CA8"/>
  <w15:chartTrackingRefBased/>
  <w15:docId w15:val="{62B31A95-0B03-44C9-A7A5-408623294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B27"/>
    <w:pPr>
      <w:spacing w:after="0" w:line="360" w:lineRule="auto"/>
      <w:ind w:firstLine="851"/>
      <w:jc w:val="both"/>
    </w:pPr>
    <w:rPr>
      <w:rFonts w:ascii="Times New Roman" w:hAnsi="Times New Roman"/>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1283</Words>
  <Characters>7316</Characters>
  <Application>Microsoft Office Word</Application>
  <DocSecurity>0</DocSecurity>
  <Lines>60</Lines>
  <Paragraphs>17</Paragraphs>
  <ScaleCrop>false</ScaleCrop>
  <Company>Springer Nature</Company>
  <LinksUpToDate>false</LinksUpToDate>
  <CharactersWithSpaces>8582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2022-10-17T06:12:00Z</dcterms:created>
  <dcterms:modified xsi:type="dcterms:W3CDTF">2022-10-17T06:12:00Z</dcterms:modified>
</cp:coreProperties>
</file>