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Supplements</w:t>
      </w:r>
    </w:p>
    <w:p>
      <w:pPr>
        <w:spacing w:line="36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eastAsia="宋体" w:cs="Times New Roman"/>
          <w:b/>
          <w:bCs/>
        </w:rPr>
        <w:t>T</w:t>
      </w:r>
      <w:r>
        <w:rPr>
          <w:rFonts w:hint="eastAsia" w:ascii="Times New Roman" w:hAnsi="Times New Roman" w:eastAsia="宋体" w:cs="Times New Roman"/>
          <w:b/>
          <w:bCs/>
        </w:rPr>
        <w:t>able</w:t>
      </w:r>
      <w:r>
        <w:rPr>
          <w:rFonts w:ascii="Times New Roman" w:hAnsi="Times New Roman" w:eastAsia="宋体" w:cs="Times New Roman"/>
          <w:b/>
          <w:bCs/>
        </w:rPr>
        <w:t xml:space="preserve"> </w:t>
      </w:r>
      <w:r>
        <w:rPr>
          <w:rFonts w:hint="eastAsia" w:ascii="Times New Roman" w:hAnsi="Times New Roman" w:eastAsia="宋体" w:cs="Times New Roman"/>
          <w:b/>
          <w:bCs/>
        </w:rPr>
        <w:t>S1.</w:t>
      </w:r>
      <w:r>
        <w:rPr>
          <w:rFonts w:ascii="Times New Roman" w:hAnsi="Times New Roman" w:eastAsia="宋体" w:cs="Times New Roman"/>
          <w:b/>
          <w:bCs/>
        </w:rPr>
        <w:t xml:space="preserve"> </w:t>
      </w:r>
      <w:r>
        <w:rPr>
          <w:rFonts w:hint="eastAsia" w:ascii="Times New Roman" w:hAnsi="Times New Roman" w:eastAsia="宋体" w:cs="Times New Roman"/>
          <w:b/>
        </w:rPr>
        <w:t>I</w:t>
      </w:r>
      <w:r>
        <w:rPr>
          <w:rFonts w:hint="eastAsia" w:ascii="Times New Roman" w:hAnsi="Times New Roman" w:cs="Times New Roman"/>
          <w:b/>
        </w:rPr>
        <w:t>nformation for each KRA</w:t>
      </w:r>
    </w:p>
    <w:tbl>
      <w:tblPr>
        <w:tblStyle w:val="88"/>
        <w:tblW w:w="8429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8"/>
        <w:gridCol w:w="700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28" w:type="dxa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5"/>
                <w:szCs w:val="15"/>
                <w:lang w:bidi="ar"/>
              </w:rPr>
              <w:t>Serial number</w:t>
            </w:r>
          </w:p>
        </w:tc>
        <w:tc>
          <w:tcPr>
            <w:tcW w:w="7001" w:type="dxa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5"/>
                <w:szCs w:val="15"/>
                <w:lang w:bidi="ar"/>
              </w:rPr>
              <w:t>Introduce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28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>Ⅰ-1-1</w:t>
            </w:r>
          </w:p>
        </w:tc>
        <w:tc>
          <w:tcPr>
            <w:tcW w:w="700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>Key ecological restoration area of Hulunbuir Sandy Land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>Ⅰ-2-1</w:t>
            </w:r>
          </w:p>
        </w:tc>
        <w:tc>
          <w:tcPr>
            <w:tcW w:w="7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>Key ecological restoration areas of Hunshandake and Uzhumqin sandy land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>Ⅰ-3-1</w:t>
            </w:r>
          </w:p>
        </w:tc>
        <w:tc>
          <w:tcPr>
            <w:tcW w:w="7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>Ecological restoration area in the upper reaches of Xiliao River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>Ⅰ-4-1</w:t>
            </w:r>
          </w:p>
        </w:tc>
        <w:tc>
          <w:tcPr>
            <w:tcW w:w="7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>Horqin grassland ecological conservation and restoration area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>Ⅰ-5-1</w:t>
            </w:r>
          </w:p>
        </w:tc>
        <w:tc>
          <w:tcPr>
            <w:tcW w:w="7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>Daihai and Chahannur key wetland and watershed ecological restoration area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>Ⅰ-5-2</w:t>
            </w:r>
          </w:p>
        </w:tc>
        <w:tc>
          <w:tcPr>
            <w:tcW w:w="7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>Luanhe River Headwaters area key ecological conservation and restoration area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>Ⅰ-6-1</w:t>
            </w:r>
          </w:p>
        </w:tc>
        <w:tc>
          <w:tcPr>
            <w:tcW w:w="7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>Key ecological restoration area of desert steppe at the northern foot of Yinshan Mountain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>Ⅰ-7-1</w:t>
            </w:r>
          </w:p>
        </w:tc>
        <w:tc>
          <w:tcPr>
            <w:tcW w:w="7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>The key ecological restoration area of wind break and sand fixation at the western foot of Helan Mountain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>Ⅰ-7-2</w:t>
            </w:r>
          </w:p>
        </w:tc>
        <w:tc>
          <w:tcPr>
            <w:tcW w:w="7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>Heihe River downstream river and Juyanhai wetland protection key ecological restoration area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>Ⅱ-1-1</w:t>
            </w:r>
          </w:p>
        </w:tc>
        <w:tc>
          <w:tcPr>
            <w:tcW w:w="7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>Yinshan south foot and Hetao plain water conservation ecological restoration area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>Ⅱ-2-1</w:t>
            </w:r>
          </w:p>
        </w:tc>
        <w:tc>
          <w:tcPr>
            <w:tcW w:w="7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>The key restoration area of soil and water conservation in Ordos Plateau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>Ⅱ-3-1</w:t>
            </w:r>
          </w:p>
        </w:tc>
        <w:tc>
          <w:tcPr>
            <w:tcW w:w="7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>Wuhai and its surrounding ecological restoration area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>Ⅲ-2-1</w:t>
            </w:r>
          </w:p>
        </w:tc>
        <w:tc>
          <w:tcPr>
            <w:tcW w:w="7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>Nenjiang River north source water conservation and restoration area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>Ⅲ-3-1</w:t>
            </w:r>
          </w:p>
        </w:tc>
        <w:tc>
          <w:tcPr>
            <w:tcW w:w="7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>Nenjiang River south source water conservation and restoration area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>Ⅲ-4-1</w:t>
            </w:r>
          </w:p>
        </w:tc>
        <w:tc>
          <w:tcPr>
            <w:tcW w:w="7001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lang w:bidi="ar"/>
              </w:rPr>
              <w:t>Comprehensive ecological restoration area of black land at the eastern foot of Greater Khingan Mountains</w:t>
            </w:r>
          </w:p>
        </w:tc>
      </w:tr>
    </w:tbl>
    <w:p>
      <w:pPr>
        <w:rPr>
          <w:rFonts w:ascii="Times New Roman" w:hAnsi="Times New Roman" w:cs="Times New Roman"/>
          <w:b/>
        </w:rPr>
      </w:pPr>
    </w:p>
    <w:p>
      <w:pPr>
        <w:adjustRightInd w:val="0"/>
        <w:snapToGrid w:val="0"/>
        <w:spacing w:line="360" w:lineRule="auto"/>
        <w:rPr>
          <w:rFonts w:ascii="Times New Roman" w:hAnsi="Times New Roman"/>
        </w:rPr>
      </w:pPr>
      <w:bookmarkStart w:id="0" w:name="OLE_LINK31"/>
      <w:r>
        <w:rPr>
          <w:rFonts w:ascii="Times New Roman" w:hAnsi="Times New Roman" w:eastAsia="宋体" w:cs="Times New Roman"/>
          <w:b/>
          <w:bCs/>
        </w:rPr>
        <w:t>T</w:t>
      </w:r>
      <w:r>
        <w:rPr>
          <w:rFonts w:hint="eastAsia" w:ascii="Times New Roman" w:hAnsi="Times New Roman" w:eastAsia="宋体" w:cs="Times New Roman"/>
          <w:b/>
          <w:bCs/>
        </w:rPr>
        <w:t>able</w:t>
      </w:r>
      <w:r>
        <w:rPr>
          <w:rFonts w:ascii="Times New Roman" w:hAnsi="Times New Roman" w:eastAsia="宋体" w:cs="Times New Roman"/>
          <w:b/>
          <w:bCs/>
        </w:rPr>
        <w:t xml:space="preserve"> </w:t>
      </w:r>
      <w:r>
        <w:rPr>
          <w:rFonts w:hint="eastAsia" w:ascii="Times New Roman" w:hAnsi="Times New Roman" w:eastAsia="宋体" w:cs="Times New Roman"/>
          <w:b/>
          <w:bCs/>
        </w:rPr>
        <w:t>S2.</w:t>
      </w:r>
      <w:bookmarkEnd w:id="0"/>
      <w:r>
        <w:rPr>
          <w:rFonts w:hint="eastAsia" w:ascii="Times New Roman" w:hAnsi="Times New Roman" w:eastAsia="宋体" w:cs="Times New Roman"/>
          <w:b/>
          <w:bCs/>
        </w:rPr>
        <w:t xml:space="preserve"> Calculation method of the relevant parameters in the PML model</w:t>
      </w:r>
    </w:p>
    <w:tbl>
      <w:tblPr>
        <w:tblStyle w:val="89"/>
        <w:tblW w:w="8267" w:type="dxa"/>
        <w:tblInd w:w="1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75"/>
        <w:gridCol w:w="2583"/>
        <w:gridCol w:w="37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5" w:type="dxa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Parameter</w:t>
            </w:r>
          </w:p>
        </w:tc>
        <w:tc>
          <w:tcPr>
            <w:tcW w:w="2583" w:type="dxa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Formula</w:t>
            </w:r>
          </w:p>
        </w:tc>
        <w:tc>
          <w:tcPr>
            <w:tcW w:w="3709" w:type="dxa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15"/>
                <w:szCs w:val="15"/>
              </w:rPr>
              <w:t>Explanation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5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P(Atmospheric pressure)</w:t>
            </w:r>
          </w:p>
        </w:tc>
        <w:tc>
          <w:tcPr>
            <w:tcW w:w="2583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5"/>
                <w:szCs w:val="15"/>
                <w:oMath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15"/>
                    <w:szCs w:val="15"/>
                  </w:rPr>
                  <m:t>P=101.3</m:t>
                </m:r>
                <m:sSup>
                  <m:sSupPr>
                    <m:ctrlPr>
                      <w:rPr>
                        <w:rFonts w:ascii="Cambria Math" w:hAnsi="Cambria Math" w:cs="Times New Roman"/>
                        <w:sz w:val="15"/>
                        <w:szCs w:val="15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hAnsi="Cambria Math" w:cs="Times New Roman"/>
                            <w:sz w:val="15"/>
                            <w:szCs w:val="15"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hAnsi="Cambria Math" w:cs="Times New Roman"/>
                                <w:sz w:val="15"/>
                                <w:szCs w:val="15"/>
                              </w:rPr>
                            </m:ctrlPr>
                          </m:fPr>
                          <m:num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15"/>
                                <w:szCs w:val="15"/>
                              </w:rPr>
                              <m:t>293−0.0065z</m:t>
                            </m:r>
                            <m:ctrlPr>
                              <w:rPr>
                                <w:rFonts w:ascii="Cambria Math" w:hAnsi="Cambria Math" w:cs="Times New Roman"/>
                                <w:sz w:val="15"/>
                                <w:szCs w:val="15"/>
                              </w:rPr>
                            </m:ctrlPr>
                          </m:num>
                          <m:den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15"/>
                                <w:szCs w:val="15"/>
                              </w:rPr>
                              <m:t>293</m:t>
                            </m:r>
                            <m:ctrlPr>
                              <w:rPr>
                                <w:rFonts w:ascii="Cambria Math" w:hAnsi="Cambria Math" w:cs="Times New Roman"/>
                                <w:sz w:val="15"/>
                                <w:szCs w:val="15"/>
                              </w:rPr>
                            </m:ctrlPr>
                          </m:den>
                        </m:f>
                        <m:ctrlPr>
                          <w:rPr>
                            <w:rFonts w:ascii="Cambria Math" w:hAnsi="Cambria Math" w:cs="Times New Roman"/>
                            <w:sz w:val="15"/>
                            <w:szCs w:val="15"/>
                          </w:rPr>
                        </m:ctrlPr>
                      </m:e>
                    </m:d>
                    <m:ctrlPr>
                      <w:rPr>
                        <w:rFonts w:ascii="Cambria Math" w:hAnsi="Cambria Math" w:cs="Times New Roman"/>
                        <w:sz w:val="15"/>
                        <w:szCs w:val="15"/>
                      </w:rPr>
                    </m:ctrlP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15"/>
                        <w:szCs w:val="15"/>
                      </w:rPr>
                      <m:t>5.26</m:t>
                    </m:r>
                    <m:ctrlPr>
                      <w:rPr>
                        <w:rFonts w:ascii="Cambria Math" w:hAnsi="Cambria Math" w:cs="Times New Roman"/>
                        <w:sz w:val="15"/>
                        <w:szCs w:val="15"/>
                      </w:rPr>
                    </m:ctrlPr>
                  </m:sup>
                </m:sSup>
              </m:oMath>
            </m:oMathPara>
          </w:p>
        </w:tc>
        <w:tc>
          <w:tcPr>
            <w:tcW w:w="3709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eastAsia="Calibri" w:cs="Times New Roman"/>
                <w:sz w:val="15"/>
                <w:szCs w:val="15"/>
              </w:rPr>
              <w:t>P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: </w:t>
            </w:r>
            <w:r>
              <w:rPr>
                <w:rFonts w:ascii="Times New Roman" w:hAnsi="Times New Roman" w:eastAsia="Calibri" w:cs="Times New Roman"/>
                <w:sz w:val="15"/>
                <w:szCs w:val="15"/>
              </w:rPr>
              <w:t>atmospheric pressure [kPa];</w:t>
            </w:r>
          </w:p>
          <w:p>
            <w:pPr>
              <w:jc w:val="left"/>
              <w:rPr>
                <w:rFonts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z: </w:t>
            </w:r>
            <w:r>
              <w:rPr>
                <w:rFonts w:ascii="Times New Roman" w:hAnsi="Times New Roman" w:eastAsia="Calibri" w:cs="Times New Roman"/>
                <w:sz w:val="15"/>
                <w:szCs w:val="15"/>
              </w:rPr>
              <w:t>elevation above sea level [m].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λ(Latent heat of vaporization)</w:t>
            </w:r>
          </w:p>
        </w:tc>
        <w:tc>
          <w:tcPr>
            <w:tcW w:w="25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5"/>
                <w:szCs w:val="15"/>
                <w:oMath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eastAsia="Calibri" w:cs="Times New Roman"/>
                    <w:sz w:val="15"/>
                    <w:szCs w:val="15"/>
                  </w:rPr>
                  <m:t>λ=2.501−0.002361</m:t>
                </m:r>
                <m:r>
                  <m:rPr>
                    <m:sty m:val="p"/>
                  </m:rPr>
                  <w:rPr>
                    <w:rFonts w:ascii="Cambria Math" w:hAnsi="Cambria Math" w:cs="Times New Roman"/>
                    <w:sz w:val="15"/>
                    <w:szCs w:val="15"/>
                  </w:rPr>
                  <m:t>×</m:t>
                </m:r>
                <m:r>
                  <m:rPr>
                    <m:sty m:val="p"/>
                  </m:rPr>
                  <w:rPr>
                    <w:rFonts w:ascii="Cambria Math" w:hAnsi="Cambria Math" w:eastAsia="Calibri" w:cs="Times New Roman"/>
                    <w:sz w:val="15"/>
                    <w:szCs w:val="15"/>
                  </w:rPr>
                  <m:t>T</m:t>
                </m:r>
              </m:oMath>
            </m:oMathPara>
          </w:p>
        </w:tc>
        <w:tc>
          <w:tcPr>
            <w:tcW w:w="3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sz w:val="15"/>
                <w:szCs w:val="15"/>
              </w:rPr>
            </w:pPr>
            <m:oMath>
              <m:r>
                <m:rPr>
                  <m:sty m:val="p"/>
                </m:rPr>
                <w:rPr>
                  <w:rFonts w:ascii="Cambria Math" w:hAnsi="Cambria Math" w:cs="Times New Roman"/>
                  <w:sz w:val="15"/>
                  <w:szCs w:val="15"/>
                </w:rPr>
                <m:t>λ</m:t>
              </m:r>
            </m:oMath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: </w:t>
            </w:r>
            <w:r>
              <w:rPr>
                <w:rFonts w:ascii="Times New Roman" w:hAnsi="Times New Roman" w:eastAsia="宋体" w:cs="Times New Roman"/>
                <w:sz w:val="15"/>
                <w:szCs w:val="15"/>
              </w:rPr>
              <w:t>l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atent heat of vaporization [MJ kg</w:t>
            </w:r>
            <w:r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-1</w:t>
            </w:r>
            <w:r>
              <w:rPr>
                <w:rFonts w:ascii="Times New Roman" w:hAnsi="Times New Roman" w:eastAsia="宋体" w:cs="Times New Roman"/>
                <w:sz w:val="15"/>
                <w:szCs w:val="15"/>
              </w:rPr>
              <w:t>];</w:t>
            </w:r>
          </w:p>
          <w:p>
            <w:pPr>
              <w:pStyle w:val="5"/>
              <w:spacing w:before="0" w:after="0" w:line="240" w:lineRule="auto"/>
              <w:jc w:val="left"/>
              <w:outlineLvl w:val="2"/>
              <w:rPr>
                <w:rFonts w:ascii="Times New Roman" w:hAnsi="Times New Roman" w:eastAsia="宋体" w:cs="Times New Roman"/>
                <w:sz w:val="15"/>
                <w:szCs w:val="15"/>
                <w:lang w:eastAsia="zh-CN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  <w:lang w:eastAsia="zh-CN"/>
              </w:rPr>
              <w:t>T: air temperature [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15"/>
                <w:szCs w:val="15"/>
                <w:lang w:eastAsia="zh-CN"/>
              </w:rPr>
              <w:t>℃</w:t>
            </w:r>
            <w:r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  <w:lang w:eastAsia="zh-CN"/>
              </w:rPr>
              <w:t>].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γ(Psychrometric constant)</w:t>
            </w:r>
          </w:p>
        </w:tc>
        <w:tc>
          <w:tcPr>
            <w:tcW w:w="25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5"/>
                <w:szCs w:val="15"/>
                <w:oMath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15"/>
                    <w:szCs w:val="15"/>
                  </w:rPr>
                  <m:t>γ=</m:t>
                </m:r>
                <m:f>
                  <m:fPr>
                    <m:ctrlPr>
                      <w:rPr>
                        <w:rFonts w:ascii="Cambria Math" w:hAnsi="Cambria Math" w:cs="Times New Roman"/>
                        <w:sz w:val="15"/>
                        <w:szCs w:val="15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="Times New Roman"/>
                            <w:sz w:val="15"/>
                            <w:szCs w:val="15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eastAsia="宋体" w:cs="Times New Roman"/>
                            <w:sz w:val="15"/>
                            <w:szCs w:val="15"/>
                          </w:rPr>
                          <m:t>C</m:t>
                        </m:r>
                        <m:ctrlPr>
                          <w:rPr>
                            <w:rFonts w:ascii="Cambria Math" w:hAnsi="Cambria Math" w:cs="Times New Roman"/>
                            <w:sz w:val="15"/>
                            <w:szCs w:val="15"/>
                          </w:rPr>
                        </m:ctrlP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eastAsia="宋体" w:cs="Times New Roman"/>
                            <w:sz w:val="15"/>
                            <w:szCs w:val="15"/>
                          </w:rPr>
                          <m:t>p</m:t>
                        </m:r>
                        <m:ctrlPr>
                          <w:rPr>
                            <w:rFonts w:ascii="Cambria Math" w:hAnsi="Cambria Math" w:cs="Times New Roman"/>
                            <w:sz w:val="15"/>
                            <w:szCs w:val="15"/>
                          </w:rPr>
                        </m:ctrlP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hAnsi="Cambria Math" w:eastAsia="宋体" w:cs="Times New Roman"/>
                        <w:sz w:val="15"/>
                        <w:szCs w:val="15"/>
                      </w:rPr>
                      <m:t>P</m:t>
                    </m:r>
                    <m:ctrlPr>
                      <w:rPr>
                        <w:rFonts w:ascii="Cambria Math" w:hAnsi="Cambria Math" w:cs="Times New Roman"/>
                        <w:sz w:val="15"/>
                        <w:szCs w:val="15"/>
                      </w:rPr>
                    </m:ctrlP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15"/>
                        <w:szCs w:val="15"/>
                      </w:rPr>
                      <m:t>ε</m:t>
                    </m:r>
                    <m:r>
                      <m:rPr>
                        <m:sty m:val="p"/>
                      </m:rPr>
                      <w:rPr>
                        <w:rFonts w:ascii="Cambria Math" w:hAnsi="Cambria Math" w:eastAsia="Calibri" w:cs="Times New Roman"/>
                        <w:sz w:val="15"/>
                        <w:szCs w:val="15"/>
                      </w:rPr>
                      <m:t>λ</m:t>
                    </m:r>
                    <m:ctrlPr>
                      <w:rPr>
                        <w:rFonts w:ascii="Cambria Math" w:hAnsi="Cambria Math" w:cs="Times New Roman"/>
                        <w:sz w:val="15"/>
                        <w:szCs w:val="15"/>
                      </w:rPr>
                    </m:ctrlPr>
                  </m:den>
                </m:f>
              </m:oMath>
            </m:oMathPara>
          </w:p>
        </w:tc>
        <w:tc>
          <w:tcPr>
            <w:tcW w:w="3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5"/>
              <w:spacing w:before="0" w:after="0" w:line="240" w:lineRule="auto"/>
              <w:jc w:val="left"/>
              <w:outlineLvl w:val="2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  <w:lang w:eastAsia="zh-CN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  <w:lang w:eastAsia="zh-CN"/>
              </w:rPr>
              <w:t xml:space="preserve">g: psychrometric constant [kPa 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15"/>
                <w:szCs w:val="15"/>
                <w:lang w:eastAsia="zh-CN"/>
              </w:rPr>
              <w:t>℃</w:t>
            </w:r>
            <w:r>
              <w:rPr>
                <w:rFonts w:ascii="Times New Roman" w:hAnsi="Times New Roman" w:cs="Times New Roman" w:eastAsiaTheme="minorEastAsia"/>
                <w:b w:val="0"/>
                <w:bCs w:val="0"/>
                <w:kern w:val="2"/>
                <w:sz w:val="15"/>
                <w:szCs w:val="15"/>
                <w:vertAlign w:val="superscript"/>
                <w:lang w:eastAsia="zh-CN"/>
              </w:rPr>
              <w:t>-1</w:t>
            </w:r>
            <w:r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  <w:lang w:eastAsia="zh-CN"/>
              </w:rPr>
              <w:t>];</w:t>
            </w:r>
          </w:p>
          <w:p>
            <w:pPr>
              <w:pStyle w:val="5"/>
              <w:spacing w:before="0" w:after="0" w:line="240" w:lineRule="auto"/>
              <w:jc w:val="left"/>
              <w:outlineLvl w:val="2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  <w:lang w:eastAsia="zh-CN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  <w:lang w:eastAsia="zh-CN"/>
              </w:rPr>
              <w:t>P: atmospheric pressure [kPa];</w:t>
            </w:r>
          </w:p>
          <w:p>
            <w:pPr>
              <w:pStyle w:val="5"/>
              <w:spacing w:before="0" w:after="0" w:line="240" w:lineRule="auto"/>
              <w:jc w:val="left"/>
              <w:outlineLvl w:val="2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  <w:lang w:eastAsia="zh-CN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  <w:lang w:eastAsia="zh-CN"/>
              </w:rPr>
              <w:t>l: latent heat of vaporization, 2.45 [MJ kg</w:t>
            </w:r>
            <w:r>
              <w:rPr>
                <w:rFonts w:ascii="Times New Roman" w:hAnsi="Times New Roman" w:cs="Times New Roman" w:eastAsiaTheme="minorEastAsia"/>
                <w:b w:val="0"/>
                <w:bCs w:val="0"/>
                <w:kern w:val="2"/>
                <w:sz w:val="15"/>
                <w:szCs w:val="15"/>
                <w:vertAlign w:val="superscript"/>
                <w:lang w:eastAsia="zh-CN"/>
              </w:rPr>
              <w:t>-1</w:t>
            </w:r>
            <w:r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  <w:lang w:eastAsia="zh-CN"/>
              </w:rPr>
              <w:t>];</w:t>
            </w:r>
          </w:p>
          <w:p>
            <w:pPr>
              <w:pStyle w:val="5"/>
              <w:spacing w:before="0" w:after="0" w:line="240" w:lineRule="auto"/>
              <w:jc w:val="left"/>
              <w:outlineLvl w:val="2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  <w:lang w:eastAsia="zh-CN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  <w:lang w:eastAsia="zh-CN"/>
              </w:rPr>
              <w:t>C</w:t>
            </w:r>
            <w:r>
              <w:rPr>
                <w:rFonts w:ascii="Times New Roman" w:hAnsi="Times New Roman" w:cs="Times New Roman" w:eastAsiaTheme="minorEastAsia"/>
                <w:b w:val="0"/>
                <w:bCs w:val="0"/>
                <w:kern w:val="2"/>
                <w:sz w:val="15"/>
                <w:szCs w:val="15"/>
                <w:vertAlign w:val="subscript"/>
                <w:lang w:eastAsia="zh-CN"/>
              </w:rPr>
              <w:t>p:</w:t>
            </w:r>
            <w:r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  <w:lang w:eastAsia="zh-CN"/>
              </w:rPr>
              <w:t xml:space="preserve"> specific heat at constant pressure, 1.013 10</w:t>
            </w:r>
            <w:r>
              <w:rPr>
                <w:rFonts w:ascii="Times New Roman" w:hAnsi="Times New Roman" w:cs="Times New Roman" w:eastAsiaTheme="minorEastAsia"/>
                <w:b w:val="0"/>
                <w:bCs w:val="0"/>
                <w:kern w:val="2"/>
                <w:sz w:val="15"/>
                <w:szCs w:val="15"/>
                <w:vertAlign w:val="superscript"/>
                <w:lang w:eastAsia="zh-CN"/>
              </w:rPr>
              <w:t>-3</w:t>
            </w:r>
            <w:r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  <w:lang w:eastAsia="zh-CN"/>
              </w:rPr>
              <w:t xml:space="preserve"> [MJ kg</w:t>
            </w:r>
            <w:r>
              <w:rPr>
                <w:rFonts w:ascii="Times New Roman" w:hAnsi="Times New Roman" w:cs="Times New Roman" w:eastAsiaTheme="minorEastAsia"/>
                <w:b w:val="0"/>
                <w:bCs w:val="0"/>
                <w:kern w:val="2"/>
                <w:sz w:val="15"/>
                <w:szCs w:val="15"/>
                <w:vertAlign w:val="superscript"/>
                <w:lang w:eastAsia="zh-CN"/>
              </w:rPr>
              <w:t>-1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15"/>
                <w:szCs w:val="15"/>
                <w:lang w:eastAsia="zh-CN"/>
              </w:rPr>
              <w:t>℃</w:t>
            </w:r>
            <w:r>
              <w:rPr>
                <w:rFonts w:ascii="Times New Roman" w:hAnsi="Times New Roman" w:cs="Times New Roman" w:eastAsiaTheme="minorEastAsia"/>
                <w:b w:val="0"/>
                <w:bCs w:val="0"/>
                <w:kern w:val="2"/>
                <w:sz w:val="15"/>
                <w:szCs w:val="15"/>
                <w:vertAlign w:val="superscript"/>
                <w:lang w:eastAsia="zh-CN"/>
              </w:rPr>
              <w:t>-1</w:t>
            </w:r>
            <w:r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  <w:lang w:eastAsia="zh-CN"/>
              </w:rPr>
              <w:t>];</w:t>
            </w:r>
          </w:p>
          <w:p>
            <w:pPr>
              <w:pStyle w:val="5"/>
              <w:spacing w:before="0" w:after="0" w:line="240" w:lineRule="auto"/>
              <w:jc w:val="left"/>
              <w:outlineLvl w:val="2"/>
              <w:rPr>
                <w:rFonts w:ascii="Times New Roman" w:hAnsi="Times New Roman" w:cs="Times New Roman"/>
                <w:sz w:val="15"/>
                <w:szCs w:val="15"/>
                <w:lang w:eastAsia="zh-CN"/>
                <w:oMath/>
              </w:rPr>
            </w:pPr>
            <m:oMath>
              <m:r>
                <m:rPr>
                  <m:sty m:val="b"/>
                </m:rPr>
                <w:rPr>
                  <w:rFonts w:ascii="Cambria Math" w:hAnsi="Cambria Math" w:cs="Times New Roman"/>
                  <w:sz w:val="15"/>
                  <w:szCs w:val="15"/>
                  <w:lang w:eastAsia="zh-CN"/>
                </w:rPr>
                <m:t>ε</m:t>
              </m:r>
            </m:oMath>
            <w:r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  <w:lang w:eastAsia="zh-CN"/>
              </w:rPr>
              <w:t>: ratio molecular weight of water vapor/dry air = 0.622.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s(Slope of saturation vapor pressure curve)</w:t>
            </w:r>
          </w:p>
        </w:tc>
        <w:tc>
          <w:tcPr>
            <w:tcW w:w="25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Cambria Math" w:hAnsi="Cambria Math" w:cs="Times New Roman"/>
                <w:sz w:val="15"/>
                <w:szCs w:val="15"/>
                <w:oMath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15"/>
                    <w:szCs w:val="15"/>
                  </w:rPr>
                  <m:t>s=</m:t>
                </m:r>
                <m:f>
                  <m:fPr>
                    <m:ctrlPr>
                      <w:rPr>
                        <w:rFonts w:ascii="Cambria Math" w:hAnsi="Cambria Math" w:cs="Times New Roman"/>
                        <w:sz w:val="15"/>
                        <w:szCs w:val="15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15"/>
                        <w:szCs w:val="15"/>
                      </w:rPr>
                      <m:t>4098</m:t>
                    </m:r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 w:cs="Times New Roman"/>
                            <w:sz w:val="15"/>
                            <w:szCs w:val="15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15"/>
                            <w:szCs w:val="15"/>
                          </w:rPr>
                          <m:t>0.6108exp</m:t>
                        </m:r>
                        <m:d>
                          <m:dPr>
                            <m:ctrlPr>
                              <w:rPr>
                                <w:rFonts w:ascii="Cambria Math" w:hAnsi="Cambria Math" w:cs="Times New Roman"/>
                                <w:sz w:val="15"/>
                                <w:szCs w:val="15"/>
                              </w:rPr>
                            </m:ctrlPr>
                          </m:dPr>
                          <m:e>
                            <m:f>
                              <m:fPr>
                                <m:ctrlPr>
                                  <w:rPr>
                                    <w:rFonts w:ascii="Cambria Math" w:hAnsi="Cambria Math" w:cs="Times New Roman"/>
                                    <w:sz w:val="15"/>
                                    <w:szCs w:val="15"/>
                                  </w:rPr>
                                </m:ctrlPr>
                              </m:fPr>
                              <m:num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 w:cs="Times New Roman"/>
                                    <w:sz w:val="15"/>
                                    <w:szCs w:val="15"/>
                                  </w:rPr>
                                  <m:t>17.27T</m:t>
                                </m:r>
                                <m:ctrlPr>
                                  <w:rPr>
                                    <w:rFonts w:ascii="Cambria Math" w:hAnsi="Cambria Math" w:cs="Times New Roman"/>
                                    <w:sz w:val="15"/>
                                    <w:szCs w:val="15"/>
                                  </w:rPr>
                                </m:ctrlPr>
                              </m:num>
                              <m:den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 w:cs="Times New Roman"/>
                                    <w:sz w:val="15"/>
                                    <w:szCs w:val="15"/>
                                  </w:rPr>
                                  <m:t>T+237.3</m:t>
                                </m:r>
                                <m:ctrlPr>
                                  <w:rPr>
                                    <w:rFonts w:ascii="Cambria Math" w:hAnsi="Cambria Math" w:cs="Times New Roman"/>
                                    <w:sz w:val="15"/>
                                    <w:szCs w:val="15"/>
                                  </w:rPr>
                                </m:ctrlPr>
                              </m:den>
                            </m:f>
                            <m:ctrlPr>
                              <w:rPr>
                                <w:rFonts w:ascii="Cambria Math" w:hAnsi="Cambria Math" w:cs="Times New Roman"/>
                                <w:sz w:val="15"/>
                                <w:szCs w:val="15"/>
                              </w:rPr>
                            </m:ctrlPr>
                          </m:e>
                        </m:d>
                        <m:ctrlPr>
                          <w:rPr>
                            <w:rFonts w:ascii="Cambria Math" w:hAnsi="Cambria Math" w:cs="Times New Roman"/>
                            <w:sz w:val="15"/>
                            <w:szCs w:val="15"/>
                          </w:rPr>
                        </m:ctrlPr>
                      </m:e>
                    </m:d>
                    <m:ctrlPr>
                      <w:rPr>
                        <w:rFonts w:ascii="Cambria Math" w:hAnsi="Cambria Math" w:cs="Times New Roman"/>
                        <w:sz w:val="15"/>
                        <w:szCs w:val="15"/>
                      </w:rPr>
                    </m:ctrlPr>
                  </m:num>
                  <m:den>
                    <m:sSup>
                      <m:sSupPr>
                        <m:ctrlPr>
                          <w:rPr>
                            <w:rFonts w:ascii="Cambria Math" w:hAnsi="Cambria Math" w:cs="Times New Roman"/>
                            <w:sz w:val="15"/>
                            <w:szCs w:val="15"/>
                          </w:rPr>
                        </m:ctrlPr>
                      </m:sSupPr>
                      <m:e>
                        <m:d>
                          <m:dPr>
                            <m:ctrlPr>
                              <w:rPr>
                                <w:rFonts w:ascii="Cambria Math" w:hAnsi="Cambria Math" w:cs="Times New Roman"/>
                                <w:sz w:val="15"/>
                                <w:szCs w:val="15"/>
                              </w:rPr>
                            </m:ctrlPr>
                          </m:d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15"/>
                                <w:szCs w:val="15"/>
                              </w:rPr>
                              <m:t>T+237.3</m:t>
                            </m:r>
                            <m:ctrlPr>
                              <w:rPr>
                                <w:rFonts w:ascii="Cambria Math" w:hAnsi="Cambria Math" w:cs="Times New Roman"/>
                                <w:sz w:val="15"/>
                                <w:szCs w:val="15"/>
                              </w:rPr>
                            </m:ctrlPr>
                          </m:e>
                        </m:d>
                        <m:ctrlPr>
                          <w:rPr>
                            <w:rFonts w:ascii="Cambria Math" w:hAnsi="Cambria Math" w:cs="Times New Roman"/>
                            <w:sz w:val="15"/>
                            <w:szCs w:val="15"/>
                          </w:rPr>
                        </m:ctrlP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15"/>
                            <w:szCs w:val="15"/>
                          </w:rPr>
                          <m:t>2</m:t>
                        </m:r>
                        <m:ctrlPr>
                          <w:rPr>
                            <w:rFonts w:ascii="Cambria Math" w:hAnsi="Cambria Math" w:cs="Times New Roman"/>
                            <w:sz w:val="15"/>
                            <w:szCs w:val="15"/>
                          </w:rPr>
                        </m:ctrlPr>
                      </m:sup>
                    </m:sSup>
                    <m:ctrlPr>
                      <w:rPr>
                        <w:rFonts w:ascii="Cambria Math" w:hAnsi="Cambria Math" w:cs="Times New Roman"/>
                        <w:sz w:val="15"/>
                        <w:szCs w:val="15"/>
                      </w:rPr>
                    </m:ctrlPr>
                  </m:den>
                </m:f>
              </m:oMath>
            </m:oMathPara>
          </w:p>
        </w:tc>
        <w:tc>
          <w:tcPr>
            <w:tcW w:w="3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5"/>
              <w:spacing w:before="0" w:after="0" w:line="240" w:lineRule="auto"/>
              <w:outlineLvl w:val="2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  <w:lang w:eastAsia="zh-CN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  <w:lang w:eastAsia="zh-CN"/>
              </w:rPr>
              <w:t>s: slope of saturation vapor pressure curve at air temperature T [kPa °C</w:t>
            </w:r>
            <w:r>
              <w:rPr>
                <w:rFonts w:ascii="Times New Roman" w:hAnsi="Times New Roman" w:cs="Times New Roman" w:eastAsiaTheme="minorEastAsia"/>
                <w:b w:val="0"/>
                <w:bCs w:val="0"/>
                <w:kern w:val="2"/>
                <w:sz w:val="15"/>
                <w:szCs w:val="15"/>
                <w:vertAlign w:val="superscript"/>
                <w:lang w:eastAsia="zh-CN"/>
              </w:rPr>
              <w:t>-1</w:t>
            </w:r>
            <w:r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  <w:lang w:eastAsia="zh-CN"/>
              </w:rPr>
              <w:t>],</w:t>
            </w:r>
          </w:p>
          <w:p>
            <w:pPr>
              <w:pStyle w:val="5"/>
              <w:spacing w:before="0" w:after="0" w:line="240" w:lineRule="auto"/>
              <w:outlineLvl w:val="2"/>
              <w:rPr>
                <w:rFonts w:ascii="Cambria Math" w:hAnsi="Cambria Math" w:cs="Times New Roman"/>
                <w:sz w:val="15"/>
                <w:szCs w:val="15"/>
                <w:lang w:eastAsia="zh-CN"/>
                <w:oMath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  <w:lang w:eastAsia="zh-CN"/>
              </w:rPr>
              <w:t>T: air temperature [°C].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</w:rPr>
              <w:t>ρ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(Air density)</w:t>
            </w:r>
          </w:p>
        </w:tc>
        <w:tc>
          <w:tcPr>
            <w:tcW w:w="25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Cambria Math" w:hAnsi="Cambria Math" w:eastAsia="宋体" w:cs="Times New Roman"/>
                <w:sz w:val="15"/>
                <w:szCs w:val="15"/>
                <w:oMath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15"/>
                    <w:szCs w:val="15"/>
                  </w:rPr>
                  <m:t>ρ</m:t>
                </m:r>
                <m:r>
                  <m:rPr>
                    <m:sty m:val="p"/>
                  </m:rPr>
                  <w:rPr>
                    <w:rFonts w:ascii="Cambria Math" w:hAnsi="Cambria Math" w:eastAsia="宋体" w:cs="Times New Roman"/>
                    <w:sz w:val="15"/>
                    <w:szCs w:val="15"/>
                  </w:rPr>
                  <m:t>=</m:t>
                </m:r>
                <m:f>
                  <m:fPr>
                    <m:ctrlPr>
                      <w:rPr>
                        <w:rFonts w:ascii="Cambria Math" w:hAnsi="Cambria Math" w:eastAsia="宋体" w:cs="Times New Roman"/>
                        <w:sz w:val="15"/>
                        <w:szCs w:val="15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 w:eastAsia="宋体" w:cs="Times New Roman"/>
                        <w:sz w:val="15"/>
                        <w:szCs w:val="15"/>
                      </w:rPr>
                      <m:t>1.293P</m:t>
                    </m:r>
                    <m:ctrlPr>
                      <w:rPr>
                        <w:rFonts w:ascii="Cambria Math" w:hAnsi="Cambria Math" w:eastAsia="宋体" w:cs="Times New Roman"/>
                        <w:sz w:val="15"/>
                        <w:szCs w:val="15"/>
                      </w:rPr>
                    </m:ctrlP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eastAsia="宋体" w:cs="Times New Roman"/>
                        <w:sz w:val="15"/>
                        <w:szCs w:val="15"/>
                      </w:rPr>
                      <m:t>101</m:t>
                    </m:r>
                    <m:ctrlPr>
                      <w:rPr>
                        <w:rFonts w:ascii="Cambria Math" w:hAnsi="Cambria Math" w:eastAsia="宋体" w:cs="Times New Roman"/>
                        <w:sz w:val="15"/>
                        <w:szCs w:val="15"/>
                      </w:rPr>
                    </m:ctrlPr>
                  </m:den>
                </m:f>
                <m:r>
                  <m:rPr>
                    <m:sty m:val="p"/>
                  </m:rPr>
                  <w:rPr>
                    <w:rFonts w:ascii="Cambria Math" w:hAnsi="Cambria Math" w:cs="Times New Roman"/>
                    <w:sz w:val="15"/>
                    <w:szCs w:val="15"/>
                  </w:rPr>
                  <m:t>×</m:t>
                </m:r>
                <m:f>
                  <m:fPr>
                    <m:ctrlPr>
                      <w:rPr>
                        <w:rFonts w:ascii="Cambria Math" w:hAnsi="Cambria Math" w:cs="Times New Roman"/>
                        <w:sz w:val="15"/>
                        <w:szCs w:val="15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 w:eastAsia="宋体" w:cs="Times New Roman"/>
                        <w:sz w:val="15"/>
                        <w:szCs w:val="15"/>
                      </w:rPr>
                      <m:t>273.15</m:t>
                    </m:r>
                    <m:ctrlPr>
                      <w:rPr>
                        <w:rFonts w:ascii="Cambria Math" w:hAnsi="Cambria Math" w:cs="Times New Roman"/>
                        <w:sz w:val="15"/>
                        <w:szCs w:val="15"/>
                      </w:rPr>
                    </m:ctrlP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eastAsia="宋体" w:cs="Times New Roman"/>
                        <w:sz w:val="15"/>
                        <w:szCs w:val="15"/>
                      </w:rPr>
                      <m:t>273.15+T</m:t>
                    </m:r>
                    <m:ctrlPr>
                      <w:rPr>
                        <w:rFonts w:ascii="Cambria Math" w:hAnsi="Cambria Math" w:cs="Times New Roman"/>
                        <w:sz w:val="15"/>
                        <w:szCs w:val="15"/>
                      </w:rPr>
                    </m:ctrlPr>
                  </m:den>
                </m:f>
              </m:oMath>
            </m:oMathPara>
          </w:p>
        </w:tc>
        <w:tc>
          <w:tcPr>
            <w:tcW w:w="3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eastAsia="Calibri" w:cs="Times New Roman"/>
                <w:sz w:val="15"/>
                <w:szCs w:val="15"/>
              </w:rPr>
              <w:t>P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: </w:t>
            </w:r>
            <w:r>
              <w:rPr>
                <w:rFonts w:ascii="Times New Roman" w:hAnsi="Times New Roman" w:eastAsia="Calibri" w:cs="Times New Roman"/>
                <w:sz w:val="15"/>
                <w:szCs w:val="15"/>
              </w:rPr>
              <w:t>atmospheric pressure [kPa];</w:t>
            </w:r>
          </w:p>
          <w:p>
            <w:pPr>
              <w:pStyle w:val="5"/>
              <w:spacing w:before="0" w:after="0" w:line="240" w:lineRule="auto"/>
              <w:outlineLvl w:val="2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  <w:lang w:eastAsia="zh-CN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  <w:lang w:eastAsia="zh-CN"/>
              </w:rPr>
              <w:t>T: air temperature [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15"/>
                <w:szCs w:val="15"/>
                <w:lang w:eastAsia="zh-CN"/>
              </w:rPr>
              <w:t>℃</w:t>
            </w:r>
            <w:r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  <w:lang w:eastAsia="zh-CN"/>
              </w:rPr>
              <w:t>].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u</w:t>
            </w:r>
            <w:r>
              <w:rPr>
                <w:rFonts w:ascii="Times New Roman" w:hAnsi="Times New Roman" w:cs="Times New Roman"/>
                <w:sz w:val="15"/>
                <w:szCs w:val="15"/>
                <w:vertAlign w:val="subscript"/>
              </w:rPr>
              <w:t>m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(Instantaneous near-surface (2 m) wind speed)</w:t>
            </w:r>
          </w:p>
        </w:tc>
        <w:tc>
          <w:tcPr>
            <w:tcW w:w="25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Cambria Math" w:hAnsi="Cambria Math" w:eastAsia="宋体" w:cs="Times New Roman"/>
                <w:sz w:val="15"/>
                <w:szCs w:val="15"/>
                <w:oMath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15"/>
                        <w:szCs w:val="15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eastAsia="宋体" w:cs="Times New Roman"/>
                        <w:sz w:val="15"/>
                        <w:szCs w:val="15"/>
                      </w:rPr>
                      <m:t>u</m:t>
                    </m:r>
                    <m:ctrlPr>
                      <w:rPr>
                        <w:rFonts w:ascii="Cambria Math" w:hAnsi="Cambria Math" w:cs="Times New Roman"/>
                        <w:i/>
                        <w:sz w:val="15"/>
                        <w:szCs w:val="15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eastAsia="宋体" w:cs="Times New Roman"/>
                        <w:sz w:val="15"/>
                        <w:szCs w:val="15"/>
                      </w:rPr>
                      <m:t>m</m:t>
                    </m:r>
                    <m:ctrlPr>
                      <w:rPr>
                        <w:rFonts w:ascii="Cambria Math" w:hAnsi="Cambria Math" w:cs="Times New Roman"/>
                        <w:i/>
                        <w:sz w:val="15"/>
                        <w:szCs w:val="15"/>
                      </w:rPr>
                    </m:ctrlPr>
                  </m:sub>
                </m:sSub>
                <m:r>
                  <m:rPr/>
                  <w:rPr>
                    <w:rFonts w:ascii="Cambria Math" w:hAnsi="Cambria Math" w:eastAsia="宋体" w:cs="Times New Roman"/>
                    <w:sz w:val="15"/>
                    <w:szCs w:val="15"/>
                  </w:rPr>
                  <m:t>=</m:t>
                </m:r>
                <m:sSub>
                  <m:sSubPr>
                    <m:ctrlPr>
                      <w:rPr>
                        <w:rFonts w:ascii="Cambria Math" w:hAnsi="Cambria Math" w:eastAsia="宋体" w:cs="Times New Roman"/>
                        <w:i/>
                        <w:sz w:val="15"/>
                        <w:szCs w:val="15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eastAsia="宋体" w:cs="Times New Roman"/>
                        <w:sz w:val="15"/>
                        <w:szCs w:val="15"/>
                      </w:rPr>
                      <m:t>u</m:t>
                    </m:r>
                    <m:ctrlPr>
                      <w:rPr>
                        <w:rFonts w:ascii="Cambria Math" w:hAnsi="Cambria Math" w:eastAsia="宋体" w:cs="Times New Roman"/>
                        <w:i/>
                        <w:sz w:val="15"/>
                        <w:szCs w:val="15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eastAsia="宋体" w:cs="Times New Roman"/>
                        <w:sz w:val="15"/>
                        <w:szCs w:val="15"/>
                      </w:rPr>
                      <m:t>10</m:t>
                    </m:r>
                    <m:ctrlPr>
                      <w:rPr>
                        <w:rFonts w:ascii="Cambria Math" w:hAnsi="Cambria Math" w:eastAsia="宋体" w:cs="Times New Roman"/>
                        <w:i/>
                        <w:sz w:val="15"/>
                        <w:szCs w:val="15"/>
                      </w:rPr>
                    </m:ctrlPr>
                  </m:sub>
                </m:sSub>
                <m:f>
                  <m:fPr>
                    <m:ctrlPr>
                      <w:rPr>
                        <w:rFonts w:ascii="Cambria Math" w:hAnsi="Cambria Math" w:eastAsia="宋体" w:cs="Times New Roman"/>
                        <w:i/>
                        <w:sz w:val="15"/>
                        <w:szCs w:val="15"/>
                      </w:rPr>
                    </m:ctrlPr>
                  </m:fPr>
                  <m:num>
                    <m:r>
                      <m:rPr/>
                      <w:rPr>
                        <w:rFonts w:ascii="Cambria Math" w:hAnsi="Cambria Math" w:eastAsia="宋体" w:cs="Times New Roman"/>
                        <w:sz w:val="15"/>
                        <w:szCs w:val="15"/>
                      </w:rPr>
                      <m:t>4.87</m:t>
                    </m:r>
                    <m:ctrlPr>
                      <w:rPr>
                        <w:rFonts w:ascii="Cambria Math" w:hAnsi="Cambria Math" w:eastAsia="宋体" w:cs="Times New Roman"/>
                        <w:i/>
                        <w:sz w:val="15"/>
                        <w:szCs w:val="15"/>
                      </w:rPr>
                    </m:ctrlPr>
                  </m:num>
                  <m:den>
                    <m:r>
                      <m:rPr/>
                      <w:rPr>
                        <w:rFonts w:ascii="Cambria Math" w:hAnsi="Cambria Math" w:eastAsia="宋体" w:cs="Times New Roman"/>
                        <w:sz w:val="15"/>
                        <w:szCs w:val="15"/>
                      </w:rPr>
                      <m:t>ln(67.8z−5.42)</m:t>
                    </m:r>
                    <m:ctrlPr>
                      <w:rPr>
                        <w:rFonts w:ascii="Cambria Math" w:hAnsi="Cambria Math" w:eastAsia="宋体" w:cs="Times New Roman"/>
                        <w:i/>
                        <w:sz w:val="15"/>
                        <w:szCs w:val="15"/>
                      </w:rPr>
                    </m:ctrlPr>
                  </m:den>
                </m:f>
              </m:oMath>
            </m:oMathPara>
          </w:p>
        </w:tc>
        <w:tc>
          <w:tcPr>
            <w:tcW w:w="3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5"/>
              <w:spacing w:before="0" w:after="0" w:line="240" w:lineRule="auto"/>
              <w:outlineLvl w:val="2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  <w:lang w:eastAsia="zh-CN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  <w:lang w:eastAsia="zh-CN"/>
              </w:rPr>
              <w:t>u</w:t>
            </w:r>
            <w:r>
              <w:rPr>
                <w:rFonts w:ascii="Times New Roman" w:hAnsi="Times New Roman" w:cs="Times New Roman" w:eastAsiaTheme="minorEastAsia"/>
                <w:b w:val="0"/>
                <w:bCs w:val="0"/>
                <w:kern w:val="2"/>
                <w:sz w:val="15"/>
                <w:szCs w:val="15"/>
                <w:vertAlign w:val="subscript"/>
                <w:lang w:eastAsia="zh-CN"/>
              </w:rPr>
              <w:t>m</w:t>
            </w:r>
            <w:r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  <w:lang w:eastAsia="zh-CN"/>
              </w:rPr>
              <w:t>: Wind speed at 2 m near the surface [m/s];</w:t>
            </w:r>
          </w:p>
          <w:p>
            <w:pPr>
              <w:pStyle w:val="5"/>
              <w:spacing w:before="0" w:after="0" w:line="240" w:lineRule="auto"/>
              <w:outlineLvl w:val="2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  <w:lang w:eastAsia="zh-CN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  <w:lang w:eastAsia="zh-CN"/>
              </w:rPr>
              <w:t>u</w:t>
            </w:r>
            <w:r>
              <w:rPr>
                <w:rFonts w:ascii="Times New Roman" w:hAnsi="Times New Roman" w:cs="Times New Roman" w:eastAsiaTheme="minorEastAsia"/>
                <w:b w:val="0"/>
                <w:bCs w:val="0"/>
                <w:kern w:val="2"/>
                <w:sz w:val="15"/>
                <w:szCs w:val="15"/>
                <w:vertAlign w:val="subscript"/>
                <w:lang w:eastAsia="zh-CN"/>
              </w:rPr>
              <w:t>10</w:t>
            </w:r>
            <w:r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  <w:lang w:eastAsia="zh-CN"/>
              </w:rPr>
              <w:t>: Wind speed at 10 m near the surface [m/s];</w:t>
            </w:r>
          </w:p>
          <w:p>
            <w:pPr>
              <w:pStyle w:val="5"/>
              <w:spacing w:before="0" w:after="0" w:line="240" w:lineRule="auto"/>
              <w:outlineLvl w:val="2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  <w:lang w:eastAsia="zh-CN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  <w:lang w:eastAsia="zh-CN"/>
              </w:rPr>
              <w:t>z: elevation above sea level [m].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5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K</w:t>
            </w:r>
            <w:r>
              <w:rPr>
                <w:rFonts w:ascii="Times New Roman" w:hAnsi="Times New Roman" w:cs="Times New Roman"/>
                <w:sz w:val="15"/>
                <w:szCs w:val="15"/>
                <w:vertAlign w:val="subscript"/>
              </w:rPr>
              <w:t>Q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(Extinction coefficient of PAR)</w:t>
            </w:r>
          </w:p>
          <w:p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D50(VPD of stomatal conductance up to gsx/2)</w:t>
            </w:r>
          </w:p>
          <w:p>
            <w:pPr>
              <w:jc w:val="left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Q50(The absorbed PAR)</w:t>
            </w:r>
          </w:p>
        </w:tc>
        <w:tc>
          <w:tcPr>
            <w:tcW w:w="2583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KQ=0.6</w:t>
            </w:r>
          </w:p>
          <w:p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D50=0.5 kPa</w:t>
            </w:r>
          </w:p>
          <w:p>
            <w:pPr>
              <w:jc w:val="center"/>
              <w:rPr>
                <w:sz w:val="15"/>
                <w:szCs w:val="15"/>
                <w:oMath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Q50=30 W·m</w:t>
            </w:r>
            <w:r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-2</w:t>
            </w:r>
          </w:p>
        </w:tc>
        <w:tc>
          <w:tcPr>
            <w:tcW w:w="3709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pStyle w:val="5"/>
              <w:spacing w:before="0" w:after="0" w:line="240" w:lineRule="auto"/>
              <w:outlineLvl w:val="2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  <w:lang w:eastAsia="zh-CN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  <w:lang w:eastAsia="zh-CN"/>
              </w:rPr>
              <w:t>Participate in operations as insensitive parameters</w:t>
            </w:r>
          </w:p>
        </w:tc>
      </w:tr>
    </w:tbl>
    <w:p>
      <w:pPr>
        <w:rPr>
          <w:rFonts w:ascii="Times New Roman" w:hAnsi="Times New Roman"/>
        </w:rPr>
      </w:pPr>
    </w:p>
    <w:p>
      <w:pPr>
        <w:adjustRightInd w:val="0"/>
        <w:snapToGrid w:val="0"/>
        <w:spacing w:line="360" w:lineRule="auto"/>
        <w:jc w:val="center"/>
        <w:rPr>
          <w:rFonts w:ascii="Times New Roman" w:hAnsi="Times New Roman"/>
        </w:rPr>
      </w:pPr>
      <w:r>
        <w:rPr>
          <w:rFonts w:hint="eastAsia" w:ascii="Times New Roman" w:hAnsi="Times New Roman"/>
        </w:rPr>
        <w:drawing>
          <wp:inline distT="0" distB="0" distL="114300" distR="114300">
            <wp:extent cx="4676775" cy="4632960"/>
            <wp:effectExtent l="0" t="0" r="9525" b="15240"/>
            <wp:docPr id="9" name="图片 9" descr="gsx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gsx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676775" cy="4632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Figure S1. </w:t>
      </w:r>
      <w:r>
        <w:rPr>
          <w:rFonts w:hint="eastAsia" w:ascii="Times New Roman" w:hAnsi="Times New Roman" w:cs="Times New Roman"/>
          <w:sz w:val="18"/>
          <w:szCs w:val="18"/>
        </w:rPr>
        <w:t>Maximum stomatal conductance</w:t>
      </w:r>
      <w:r>
        <w:rPr>
          <w:rFonts w:ascii="Times New Roman" w:hAnsi="Times New Roman" w:cs="Times New Roman"/>
          <w:sz w:val="18"/>
          <w:szCs w:val="18"/>
        </w:rPr>
        <w:t xml:space="preserve"> of different land use types (1 is cultivated land; 2 is </w:t>
      </w:r>
      <w:r>
        <w:rPr>
          <w:rFonts w:ascii="Times New Roman" w:hAnsi="Times New Roman" w:eastAsia="宋体" w:cs="Times New Roman"/>
          <w:sz w:val="18"/>
          <w:szCs w:val="18"/>
        </w:rPr>
        <w:t>forestland</w:t>
      </w:r>
      <w:r>
        <w:rPr>
          <w:rFonts w:ascii="Times New Roman" w:hAnsi="Times New Roman" w:cs="Times New Roman"/>
          <w:sz w:val="18"/>
          <w:szCs w:val="18"/>
        </w:rPr>
        <w:t xml:space="preserve">; 3 is </w:t>
      </w:r>
      <w:r>
        <w:rPr>
          <w:rFonts w:ascii="Times New Roman" w:hAnsi="Times New Roman" w:eastAsia="宋体" w:cs="Times New Roman"/>
          <w:sz w:val="18"/>
          <w:szCs w:val="18"/>
        </w:rPr>
        <w:t>shrubland</w:t>
      </w:r>
      <w:r>
        <w:rPr>
          <w:rFonts w:ascii="Times New Roman" w:hAnsi="Times New Roman" w:cs="Times New Roman"/>
          <w:sz w:val="18"/>
          <w:szCs w:val="18"/>
        </w:rPr>
        <w:t xml:space="preserve">; 4 is grassland; 5 is water; 6 is </w:t>
      </w:r>
      <w:r>
        <w:rPr>
          <w:rFonts w:ascii="Times New Roman" w:hAnsi="Times New Roman" w:eastAsia="宋体" w:cs="Times New Roman"/>
          <w:sz w:val="18"/>
          <w:szCs w:val="18"/>
        </w:rPr>
        <w:t>built</w:t>
      </w:r>
      <w:r>
        <w:rPr>
          <w:rFonts w:ascii="Times New Roman" w:hAnsi="Times New Roman" w:cs="Times New Roman"/>
          <w:sz w:val="18"/>
          <w:szCs w:val="18"/>
        </w:rPr>
        <w:t>-up land; 7 is unused land)</w:t>
      </w:r>
    </w:p>
    <w:p>
      <w:pPr>
        <w:jc w:val="center"/>
        <w:rPr>
          <w:rFonts w:ascii="Times New Roman" w:hAnsi="Times New Roman" w:cs="Times New Roman"/>
          <w:b/>
          <w:bCs/>
          <w:szCs w:val="21"/>
        </w:rPr>
      </w:pPr>
      <w:r>
        <w:rPr>
          <w:rFonts w:hint="eastAsia" w:ascii="Times New Roman" w:hAnsi="Times New Roman" w:cs="Times New Roman"/>
          <w:b/>
          <w:bCs/>
          <w:szCs w:val="21"/>
        </w:rPr>
        <w:drawing>
          <wp:inline distT="0" distB="0" distL="114300" distR="114300">
            <wp:extent cx="4243705" cy="2720340"/>
            <wp:effectExtent l="0" t="0" r="4445" b="3810"/>
            <wp:docPr id="12" name="图片 12" descr="S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S2"/>
                    <pic:cNvPicPr>
                      <a:picLocks noChangeAspect="1"/>
                    </pic:cNvPicPr>
                  </pic:nvPicPr>
                  <pic:blipFill>
                    <a:blip r:embed="rId5"/>
                    <a:srcRect l="7513"/>
                    <a:stretch>
                      <a:fillRect/>
                    </a:stretch>
                  </pic:blipFill>
                  <pic:spPr>
                    <a:xfrm>
                      <a:off x="0" y="0"/>
                      <a:ext cx="4243705" cy="2720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rFonts w:ascii="Times New Roman" w:hAnsi="Times New Roman" w:cs="Times New Roman"/>
          <w:color w:val="0000FF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Figure S2. Standard deviation of ES increase. </w:t>
      </w:r>
      <w:r>
        <w:rPr>
          <w:rFonts w:hint="eastAsia" w:ascii="Times New Roman" w:hAnsi="Times New Roman" w:cs="Times New Roman"/>
          <w:sz w:val="18"/>
          <w:szCs w:val="18"/>
        </w:rPr>
        <w:t xml:space="preserve">The standard deviation of </w:t>
      </w:r>
      <w:r>
        <w:rPr>
          <w:rFonts w:ascii="Times New Roman" w:hAnsi="Times New Roman" w:eastAsia="宋体" w:cs="Times New Roman"/>
          <w:sz w:val="18"/>
          <w:szCs w:val="18"/>
        </w:rPr>
        <w:t xml:space="preserve">the </w:t>
      </w:r>
      <w:r>
        <w:rPr>
          <w:rFonts w:hint="eastAsia" w:ascii="Times New Roman" w:hAnsi="Times New Roman" w:cs="Times New Roman"/>
          <w:sz w:val="18"/>
          <w:szCs w:val="18"/>
        </w:rPr>
        <w:t xml:space="preserve">ES per capita </w:t>
      </w:r>
      <w:r>
        <w:rPr>
          <w:rFonts w:ascii="Times New Roman" w:hAnsi="Times New Roman" w:cs="Times New Roman"/>
          <w:sz w:val="18"/>
          <w:szCs w:val="18"/>
        </w:rPr>
        <w:t>increas</w:t>
      </w:r>
      <w:r>
        <w:rPr>
          <w:rFonts w:hint="eastAsia" w:ascii="Times New Roman" w:hAnsi="Times New Roman" w:cs="Times New Roman"/>
          <w:sz w:val="18"/>
          <w:szCs w:val="18"/>
        </w:rPr>
        <w:t>e among the KRAs caused by the allocation of</w:t>
      </w:r>
      <w:r>
        <w:rPr>
          <w:rFonts w:ascii="Times New Roman" w:hAnsi="Times New Roman" w:eastAsia="宋体" w:cs="Times New Roman"/>
          <w:sz w:val="18"/>
          <w:szCs w:val="18"/>
        </w:rPr>
        <w:t xml:space="preserve"> the</w:t>
      </w:r>
      <w:r>
        <w:rPr>
          <w:rFonts w:hint="eastAsia" w:ascii="Times New Roman" w:hAnsi="Times New Roman" w:cs="Times New Roman"/>
          <w:sz w:val="18"/>
          <w:szCs w:val="18"/>
        </w:rPr>
        <w:t xml:space="preserve"> restoration area at </w:t>
      </w:r>
      <w:r>
        <w:rPr>
          <w:rFonts w:ascii="Times New Roman" w:hAnsi="Times New Roman" w:eastAsia="宋体" w:cs="Times New Roman"/>
          <w:sz w:val="18"/>
          <w:szCs w:val="18"/>
        </w:rPr>
        <w:t xml:space="preserve">the </w:t>
      </w:r>
      <w:r>
        <w:rPr>
          <w:rFonts w:hint="eastAsia" w:ascii="Times New Roman" w:hAnsi="Times New Roman" w:cs="Times New Roman"/>
          <w:sz w:val="18"/>
          <w:szCs w:val="18"/>
        </w:rPr>
        <w:t xml:space="preserve">provincial scale and </w:t>
      </w:r>
      <w:r>
        <w:rPr>
          <w:rFonts w:ascii="Times New Roman" w:hAnsi="Times New Roman" w:cs="Times New Roman"/>
          <w:sz w:val="18"/>
          <w:szCs w:val="18"/>
        </w:rPr>
        <w:t>city</w:t>
      </w:r>
      <w:r>
        <w:rPr>
          <w:rFonts w:hint="eastAsia" w:ascii="Times New Roman" w:hAnsi="Times New Roman" w:cs="Times New Roman"/>
          <w:sz w:val="18"/>
          <w:szCs w:val="18"/>
        </w:rPr>
        <w:t xml:space="preserve"> scale </w:t>
      </w:r>
      <w:r>
        <w:rPr>
          <w:rFonts w:ascii="Times New Roman" w:hAnsi="Times New Roman" w:eastAsia="宋体" w:cs="Times New Roman"/>
          <w:sz w:val="18"/>
          <w:szCs w:val="18"/>
        </w:rPr>
        <w:t>was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hint="eastAsia" w:ascii="Times New Roman" w:hAnsi="Times New Roman" w:cs="Times New Roman"/>
          <w:sz w:val="18"/>
          <w:szCs w:val="18"/>
        </w:rPr>
        <w:t xml:space="preserve">0.55 and 0.49 for WY, 5.41 and 3.46 for SC, 0.25 and 0.18 for SF, and 23.91 and 19.72 for CS, respectively </w:t>
      </w:r>
      <w:bookmarkStart w:id="1" w:name="OLE_LINK60"/>
      <w:r>
        <w:rPr>
          <w:rFonts w:hint="eastAsia" w:ascii="Times New Roman" w:hAnsi="Times New Roman" w:cs="Times New Roman"/>
          <w:sz w:val="18"/>
          <w:szCs w:val="18"/>
        </w:rPr>
        <w:t xml:space="preserve">(WY. </w:t>
      </w:r>
      <w:r>
        <w:rPr>
          <w:rFonts w:ascii="Times New Roman" w:hAnsi="Times New Roman" w:cs="Times New Roman"/>
          <w:sz w:val="18"/>
          <w:szCs w:val="18"/>
        </w:rPr>
        <w:t xml:space="preserve">Water yield; </w:t>
      </w:r>
      <w:r>
        <w:rPr>
          <w:rFonts w:hint="eastAsia" w:ascii="Times New Roman" w:hAnsi="Times New Roman" w:cs="Times New Roman"/>
          <w:sz w:val="18"/>
          <w:szCs w:val="18"/>
        </w:rPr>
        <w:t>SC.</w:t>
      </w:r>
      <w:r>
        <w:rPr>
          <w:rFonts w:ascii="Times New Roman" w:hAnsi="Times New Roman" w:cs="Times New Roman"/>
          <w:sz w:val="18"/>
          <w:szCs w:val="18"/>
        </w:rPr>
        <w:t xml:space="preserve"> Soil conservation; </w:t>
      </w:r>
      <w:r>
        <w:rPr>
          <w:rFonts w:hint="eastAsia" w:ascii="Times New Roman" w:hAnsi="Times New Roman" w:cs="Times New Roman"/>
          <w:sz w:val="18"/>
          <w:szCs w:val="18"/>
        </w:rPr>
        <w:t xml:space="preserve">SF. </w:t>
      </w:r>
      <w:r>
        <w:rPr>
          <w:rFonts w:ascii="Times New Roman" w:hAnsi="Times New Roman" w:cs="Times New Roman"/>
          <w:sz w:val="18"/>
          <w:szCs w:val="18"/>
        </w:rPr>
        <w:t xml:space="preserve">Sand fixation; </w:t>
      </w:r>
      <w:r>
        <w:rPr>
          <w:rFonts w:hint="eastAsia" w:ascii="Times New Roman" w:hAnsi="Times New Roman" w:cs="Times New Roman"/>
          <w:sz w:val="18"/>
          <w:szCs w:val="18"/>
        </w:rPr>
        <w:t xml:space="preserve">CS. </w:t>
      </w:r>
      <w:r>
        <w:rPr>
          <w:rFonts w:ascii="Times New Roman" w:hAnsi="Times New Roman" w:cs="Times New Roman"/>
          <w:sz w:val="18"/>
          <w:szCs w:val="18"/>
        </w:rPr>
        <w:t>Carbon sequestration</w:t>
      </w:r>
      <w:r>
        <w:rPr>
          <w:rFonts w:hint="eastAsia" w:ascii="Times New Roman" w:hAnsi="Times New Roman" w:cs="Times New Roman"/>
          <w:sz w:val="18"/>
          <w:szCs w:val="18"/>
        </w:rPr>
        <w:t>)</w:t>
      </w:r>
      <w:bookmarkEnd w:id="1"/>
      <w:r>
        <w:rPr>
          <w:rFonts w:hint="eastAsia" w:ascii="Times New Roman" w:hAnsi="Times New Roman" w:cs="Times New Roman"/>
          <w:color w:val="0000FF"/>
          <w:sz w:val="18"/>
          <w:szCs w:val="18"/>
        </w:rPr>
        <w:t>.</w:t>
      </w:r>
    </w:p>
    <w:p>
      <w:pPr>
        <w:jc w:val="center"/>
        <w:rPr>
          <w:rFonts w:ascii="Times New Roman" w:hAnsi="Times New Roman" w:cs="Times New Roman"/>
          <w:b/>
          <w:bCs/>
          <w:szCs w:val="21"/>
        </w:rPr>
      </w:pPr>
      <w:r>
        <w:rPr>
          <w:rFonts w:hint="eastAsia" w:ascii="Times New Roman" w:hAnsi="Times New Roman" w:cs="Times New Roman"/>
          <w:b/>
          <w:bCs/>
          <w:szCs w:val="21"/>
        </w:rPr>
        <w:drawing>
          <wp:inline distT="0" distB="0" distL="114300" distR="114300">
            <wp:extent cx="4870450" cy="2261235"/>
            <wp:effectExtent l="0" t="0" r="6350" b="5715"/>
            <wp:docPr id="13" name="图片 13" descr="S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S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870450" cy="2261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Figure S</w:t>
      </w:r>
      <w:r>
        <w:rPr>
          <w:rFonts w:hint="eastAsia" w:ascii="Times New Roman" w:hAnsi="Times New Roman" w:cs="Times New Roman"/>
          <w:sz w:val="18"/>
          <w:szCs w:val="18"/>
        </w:rPr>
        <w:t>3</w:t>
      </w:r>
      <w:r>
        <w:rPr>
          <w:rFonts w:ascii="Times New Roman" w:hAnsi="Times New Roman" w:cs="Times New Roman"/>
          <w:sz w:val="18"/>
          <w:szCs w:val="18"/>
        </w:rPr>
        <w:t xml:space="preserve">. </w:t>
      </w:r>
      <w:r>
        <w:rPr>
          <w:rFonts w:hint="eastAsia" w:ascii="Times New Roman" w:hAnsi="Times New Roman" w:cs="Times New Roman"/>
          <w:sz w:val="18"/>
          <w:szCs w:val="18"/>
        </w:rPr>
        <w:t xml:space="preserve">The effect of allocation scale on the realization efficiency of ES (WY. </w:t>
      </w:r>
      <w:r>
        <w:rPr>
          <w:rFonts w:ascii="Times New Roman" w:hAnsi="Times New Roman" w:cs="Times New Roman"/>
          <w:sz w:val="18"/>
          <w:szCs w:val="18"/>
        </w:rPr>
        <w:t xml:space="preserve">Water yield; </w:t>
      </w:r>
      <w:r>
        <w:rPr>
          <w:rFonts w:hint="eastAsia" w:ascii="Times New Roman" w:hAnsi="Times New Roman" w:cs="Times New Roman"/>
          <w:sz w:val="18"/>
          <w:szCs w:val="18"/>
        </w:rPr>
        <w:t>SC.</w:t>
      </w:r>
      <w:r>
        <w:rPr>
          <w:rFonts w:ascii="Times New Roman" w:hAnsi="Times New Roman" w:cs="Times New Roman"/>
          <w:sz w:val="18"/>
          <w:szCs w:val="18"/>
        </w:rPr>
        <w:t xml:space="preserve"> Soil conservation; </w:t>
      </w:r>
      <w:r>
        <w:rPr>
          <w:rFonts w:hint="eastAsia" w:ascii="Times New Roman" w:hAnsi="Times New Roman" w:cs="Times New Roman"/>
          <w:sz w:val="18"/>
          <w:szCs w:val="18"/>
        </w:rPr>
        <w:t xml:space="preserve">SF. </w:t>
      </w:r>
      <w:r>
        <w:rPr>
          <w:rFonts w:ascii="Times New Roman" w:hAnsi="Times New Roman" w:cs="Times New Roman"/>
          <w:sz w:val="18"/>
          <w:szCs w:val="18"/>
        </w:rPr>
        <w:t xml:space="preserve">Sand fixation; </w:t>
      </w:r>
      <w:r>
        <w:rPr>
          <w:rFonts w:hint="eastAsia" w:ascii="Times New Roman" w:hAnsi="Times New Roman" w:cs="Times New Roman"/>
          <w:sz w:val="18"/>
          <w:szCs w:val="18"/>
        </w:rPr>
        <w:t xml:space="preserve">CS. </w:t>
      </w:r>
      <w:r>
        <w:rPr>
          <w:rFonts w:ascii="Times New Roman" w:hAnsi="Times New Roman" w:cs="Times New Roman"/>
          <w:sz w:val="18"/>
          <w:szCs w:val="18"/>
        </w:rPr>
        <w:t>Carbon sequestration</w:t>
      </w:r>
      <w:r>
        <w:rPr>
          <w:rFonts w:hint="eastAsia" w:ascii="Times New Roman" w:hAnsi="Times New Roman" w:cs="Times New Roman"/>
          <w:sz w:val="18"/>
          <w:szCs w:val="18"/>
        </w:rPr>
        <w:t xml:space="preserve">). (A) Significant differences in </w:t>
      </w:r>
      <w:r>
        <w:rPr>
          <w:rFonts w:ascii="Times New Roman" w:hAnsi="Times New Roman" w:eastAsia="宋体" w:cs="Times New Roman"/>
          <w:sz w:val="18"/>
          <w:szCs w:val="18"/>
        </w:rPr>
        <w:t xml:space="preserve">the </w:t>
      </w:r>
      <w:r>
        <w:rPr>
          <w:rFonts w:hint="eastAsia" w:ascii="Times New Roman" w:hAnsi="Times New Roman" w:cs="Times New Roman"/>
          <w:sz w:val="18"/>
          <w:szCs w:val="18"/>
        </w:rPr>
        <w:t xml:space="preserve">realization efficiency of </w:t>
      </w:r>
      <w:r>
        <w:rPr>
          <w:rFonts w:ascii="Times New Roman" w:hAnsi="Times New Roman" w:eastAsia="宋体" w:cs="Times New Roman"/>
          <w:sz w:val="18"/>
          <w:szCs w:val="18"/>
        </w:rPr>
        <w:t>ESs</w:t>
      </w:r>
      <w:r>
        <w:rPr>
          <w:rFonts w:hint="eastAsia" w:ascii="Times New Roman" w:hAnsi="Times New Roman" w:cs="Times New Roman"/>
          <w:sz w:val="18"/>
          <w:szCs w:val="18"/>
        </w:rPr>
        <w:t xml:space="preserve"> between</w:t>
      </w:r>
      <w:r>
        <w:rPr>
          <w:rFonts w:ascii="Times New Roman" w:hAnsi="Times New Roman" w:eastAsia="宋体" w:cs="Times New Roman"/>
          <w:sz w:val="18"/>
          <w:szCs w:val="18"/>
        </w:rPr>
        <w:t xml:space="preserve"> the</w:t>
      </w:r>
      <w:r>
        <w:rPr>
          <w:rFonts w:hint="eastAsia" w:ascii="Times New Roman" w:hAnsi="Times New Roman" w:cs="Times New Roman"/>
          <w:sz w:val="18"/>
          <w:szCs w:val="18"/>
        </w:rPr>
        <w:t xml:space="preserve"> provincial and city scales; </w:t>
      </w:r>
      <w:r>
        <w:rPr>
          <w:rFonts w:ascii="Times New Roman" w:hAnsi="Times New Roman" w:cs="Times New Roman"/>
          <w:sz w:val="18"/>
          <w:szCs w:val="18"/>
        </w:rPr>
        <w:t>(</w:t>
      </w:r>
      <w:r>
        <w:rPr>
          <w:rFonts w:hint="eastAsia" w:ascii="Times New Roman" w:hAnsi="Times New Roman" w:cs="Times New Roman"/>
          <w:sz w:val="18"/>
          <w:szCs w:val="18"/>
        </w:rPr>
        <w:t>B) con</w:t>
      </w:r>
      <w:r>
        <w:rPr>
          <w:rFonts w:ascii="Times New Roman" w:hAnsi="Times New Roman" w:cs="Times New Roman"/>
          <w:sz w:val="18"/>
          <w:szCs w:val="18"/>
        </w:rPr>
        <w:t>tribution based on random forest.</w:t>
      </w:r>
    </w:p>
    <w:p>
      <w:pPr>
        <w:spacing w:line="36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drawing>
          <wp:inline distT="0" distB="0" distL="114300" distR="114300">
            <wp:extent cx="4822190" cy="3204210"/>
            <wp:effectExtent l="0" t="0" r="16510" b="15240"/>
            <wp:docPr id="1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822190" cy="3204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 w:val="18"/>
          <w:szCs w:val="18"/>
        </w:rPr>
        <w:t>Figure S</w:t>
      </w:r>
      <w:r>
        <w:rPr>
          <w:rFonts w:hint="eastAsia" w:ascii="Times New Roman" w:hAnsi="Times New Roman" w:cs="Times New Roman"/>
          <w:sz w:val="18"/>
          <w:szCs w:val="18"/>
        </w:rPr>
        <w:t>4</w:t>
      </w:r>
      <w:r>
        <w:rPr>
          <w:rFonts w:ascii="Times New Roman" w:hAnsi="Times New Roman" w:cs="Times New Roman"/>
          <w:sz w:val="18"/>
          <w:szCs w:val="18"/>
        </w:rPr>
        <w:t>. Relationship between water availability and marginal benefits of ecological restoration</w:t>
      </w:r>
      <w:r>
        <w:rPr>
          <w:rFonts w:hint="eastAsia" w:ascii="Times New Roman" w:hAnsi="Times New Roman" w:cs="Times New Roman"/>
          <w:sz w:val="18"/>
          <w:szCs w:val="18"/>
        </w:rPr>
        <w:t xml:space="preserve"> (DP-BL. From</w:t>
      </w:r>
      <w:r>
        <w:rPr>
          <w:rFonts w:ascii="Times New Roman" w:hAnsi="Times New Roman" w:eastAsia="宋体" w:cs="Times New Roman"/>
          <w:sz w:val="18"/>
          <w:szCs w:val="18"/>
        </w:rPr>
        <w:t xml:space="preserve"> the</w:t>
      </w:r>
      <w:r>
        <w:rPr>
          <w:rFonts w:hint="eastAsia" w:ascii="Times New Roman" w:hAnsi="Times New Roman" w:cs="Times New Roman"/>
          <w:sz w:val="18"/>
          <w:szCs w:val="18"/>
        </w:rPr>
        <w:t xml:space="preserve"> development scenario to </w:t>
      </w:r>
      <w:r>
        <w:rPr>
          <w:rFonts w:ascii="Times New Roman" w:hAnsi="Times New Roman" w:eastAsia="宋体" w:cs="Times New Roman"/>
          <w:sz w:val="18"/>
          <w:szCs w:val="18"/>
        </w:rPr>
        <w:t xml:space="preserve">the </w:t>
      </w:r>
      <w:r>
        <w:rPr>
          <w:rFonts w:hint="eastAsia" w:ascii="Times New Roman" w:hAnsi="Times New Roman" w:cs="Times New Roman"/>
          <w:sz w:val="18"/>
          <w:szCs w:val="18"/>
        </w:rPr>
        <w:t xml:space="preserve">baseline scenario; BL-SW. From </w:t>
      </w:r>
      <w:r>
        <w:rPr>
          <w:rFonts w:ascii="Times New Roman" w:hAnsi="Times New Roman" w:eastAsia="宋体" w:cs="Times New Roman"/>
          <w:sz w:val="18"/>
          <w:szCs w:val="18"/>
        </w:rPr>
        <w:t xml:space="preserve">the </w:t>
      </w:r>
      <w:r>
        <w:rPr>
          <w:rFonts w:hint="eastAsia" w:ascii="Times New Roman" w:hAnsi="Times New Roman" w:cs="Times New Roman"/>
          <w:sz w:val="18"/>
          <w:szCs w:val="18"/>
        </w:rPr>
        <w:t xml:space="preserve">baseline scenario to </w:t>
      </w:r>
      <w:r>
        <w:rPr>
          <w:rFonts w:ascii="Times New Roman" w:hAnsi="Times New Roman" w:eastAsia="宋体" w:cs="Times New Roman"/>
          <w:sz w:val="18"/>
          <w:szCs w:val="18"/>
        </w:rPr>
        <w:t xml:space="preserve">the </w:t>
      </w:r>
      <w:r>
        <w:rPr>
          <w:rFonts w:hint="eastAsia" w:ascii="Times New Roman" w:hAnsi="Times New Roman" w:cs="Times New Roman"/>
          <w:sz w:val="18"/>
          <w:szCs w:val="18"/>
        </w:rPr>
        <w:t xml:space="preserve">water saving scenario; SW-UL. From </w:t>
      </w:r>
      <w:r>
        <w:rPr>
          <w:rFonts w:ascii="Times New Roman" w:hAnsi="Times New Roman" w:eastAsia="宋体" w:cs="Times New Roman"/>
          <w:sz w:val="18"/>
          <w:szCs w:val="18"/>
        </w:rPr>
        <w:t xml:space="preserve">the </w:t>
      </w:r>
      <w:r>
        <w:rPr>
          <w:rFonts w:hint="eastAsia" w:ascii="Times New Roman" w:hAnsi="Times New Roman" w:cs="Times New Roman"/>
          <w:sz w:val="18"/>
          <w:szCs w:val="18"/>
        </w:rPr>
        <w:t>Water Saving Scenario to</w:t>
      </w:r>
      <w:r>
        <w:rPr>
          <w:rFonts w:ascii="Times New Roman" w:hAnsi="Times New Roman" w:eastAsia="宋体" w:cs="Times New Roman"/>
          <w:sz w:val="18"/>
          <w:szCs w:val="18"/>
        </w:rPr>
        <w:t xml:space="preserve"> the</w:t>
      </w:r>
      <w:r>
        <w:rPr>
          <w:rFonts w:hint="eastAsia" w:ascii="Times New Roman" w:hAnsi="Times New Roman" w:cs="Times New Roman"/>
          <w:sz w:val="18"/>
          <w:szCs w:val="18"/>
        </w:rPr>
        <w:t xml:space="preserve"> Unlimited scenario).</w:t>
      </w:r>
      <w:r>
        <w:rPr>
          <w:rFonts w:ascii="Times New Roman" w:hAnsi="Times New Roman" w:cs="Times New Roman"/>
          <w:sz w:val="18"/>
          <w:szCs w:val="18"/>
        </w:rPr>
        <w:t xml:space="preserve"> (A) </w:t>
      </w:r>
      <w:r>
        <w:rPr>
          <w:rFonts w:hint="eastAsia" w:ascii="Times New Roman" w:hAnsi="Times New Roman" w:cs="Times New Roman"/>
          <w:sz w:val="18"/>
          <w:szCs w:val="18"/>
        </w:rPr>
        <w:t>S</w:t>
      </w:r>
      <w:r>
        <w:rPr>
          <w:rFonts w:ascii="Times New Roman" w:hAnsi="Times New Roman" w:cs="Times New Roman"/>
          <w:sz w:val="18"/>
          <w:szCs w:val="18"/>
        </w:rPr>
        <w:t>and fixation service; (B) carbon sequestration service; (C) soil conservation service; (D) water yield service; marginal benefits are the ratio of the increase in water availability to the increase in ES.</w:t>
      </w:r>
      <w:bookmarkStart w:id="2" w:name="_GoBack"/>
      <w:bookmarkEnd w:id="2"/>
    </w:p>
    <w:sectPr>
      <w:pgSz w:w="11906" w:h="16838"/>
      <w:pgMar w:top="1440" w:right="1800" w:bottom="1440" w:left="1800" w:header="851" w:footer="992" w:gutter="0"/>
      <w:lnNumType w:countBy="1" w:restart="continuous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Consolas">
    <w:panose1 w:val="020B0609020204030204"/>
    <w:charset w:val="00"/>
    <w:family w:val="modern"/>
    <w:pitch w:val="default"/>
    <w:sig w:usb0="E00006FF" w:usb1="0000FCFF" w:usb2="00000001" w:usb3="00000000" w:csb0="6000019F" w:csb1="DFD7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7C"/>
    <w:multiLevelType w:val="singleLevel"/>
    <w:tmpl w:val="FFFFFF7C"/>
    <w:lvl w:ilvl="0" w:tentative="0">
      <w:start w:val="1"/>
      <w:numFmt w:val="decimal"/>
      <w:pStyle w:val="65"/>
      <w:lvlText w:val="%1."/>
      <w:lvlJc w:val="left"/>
      <w:pPr>
        <w:tabs>
          <w:tab w:val="left" w:pos="1800"/>
        </w:tabs>
        <w:ind w:left="1800" w:hanging="360"/>
      </w:pPr>
    </w:lvl>
  </w:abstractNum>
  <w:abstractNum w:abstractNumId="1">
    <w:nsid w:val="FFFFFF7D"/>
    <w:multiLevelType w:val="singleLevel"/>
    <w:tmpl w:val="FFFFFF7D"/>
    <w:lvl w:ilvl="0" w:tentative="0">
      <w:start w:val="1"/>
      <w:numFmt w:val="decimal"/>
      <w:pStyle w:val="47"/>
      <w:lvlText w:val="%1."/>
      <w:lvlJc w:val="left"/>
      <w:pPr>
        <w:tabs>
          <w:tab w:val="left" w:pos="1440"/>
        </w:tabs>
        <w:ind w:left="1440" w:hanging="360"/>
      </w:pPr>
    </w:lvl>
  </w:abstractNum>
  <w:abstractNum w:abstractNumId="2">
    <w:nsid w:val="FFFFFF7E"/>
    <w:multiLevelType w:val="singleLevel"/>
    <w:tmpl w:val="FFFFFF7E"/>
    <w:lvl w:ilvl="0" w:tentative="0">
      <w:start w:val="1"/>
      <w:numFmt w:val="decimal"/>
      <w:pStyle w:val="36"/>
      <w:lvlText w:val="%1."/>
      <w:lvlJc w:val="left"/>
      <w:pPr>
        <w:tabs>
          <w:tab w:val="left" w:pos="1080"/>
        </w:tabs>
        <w:ind w:left="1080" w:hanging="360"/>
      </w:pPr>
    </w:lvl>
  </w:abstractNum>
  <w:abstractNum w:abstractNumId="3">
    <w:nsid w:val="FFFFFF7F"/>
    <w:multiLevelType w:val="singleLevel"/>
    <w:tmpl w:val="FFFFFF7F"/>
    <w:lvl w:ilvl="0" w:tentative="0">
      <w:start w:val="1"/>
      <w:numFmt w:val="decimal"/>
      <w:pStyle w:val="14"/>
      <w:lvlText w:val="%1."/>
      <w:lvlJc w:val="left"/>
      <w:pPr>
        <w:tabs>
          <w:tab w:val="left" w:pos="720"/>
        </w:tabs>
        <w:ind w:left="720" w:hanging="360"/>
      </w:pPr>
    </w:lvl>
  </w:abstractNum>
  <w:abstractNum w:abstractNumId="4">
    <w:nsid w:val="FFFFFF80"/>
    <w:multiLevelType w:val="singleLevel"/>
    <w:tmpl w:val="FFFFFF80"/>
    <w:lvl w:ilvl="0" w:tentative="0">
      <w:start w:val="1"/>
      <w:numFmt w:val="bullet"/>
      <w:pStyle w:val="46"/>
      <w:lvlText w:val=""/>
      <w:lvlJc w:val="left"/>
      <w:pPr>
        <w:tabs>
          <w:tab w:val="left" w:pos="1800"/>
        </w:tabs>
        <w:ind w:left="1800" w:hanging="360"/>
      </w:pPr>
      <w:rPr>
        <w:rFonts w:hint="default" w:ascii="Symbol" w:hAnsi="Symbol"/>
      </w:rPr>
    </w:lvl>
  </w:abstractNum>
  <w:abstractNum w:abstractNumId="5">
    <w:nsid w:val="FFFFFF81"/>
    <w:multiLevelType w:val="singleLevel"/>
    <w:tmpl w:val="FFFFFF81"/>
    <w:lvl w:ilvl="0" w:tentative="0">
      <w:start w:val="1"/>
      <w:numFmt w:val="bullet"/>
      <w:pStyle w:val="17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/>
      </w:rPr>
    </w:lvl>
  </w:abstractNum>
  <w:abstractNum w:abstractNumId="6">
    <w:nsid w:val="FFFFFF82"/>
    <w:multiLevelType w:val="singleLevel"/>
    <w:tmpl w:val="FFFFFF82"/>
    <w:lvl w:ilvl="0" w:tentative="0">
      <w:start w:val="1"/>
      <w:numFmt w:val="bullet"/>
      <w:pStyle w:val="33"/>
      <w:lvlText w:val=""/>
      <w:lvlJc w:val="left"/>
      <w:pPr>
        <w:tabs>
          <w:tab w:val="left" w:pos="1080"/>
        </w:tabs>
        <w:ind w:left="1080" w:hanging="360"/>
      </w:pPr>
      <w:rPr>
        <w:rFonts w:hint="default" w:ascii="Symbol" w:hAnsi="Symbol"/>
      </w:rPr>
    </w:lvl>
  </w:abstractNum>
  <w:abstractNum w:abstractNumId="7">
    <w:nsid w:val="FFFFFF83"/>
    <w:multiLevelType w:val="singleLevel"/>
    <w:tmpl w:val="FFFFFF83"/>
    <w:lvl w:ilvl="0" w:tentative="0">
      <w:start w:val="1"/>
      <w:numFmt w:val="bullet"/>
      <w:pStyle w:val="40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</w:rPr>
    </w:lvl>
  </w:abstractNum>
  <w:abstractNum w:abstractNumId="8">
    <w:nsid w:val="FFFFFF88"/>
    <w:multiLevelType w:val="singleLevel"/>
    <w:tmpl w:val="FFFFFF88"/>
    <w:lvl w:ilvl="0" w:tentative="0">
      <w:start w:val="1"/>
      <w:numFmt w:val="decimal"/>
      <w:pStyle w:val="20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>
    <w:nsid w:val="FFFFFF89"/>
    <w:multiLevelType w:val="singleLevel"/>
    <w:tmpl w:val="FFFFFF89"/>
    <w:lvl w:ilvl="0" w:tentative="0">
      <w:start w:val="1"/>
      <w:numFmt w:val="bullet"/>
      <w:pStyle w:val="24"/>
      <w:lvlText w:val=""/>
      <w:lvlJc w:val="left"/>
      <w:pPr>
        <w:tabs>
          <w:tab w:val="left" w:pos="360"/>
        </w:tabs>
        <w:ind w:left="360" w:hanging="360"/>
      </w:pPr>
      <w:rPr>
        <w:rFonts w:hint="default" w:ascii="Symbol" w:hAnsi="Symbol"/>
      </w:rPr>
    </w:lvl>
  </w:abstractNum>
  <w:num w:numId="1">
    <w:abstractNumId w:val="3"/>
  </w:num>
  <w:num w:numId="2">
    <w:abstractNumId w:val="5"/>
  </w:num>
  <w:num w:numId="3">
    <w:abstractNumId w:val="8"/>
  </w:num>
  <w:num w:numId="4">
    <w:abstractNumId w:val="9"/>
  </w:num>
  <w:num w:numId="5">
    <w:abstractNumId w:val="6"/>
  </w:num>
  <w:num w:numId="6">
    <w:abstractNumId w:val="2"/>
  </w:num>
  <w:num w:numId="7">
    <w:abstractNumId w:val="7"/>
  </w:num>
  <w:num w:numId="8">
    <w:abstractNumId w:val="4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I5YjFkMGU5NTM0OWNjZTE2NWUyNTA4OWNmMzI3YzIifQ=="/>
    <w:docVar w:name="NE.Ref{010AF75D-2956-4179-8ABD-BC8AA3E4E7A7}" w:val=" ADDIN NE.Ref.{010AF75D-2956-4179-8ABD-BC8AA3E4E7A7}&lt;Citation&gt;&lt;Group&gt;&lt;References&gt;&lt;Item&gt;&lt;ID&gt;410&lt;/ID&gt;&lt;UID&gt;{285208B8-ECA7-48D9-A86A-E2F26F773C82}&lt;/UID&gt;&lt;Title&gt;Vegetation and species impacts on soil organic carbon sequestration following ecological restoration over the Loess Plateau, China&lt;/Title&gt;&lt;Template&gt;Journal Article&lt;/Template&gt;&lt;Star&gt;0&lt;/Star&gt;&lt;Tag&gt;0&lt;/Tag&gt;&lt;Author&gt;Wang, Huanhuan; Yue, Chao; Mao, Qinqin; Zhao, Jie; Ciais, Philippe; Li, Wei; Yu, Qiang; Mu, Xinmin&lt;/Author&gt;&lt;Year&gt;2020&lt;/Year&gt;&lt;Details&gt;&lt;_alternate_title&gt;Geoderma&lt;/_alternate_title&gt;&lt;_date_display&gt;2020&lt;/_date_display&gt;&lt;_date&gt;2020-01-01&lt;/_date&gt;&lt;_doi&gt;https://doi.org/10.1016/j.geoderma.2020.114389&lt;/_doi&gt;&lt;_isbn&gt;0016-7061&lt;/_isbn&gt;&lt;_journal&gt;Geoderma&lt;/_journal&gt;&lt;_keywords&gt;Revegetation; Degraded cropland; Soil carbon sequestration; Restoration type; Restoration age; Loess Plateau&lt;/_keywords&gt;&lt;_pages&gt;114389&lt;/_pages&gt;&lt;_url&gt;https://www.sciencedirect.com/science/article/pii/S0016706119329283&lt;/_url&gt;&lt;_volume&gt;371&lt;/_volume&gt;&lt;_created&gt;64537352&lt;/_created&gt;&lt;_modified&gt;64537352&lt;/_modified&gt;&lt;_impact_factor&gt;   4.848&lt;/_impact_factor&gt;&lt;_collection_scope&gt;SCI;SCIE;EI&lt;/_collection_scope&gt;&lt;/Details&gt;&lt;Extra&gt;&lt;DBUID&gt;{F96A950B-833F-4880-A151-76DA2D6A2879}&lt;/DBUID&gt;&lt;/Extra&gt;&lt;/Item&gt;&lt;/References&gt;&lt;/Group&gt;&lt;/Citation&gt;_x000a_"/>
    <w:docVar w:name="NE.Ref{02826C33-2A65-4FCC-BEF2-86124FC64AAB}" w:val=" ADDIN NE.Ref.{02826C33-2A65-4FCC-BEF2-86124FC64AAB}&lt;Citation&gt;&lt;Group&gt;&lt;References&gt;&lt;Item&gt;&lt;ID&gt;408&lt;/ID&gt;&lt;UID&gt;{4899B10D-7913-4B4D-AB77-28256169FCC9}&lt;/UID&gt;&lt;Title&gt;Assessment of the effects of ecological restoration projects on soil wind erosion in northern China in the past two decades&lt;/Title&gt;&lt;Template&gt;Journal Article&lt;/Template&gt;&lt;Star&gt;0&lt;/Star&gt;&lt;Tag&gt;0&lt;/Tag&gt;&lt;Author&gt;Du, Heqiang; Liu, Xiufan; Jia, Xiaopeng; Li, Sen; Fan, Yawei&lt;/Author&gt;&lt;Year&gt;2022&lt;/Year&gt;&lt;Details&gt;&lt;_alternate_title&gt;CATENA&lt;/_alternate_title&gt;&lt;_date_display&gt;2022&lt;/_date_display&gt;&lt;_date&gt;2022-01-01&lt;/_date&gt;&lt;_doi&gt;https://doi.org/10.1016/j.catena.2022.106360&lt;/_doi&gt;&lt;_isbn&gt;0341-8162&lt;/_isbn&gt;&lt;_journal&gt;CATENA&lt;/_journal&gt;&lt;_keywords&gt;Climatic fluctuations; Ecological restoration projects; Northern China; RWEQ; Wind erosion&lt;/_keywords&gt;&lt;_pages&gt;106360&lt;/_pages&gt;&lt;_url&gt;https://www.sciencedirect.com/science/article/pii/S0341816222003460&lt;/_url&gt;&lt;_volume&gt;215&lt;/_volume&gt;&lt;_created&gt;64537352&lt;/_created&gt;&lt;_modified&gt;64537352&lt;/_modified&gt;&lt;_impact_factor&gt;   4.333&lt;/_impact_factor&gt;&lt;_collection_scope&gt;SCI;SCIE&lt;/_collection_scope&gt;&lt;/Details&gt;&lt;Extra&gt;&lt;DBUID&gt;{F96A950B-833F-4880-A151-76DA2D6A2879}&lt;/DBUID&gt;&lt;/Extra&gt;&lt;/Item&gt;&lt;/References&gt;&lt;/Group&gt;&lt;/Citation&gt;_x000a_"/>
    <w:docVar w:name="NE.Ref{06B5FC99-3817-4C4D-959F-0BAB76FA3B7E}" w:val=" ADDIN NE.Ref.{06B5FC99-3817-4C4D-959F-0BAB76FA3B7E}&lt;Citation&gt;&lt;Group&gt;&lt;References&gt;&lt;Item&gt;&lt;ID&gt;400&lt;/ID&gt;&lt;UID&gt;{5DB32E49-58FD-4E7C-8E0A-432FAAADD647}&lt;/UID&gt;&lt;Title&gt;Landscape sustainability science: ecosystem services and human well-being in changing landscapes&lt;/Title&gt;&lt;Template&gt;Journal Article&lt;/Template&gt;&lt;Star&gt;0&lt;/Star&gt;&lt;Tag&gt;0&lt;/Tag&gt;&lt;Author&gt;Wu, Jianguo&lt;/Author&gt;&lt;Year&gt;2013&lt;/Year&gt;&lt;Details&gt;&lt;_alternate_title&gt;Landscape Ecology&lt;/_alternate_title&gt;&lt;_date_display&gt;2013&lt;/_date_display&gt;&lt;_date&gt;2013-01-01&lt;/_date&gt;&lt;_doi&gt;10.1007/s10980-013-9894-9&lt;/_doi&gt;&lt;_isbn&gt;1572-9761&lt;/_isbn&gt;&lt;_issue&gt;6&lt;/_issue&gt;&lt;_journal&gt;Landscape Ecology&lt;/_journal&gt;&lt;_number&gt;Wu2013&lt;/_number&gt;&lt;_pages&gt;999-1023&lt;/_pages&gt;&lt;_url&gt;https://doi.org/10.1007/s10980-013-9894-9&lt;/_url&gt;&lt;_volume&gt;28&lt;/_volume&gt;&lt;_created&gt;64537351&lt;/_created&gt;&lt;_modified&gt;64537351&lt;/_modified&gt;&lt;_impact_factor&gt;   3.385&lt;/_impact_factor&gt;&lt;_collection_scope&gt;SCIE&lt;/_collection_scope&gt;&lt;/Details&gt;&lt;Extra&gt;&lt;DBUID&gt;{F96A950B-833F-4880-A151-76DA2D6A2879}&lt;/DBUID&gt;&lt;/Extra&gt;&lt;/Item&gt;&lt;/References&gt;&lt;/Group&gt;&lt;Group&gt;&lt;References&gt;&lt;Item&gt;&lt;ID&gt;475&lt;/ID&gt;&lt;UID&gt;{EF306155-83D0-4DCE-9D30-5CD7FA68D7DC}&lt;/UID&gt;&lt;Title&gt;From landscape ecology to forest landscape restoration&lt;/Title&gt;&lt;Template&gt;Journal Article&lt;/Template&gt;&lt;Star&gt;0&lt;/Star&gt;&lt;Tag&gt;0&lt;/Tag&gt;&lt;Author&gt;Mansourian, Stephanie&lt;/Author&gt;&lt;Year&gt;2021&lt;/Year&gt;&lt;Details&gt;&lt;_alternate_title&gt;Landscape Ecology&lt;/_alternate_title&gt;&lt;_date_display&gt;2021&lt;/_date_display&gt;&lt;_date&gt;2021-01-01&lt;/_date&gt;&lt;_doi&gt;10.1007/s10980-020-01175-6&lt;/_doi&gt;&lt;_isbn&gt;1572-9761&lt;/_isbn&gt;&lt;_issue&gt;8&lt;/_issue&gt;&lt;_journal&gt;Landscape Ecology&lt;/_journal&gt;&lt;_number&gt;Mansourian2021&lt;/_number&gt;&lt;_pages&gt;2443-2452&lt;/_pages&gt;&lt;_url&gt;https://doi.org/10.1007/s10980-020-01175-6&lt;/_url&gt;&lt;_volume&gt;36&lt;/_volume&gt;&lt;_created&gt;64553000&lt;/_created&gt;&lt;_modified&gt;64553000&lt;/_modified&gt;&lt;_impact_factor&gt;   3.385&lt;/_impact_factor&gt;&lt;_collection_scope&gt;SCIE&lt;/_collection_scope&gt;&lt;/Details&gt;&lt;Extra&gt;&lt;DBUID&gt;{F96A950B-833F-4880-A151-76DA2D6A2879}&lt;/DBUID&gt;&lt;/Extra&gt;&lt;/Item&gt;&lt;/References&gt;&lt;/Group&gt;&lt;/Citation&gt;_x000a_"/>
    <w:docVar w:name="NE.Ref{0C09DB5F-A71F-489A-8A7E-29107D39CD9D}" w:val=" ADDIN NE.Ref.{0C09DB5F-A71F-489A-8A7E-29107D39CD9D}&lt;Citation&gt;&lt;Group&gt;&lt;References&gt;&lt;Item&gt;&lt;ID&gt;449&lt;/ID&gt;&lt;UID&gt;{9754CB1E-25F4-4A64-B14F-90FEF5DCDFD6}&lt;/UID&gt;&lt;Title&gt;Public attitudes toward environmental protection in the most developed countries: The Environmental Concern Kuznets Curve theory&lt;/Title&gt;&lt;Template&gt;Journal Article&lt;/Template&gt;&lt;Star&gt;0&lt;/Star&gt;&lt;Tag&gt;0&lt;/Tag&gt;&lt;Author&gt;Ficko, Andrej; Bončina, Andrej&lt;/Author&gt;&lt;Year&gt;2019&lt;/Year&gt;&lt;Details&gt;&lt;_alternate_title&gt;Journal of Environmental Management&lt;/_alternate_title&gt;&lt;_date_display&gt;2019&lt;/_date_display&gt;&lt;_date&gt;2019-01-01&lt;/_date&gt;&lt;_doi&gt;https://doi.org/10.1016/j.jenvman.2018.10.087&lt;/_doi&gt;&lt;_isbn&gt;0301-4797&lt;/_isbn&gt;&lt;_journal&gt;Journal of Environmental Management&lt;/_journal&gt;&lt;_keywords&gt;Environmental behavior; Forest values; Developed world; New ecological paradigm; Protected area; Public opinion&lt;/_keywords&gt;&lt;_pages&gt;968-981&lt;/_pages&gt;&lt;_url&gt;https://www.sciencedirect.com/science/article/pii/S0301479718312271&lt;/_url&gt;&lt;_volume&gt;231&lt;/_volume&gt;&lt;_created&gt;64537357&lt;/_created&gt;&lt;_modified&gt;64537357&lt;/_modified&gt;&lt;_impact_factor&gt;   5.647&lt;/_impact_factor&gt;&lt;_collection_scope&gt;SCI;SCIE&lt;/_collection_scope&gt;&lt;/Details&gt;&lt;Extra&gt;&lt;DBUID&gt;{F96A950B-833F-4880-A151-76DA2D6A2879}&lt;/DBUID&gt;&lt;/Extra&gt;&lt;/Item&gt;&lt;/References&gt;&lt;/Group&gt;&lt;/Citation&gt;_x000a_"/>
    <w:docVar w:name="NE.Ref{0C2FEF6F-0755-4225-8AF9-F427A02F0036}" w:val=" ADDIN NE.Ref.{0C2FEF6F-0755-4225-8AF9-F427A02F0036}&lt;Citation&gt;&lt;Group&gt;&lt;References&gt;&lt;Item&gt;&lt;ID&gt;467&lt;/ID&gt;&lt;UID&gt;{1C2B612B-D55F-4F51-B199-67983116C294}&lt;/UID&gt;&lt;Title&gt;Response of deep soil moisture to different vegetation types in the Loess Plateau of northern Shannxi, China&lt;/Title&gt;&lt;Template&gt;Journal Article&lt;/Template&gt;&lt;Star&gt;0&lt;/Star&gt;&lt;Tag&gt;0&lt;/Tag&gt;&lt;Author&gt;Gou, Qingping; Zhu, Qingke&lt;/Author&gt;&lt;Year&gt;2021&lt;/Year&gt;&lt;Details&gt;&lt;_alternate_title&gt;Scientific Reports&lt;/_alternate_title&gt;&lt;_date_display&gt;2021&lt;/_date_display&gt;&lt;_date&gt;2021-01-01&lt;/_date&gt;&lt;_doi&gt;10.1038/s41598-021-94758-5&lt;/_doi&gt;&lt;_isbn&gt;2045-2322&lt;/_isbn&gt;&lt;_issue&gt;1&lt;/_issue&gt;&lt;_journal&gt;Scientific Reports&lt;/_journal&gt;&lt;_number&gt;Gou2021&lt;/_number&gt;&lt;_pages&gt;15098&lt;/_pages&gt;&lt;_url&gt;https://doi.org/10.1038/s41598-021-94758-5&lt;/_url&gt;&lt;_volume&gt;11&lt;/_volume&gt;&lt;_created&gt;64537359&lt;/_created&gt;&lt;_modified&gt;64537359&lt;/_modified&gt;&lt;_impact_factor&gt;   3.998&lt;/_impact_factor&gt;&lt;_collection_scope&gt;SCI;SCIE&lt;/_collection_scope&gt;&lt;/Details&gt;&lt;Extra&gt;&lt;DBUID&gt;{F96A950B-833F-4880-A151-76DA2D6A2879}&lt;/DBUID&gt;&lt;/Extra&gt;&lt;/Item&gt;&lt;/References&gt;&lt;/Group&gt;&lt;/Citation&gt;_x000a_"/>
    <w:docVar w:name="NE.Ref{0C965903-0798-4E15-80C0-FC9EE05A4D77}" w:val=" ADDIN NE.Ref.{0C965903-0798-4E15-80C0-FC9EE05A4D77}&lt;Citation&gt;&lt;Group&gt;&lt;References&gt;&lt;Item&gt;&lt;ID&gt;424&lt;/ID&gt;&lt;UID&gt;{9883169F-574D-4BD4-A2FF-10291651CC91}&lt;/UID&gt;&lt;Title&gt;Water resources utilization efficiency and influence factors under environmental restrictions&lt;/Title&gt;&lt;Template&gt;Journal Article&lt;/Template&gt;&lt;Star&gt;0&lt;/Star&gt;&lt;Tag&gt;0&lt;/Tag&gt;&lt;Author&gt;Song, Malin; Wang, Rui; Zeng, Xiaoqian&lt;/Author&gt;&lt;Year&gt;2018&lt;/Year&gt;&lt;Details&gt;&lt;_alternate_title&gt;Journal of Cleaner Production&lt;/_alternate_title&gt;&lt;_date_display&gt;2018&lt;/_date_display&gt;&lt;_date&gt;2018-01-01&lt;/_date&gt;&lt;_doi&gt;https://doi.org/10.1016/j.jclepro.2018.02.259&lt;/_doi&gt;&lt;_isbn&gt;0959-6526&lt;/_isbn&gt;&lt;_journal&gt;Journal of Cleaner Production&lt;/_journal&gt;&lt;_keywords&gt;Water resource efficiency; Malmquist-luenberger productivity index; Influence factor; Tobit model&lt;/_keywords&gt;&lt;_pages&gt;611-621&lt;/_pages&gt;&lt;_url&gt;https://www.sciencedirect.com/science/article/pii/S0959652618305912&lt;/_url&gt;&lt;_volume&gt;184&lt;/_volume&gt;&lt;_created&gt;64537354&lt;/_created&gt;&lt;_modified&gt;64537354&lt;/_modified&gt;&lt;_impact_factor&gt;   7.246&lt;/_impact_factor&gt;&lt;_collection_scope&gt;SCIE;EI&lt;/_collection_scope&gt;&lt;/Details&gt;&lt;Extra&gt;&lt;DBUID&gt;{F96A950B-833F-4880-A151-76DA2D6A2879}&lt;/DBUID&gt;&lt;/Extra&gt;&lt;/Item&gt;&lt;/References&gt;&lt;/Group&gt;&lt;/Citation&gt;_x000a_"/>
    <w:docVar w:name="NE.Ref{1513446B-98C7-4AAD-A2D9-E282CDAA5298}" w:val=" ADDIN NE.Ref.{1513446B-98C7-4AAD-A2D9-E282CDAA5298}&lt;Citation&gt;&lt;Group&gt;&lt;References&gt;&lt;Item&gt;&lt;ID&gt;465&lt;/ID&gt;&lt;UID&gt;{99C21A40-5B41-4477-841C-6BABC9D24E2F}&lt;/UID&gt;&lt;Title&gt;Current situation and prospects of the studies of ecological industries and ecological products in eco-fragile areas&lt;/Title&gt;&lt;Template&gt;Journal Article&lt;/Template&gt;&lt;Star&gt;0&lt;/Star&gt;&lt;Tag&gt;0&lt;/Tag&gt;&lt;Author&gt;Li, Liang; Fan, Zuhong; Xiong, Kangning; Shen, Haiting; Guo, Qiongqiong; Dan, Wenhong; Li, Rui&lt;/Author&gt;&lt;Year&gt;2021&lt;/Year&gt;&lt;Details&gt;&lt;_alternate_title&gt;Environmental Research&lt;/_alternate_title&gt;&lt;_date_display&gt;2021&lt;/_date_display&gt;&lt;_date&gt;2021-01-01&lt;/_date&gt;&lt;_doi&gt;https://doi.org/10.1016/j.envres.2021.111613&lt;/_doi&gt;&lt;_isbn&gt;0013-9351&lt;/_isbn&gt;&lt;_journal&gt;Environmental Research&lt;/_journal&gt;&lt;_keywords&gt;Eco-fragile area; Ecotone; Ecological industry; Ecological products; Research status; Prospects&lt;/_keywords&gt;&lt;_pages&gt;111613&lt;/_pages&gt;&lt;_url&gt;https://www.sciencedirect.com/science/article/pii/S0013935121009075&lt;/_url&gt;&lt;_volume&gt;201&lt;/_volume&gt;&lt;_created&gt;64537359&lt;/_created&gt;&lt;_modified&gt;64537359&lt;/_modified&gt;&lt;_impact_factor&gt;   5.715&lt;/_impact_factor&gt;&lt;_collection_scope&gt;SCI;SCIE&lt;/_collection_scope&gt;&lt;/Details&gt;&lt;Extra&gt;&lt;DBUID&gt;{F96A950B-833F-4880-A151-76DA2D6A2879}&lt;/DBUID&gt;&lt;/Extra&gt;&lt;/Item&gt;&lt;/References&gt;&lt;/Group&gt;&lt;/Citation&gt;_x000a_"/>
    <w:docVar w:name="NE.Ref{15261CDF-AB0B-4C2E-8DBC-1D320D9D5268}" w:val=" ADDIN NE.Ref.{15261CDF-AB0B-4C2E-8DBC-1D320D9D5268}&lt;Citation&gt;&lt;Group&gt;&lt;References&gt;&lt;Item&gt;&lt;ID&gt;413&lt;/ID&gt;&lt;UID&gt;{A97288A0-689A-47F7-8F07-F1E9AF230ADC}&lt;/UID&gt;&lt;Title&gt;When and where to protect forests&lt;/Title&gt;&lt;Template&gt;Journal Article&lt;/Template&gt;&lt;Star&gt;0&lt;/Star&gt;&lt;Tag&gt;0&lt;/Tag&gt;&lt;Author&gt;Luby, Ian H; Miller, Steve J; Polasky, Stephen&lt;/Author&gt;&lt;Year&gt;2022&lt;/Year&gt;&lt;Details&gt;&lt;_alternate_title&gt;Nature&lt;/_alternate_title&gt;&lt;_date_display&gt;2022&lt;/_date_display&gt;&lt;_date&gt;2022-01-01&lt;/_date&gt;&lt;_doi&gt;10.1038/s41586-022-05096-z&lt;/_doi&gt;&lt;_isbn&gt;1476-4687&lt;/_isbn&gt;&lt;_issue&gt;7925&lt;/_issue&gt;&lt;_journal&gt;Nature&lt;/_journal&gt;&lt;_number&gt;Luby2022&lt;/_number&gt;&lt;_pages&gt;89-93&lt;/_pages&gt;&lt;_url&gt;https://doi.org/10.1038/s41586-022-05096-z&lt;/_url&gt;&lt;_volume&gt;609&lt;/_volume&gt;&lt;_created&gt;64537353&lt;/_created&gt;&lt;_modified&gt;64537353&lt;/_modified&gt;&lt;_impact_factor&gt;  42.778&lt;/_impact_factor&gt;&lt;_collection_scope&gt;SCI;SCIE&lt;/_collection_scope&gt;&lt;/Details&gt;&lt;Extra&gt;&lt;DBUID&gt;{F96A950B-833F-4880-A151-76DA2D6A2879}&lt;/DBUID&gt;&lt;/Extra&gt;&lt;/Item&gt;&lt;/References&gt;&lt;/Group&gt;&lt;Group&gt;&lt;References&gt;&lt;Item&gt;&lt;ID&gt;454&lt;/ID&gt;&lt;UID&gt;{472EF30B-9718-4A9B-8525-8BFD8927FAD0}&lt;/UID&gt;&lt;Title&gt;Global forest restoration and the importance of prioritizing local communities&lt;/Title&gt;&lt;Template&gt;Journal Article&lt;/Template&gt;&lt;Star&gt;0&lt;/Star&gt;&lt;Tag&gt;0&lt;/Tag&gt;&lt;Author&gt;Erbaugh, J T; Pradhan, N; Adams, J; Oldekop, J A; Agrawal, A; Brockington, D; Pritchard, R; Chhatre, A&lt;/Author&gt;&lt;Year&gt;2020&lt;/Year&gt;&lt;Details&gt;&lt;_alternate_title&gt;Nature Ecology &amp;amp; Evolution&lt;/_alternate_title&gt;&lt;_date_display&gt;2020&lt;/_date_display&gt;&lt;_date&gt;2020-01-01&lt;/_date&gt;&lt;_doi&gt;10.1038/s41559-020-01282-2&lt;/_doi&gt;&lt;_isbn&gt;2397-334X&lt;/_isbn&gt;&lt;_issue&gt;11&lt;/_issue&gt;&lt;_journal&gt;Nature Ecology &amp;amp; Evolution&lt;/_journal&gt;&lt;_number&gt;Erbaugh2020&lt;/_number&gt;&lt;_pages&gt;1472-1476&lt;/_pages&gt;&lt;_url&gt;https://doi.org/10.1038/s41559-020-01282-2&lt;/_url&gt;&lt;_volume&gt;4&lt;/_volume&gt;&lt;_created&gt;64537358&lt;/_created&gt;&lt;_modified&gt;64537358&lt;/_modified&gt;&lt;_impact_factor&gt;  12.541&lt;/_impact_factor&gt;&lt;_collection_scope&gt;SCIE&lt;/_collection_scope&gt;&lt;/Details&gt;&lt;Extra&gt;&lt;DBUID&gt;{F96A950B-833F-4880-A151-76DA2D6A2879}&lt;/DBUID&gt;&lt;/Extra&gt;&lt;/Item&gt;&lt;/References&gt;&lt;/Group&gt;&lt;/Citation&gt;_x000a_"/>
    <w:docVar w:name="NE.Ref{15A8AC2C-45F3-43A4-BE06-86DE1130823C}" w:val=" ADDIN NE.Ref.{15A8AC2C-45F3-43A4-BE06-86DE1130823C}&lt;Citation&gt;&lt;Group&gt;&lt;References&gt;&lt;Item&gt;&lt;ID&gt;457&lt;/ID&gt;&lt;UID&gt;{54ACEE66-0ED2-48FD-ABFE-67C3CA04FB19}&lt;/UID&gt;&lt;Title&gt;Ecological restoration intensifies evapotranspiration in the Kubuqi Desert&lt;/Title&gt;&lt;Template&gt;Journal Article&lt;/Template&gt;&lt;Star&gt;0&lt;/Star&gt;&lt;Tag&gt;0&lt;/Tag&gt;&lt;Author&gt;Chen, Peng; Wang, Shuai; Song, Shuang; Wang, Yijia; Wang, Yaping; Gao, Dexin; Li, Zidong&lt;/Author&gt;&lt;Year&gt;2022&lt;/Year&gt;&lt;Details&gt;&lt;_alternate_title&gt;Ecological Engineering&lt;/_alternate_title&gt;&lt;_date_display&gt;2022&lt;/_date_display&gt;&lt;_date&gt;2022-01-01&lt;/_date&gt;&lt;_doi&gt;https://doi.org/10.1016/j.ecoleng.2021.106504&lt;/_doi&gt;&lt;_isbn&gt;0925-8574&lt;/_isbn&gt;&lt;_journal&gt;Ecological Engineering&lt;/_journal&gt;&lt;_keywords&gt;Evapotranspiration; Kubuqi desert; Driving factors; Ecological restoration; Desertification&lt;/_keywords&gt;&lt;_pages&gt;106504&lt;/_pages&gt;&lt;_url&gt;https://www.sciencedirect.com/science/article/pii/S0925857421003591&lt;/_url&gt;&lt;_volume&gt;175&lt;/_volume&gt;&lt;_created&gt;64537358&lt;/_created&gt;&lt;_modified&gt;64537358&lt;/_modified&gt;&lt;_impact_factor&gt;   3.512&lt;/_impact_factor&gt;&lt;_collection_scope&gt;SCI;SCIE;EI&lt;/_collection_scope&gt;&lt;/Details&gt;&lt;Extra&gt;&lt;DBUID&gt;{F96A950B-833F-4880-A151-76DA2D6A2879}&lt;/DBUID&gt;&lt;/Extra&gt;&lt;/Item&gt;&lt;/References&gt;&lt;/Group&gt;&lt;Group&gt;&lt;References&gt;&lt;Item&gt;&lt;ID&gt;458&lt;/ID&gt;&lt;UID&gt;{5F11A656-BECD-4929-AFB9-A31D00D9495A}&lt;/UID&gt;&lt;Title&gt;Loess Plateau evapotranspiration intensified by land surface radiative forcing associated with ecological restoration&lt;/Title&gt;&lt;Template&gt;Journal Article&lt;/Template&gt;&lt;Star&gt;0&lt;/Star&gt;&lt;Tag&gt;0&lt;/Tag&gt;&lt;Author&gt;Jiang, Fuxiao; Xie, Xianhong; Liang, Shunlin; Wang, Yibing; Zhu, Bowen; Zhang, Xiaotong; Chen, Yuchao&lt;/Author&gt;&lt;Year&gt;2021&lt;/Year&gt;&lt;Details&gt;&lt;_alternate_title&gt;Agricultural and Forest Meteorology&lt;/_alternate_title&gt;&lt;_date_display&gt;2021&lt;/_date_display&gt;&lt;_date&gt;2021-01-01&lt;/_date&gt;&lt;_doi&gt;https://doi.org/10.1016/j.agrformet.2021.108669&lt;/_doi&gt;&lt;_isbn&gt;0168-1923&lt;/_isbn&gt;&lt;_journal&gt;Agricultural and Forest Meteorology&lt;/_journal&gt;&lt;_keywords&gt;Evapotranspiration; Land surface radiative forcing; Albedo; Solar radiation; Ecological restoration; Loess Plateau&lt;/_keywords&gt;&lt;_pages&gt;108669&lt;/_pages&gt;&lt;_url&gt;https://www.sciencedirect.com/science/article/pii/S0168192321003555&lt;/_url&gt;&lt;_volume&gt;311&lt;/_volume&gt;&lt;_created&gt;64537358&lt;/_created&gt;&lt;_modified&gt;64537358&lt;/_modified&gt;&lt;_impact_factor&gt;   4.651&lt;/_impact_factor&gt;&lt;_collection_scope&gt;SCI;SCIE&lt;/_collection_scope&gt;&lt;/Details&gt;&lt;Extra&gt;&lt;DBUID&gt;{F96A950B-833F-4880-A151-76DA2D6A2879}&lt;/DBUID&gt;&lt;/Extra&gt;&lt;/Item&gt;&lt;/References&gt;&lt;/Group&gt;&lt;/Citation&gt;_x000a_"/>
    <w:docVar w:name="NE.Ref{17204B7A-8E27-4AF7-AE39-E406AE1905A5}" w:val=" ADDIN NE.Ref.{17204B7A-8E27-4AF7-AE39-E406AE1905A5}&lt;Citation&gt;&lt;Group&gt;&lt;References&gt;&lt;Item&gt;&lt;ID&gt;446&lt;/ID&gt;&lt;UID&gt;{8EBE4CBE-8B6C-4CD8-9F9A-C4EDEFAF8813}&lt;/UID&gt;&lt;Title&gt;Contributions of ecological programs to vegetation restoration in arid and semiarid China&lt;/Title&gt;&lt;Template&gt;Journal Article&lt;/Template&gt;&lt;Star&gt;0&lt;/Star&gt;&lt;Tag&gt;0&lt;/Tag&gt;&lt;Author&gt;Cai, Diwen; Ge, Quansheng; Wang, Xunming; Liu, Baoli; Goudie, Andrew S; Hu, Shi&lt;/Author&gt;&lt;Year&gt;2020&lt;/Year&gt;&lt;Details&gt;&lt;_alternate_title&gt;Environmental Research Letters&lt;/_alternate_title&gt;&lt;_date_display&gt;2020&lt;/_date_display&gt;&lt;_date&gt;2020-01-01&lt;/_date&gt;&lt;_doi&gt;10.1088/1748-9326/abbde9&lt;/_doi&gt;&lt;_isbn&gt;1748-9326&lt;/_isbn&gt;&lt;_issue&gt;11&lt;/_issue&gt;&lt;_journal&gt;Environmental Research Letters&lt;/_journal&gt;&lt;_ori_publication&gt;IOP Publishing&lt;/_ori_publication&gt;&lt;_pages&gt;114046&lt;/_pages&gt;&lt;_url&gt;http://dx.doi.org/10.1088/1748-9326/abbde9&lt;/_url&gt;&lt;_volume&gt;15&lt;/_volume&gt;&lt;_created&gt;64537357&lt;/_created&gt;&lt;_modified&gt;64537357&lt;/_modified&gt;&lt;_impact_factor&gt;   6.096&lt;/_impact_factor&gt;&lt;_collection_scope&gt;SCIE&lt;/_collection_scope&gt;&lt;/Details&gt;&lt;Extra&gt;&lt;DBUID&gt;{F96A950B-833F-4880-A151-76DA2D6A2879}&lt;/DBUID&gt;&lt;/Extra&gt;&lt;/Item&gt;&lt;/References&gt;&lt;/Group&gt;&lt;/Citation&gt;_x000a_"/>
    <w:docVar w:name="NE.Ref{194AA9AF-C973-4C08-BF28-EC91D5253BC0}" w:val=" ADDIN NE.Ref.{194AA9AF-C973-4C08-BF28-EC91D5253BC0}&lt;Citation&gt;&lt;Group&gt;&lt;References&gt;&lt;Item&gt;&lt;ID&gt;482&lt;/ID&gt;&lt;UID&gt;{5CB0D5ED-4B9B-4AB8-B004-70729AC90C97}&lt;/UID&gt;&lt;Title&gt;Driving forces of agricultural expansion and land degradation indicated by Vegetation Continuous Fields (VCF) data in drylands from 2000 to 2015&lt;/Title&gt;&lt;Template&gt;Journal Article&lt;/Template&gt;&lt;Star&gt;0&lt;/Star&gt;&lt;Tag&gt;0&lt;/Tag&gt;&lt;Author&gt;Leng, Xuejing; Feng, Xiaoming; Fu, Bojie&lt;/Author&gt;&lt;Year&gt;2020&lt;/Year&gt;&lt;Details&gt;&lt;_alternate_title&gt;Global Ecology and Conservation&lt;/_alternate_title&gt;&lt;_date_display&gt;2020&lt;/_date_display&gt;&lt;_date&gt;2020-01-01&lt;/_date&gt;&lt;_doi&gt;https://doi.org/10.1016/j.gecco.2020.e01087&lt;/_doi&gt;&lt;_isbn&gt;2351-9894&lt;/_isbn&gt;&lt;_journal&gt;Global Ecology and Conservation&lt;/_journal&gt;&lt;_keywords&gt;Dryland; Agricultural expansion; Land degradation; VCF; Driving forces&lt;/_keywords&gt;&lt;_pages&gt;e01087&lt;/_pages&gt;&lt;_url&gt;https://www.sciencedirect.com/science/article/pii/S2351989420301517&lt;/_url&gt;&lt;_volume&gt;23&lt;/_volume&gt;&lt;_created&gt;64553000&lt;/_created&gt;&lt;_modified&gt;64553000&lt;/_modified&gt;&lt;_impact_factor&gt;   2.526&lt;/_impact_factor&gt;&lt;_collection_scope&gt;SCIE&lt;/_collection_scope&gt;&lt;/Details&gt;&lt;Extra&gt;&lt;DBUID&gt;{F96A950B-833F-4880-A151-76DA2D6A2879}&lt;/DBUID&gt;&lt;/Extra&gt;&lt;/Item&gt;&lt;/References&gt;&lt;/Group&gt;&lt;/Citation&gt;_x000a_"/>
    <w:docVar w:name="NE.Ref{1EF35539-FED8-4990-885D-65DADA774F0E}" w:val=" ADDIN NE.Ref.{1EF35539-FED8-4990-885D-65DADA774F0E}&lt;Citation&gt;&lt;Group&gt;&lt;References&gt;&lt;Item&gt;&lt;ID&gt;452&lt;/ID&gt;&lt;UID&gt;{9CB9FA1F-2064-428E-8ECB-A7C475784A50}&lt;/UID&gt;&lt;Title&gt;Evaluation and simulation of landscape evolution and its ecological effects under vegetation restoration in the northern sand prevention belt, China&lt;/Title&gt;&lt;Template&gt;Journal Article&lt;/Template&gt;&lt;Star&gt;0&lt;/Star&gt;&lt;Tag&gt;0&lt;/Tag&gt;&lt;Author&gt;Ma, Shuai; Wang, Hui-Yong; Wang, Liang-Jie; Jiang, Jiang; Gong, Jian-Wen; Wu, Shuang; Luo, Gui-Yin&lt;/Author&gt;&lt;Year&gt;2022&lt;/Year&gt;&lt;Details&gt;&lt;_alternate_title&gt;CATENA&lt;/_alternate_title&gt;&lt;_date_display&gt;2022&lt;/_date_display&gt;&lt;_date&gt;2022-01-01&lt;/_date&gt;&lt;_doi&gt;https://doi.org/10.1016/j.catena.2022.106555&lt;/_doi&gt;&lt;_isbn&gt;0341-8162&lt;/_isbn&gt;&lt;_journal&gt;CATENA&lt;/_journal&gt;&lt;_keywords&gt;Landscape evolution; Ecological benefit; Ecological restoration; Anthropogenic activity; Arid region&lt;/_keywords&gt;&lt;_pages&gt;106555&lt;/_pages&gt;&lt;_url&gt;https://www.sciencedirect.com/science/article/pii/S0341816222005410&lt;/_url&gt;&lt;_volume&gt;218&lt;/_volume&gt;&lt;_created&gt;64537358&lt;/_created&gt;&lt;_modified&gt;64537358&lt;/_modified&gt;&lt;_impact_factor&gt;   4.333&lt;/_impact_factor&gt;&lt;_collection_scope&gt;SCI;SCIE&lt;/_collection_scope&gt;&lt;/Details&gt;&lt;Extra&gt;&lt;DBUID&gt;{F96A950B-833F-4880-A151-76DA2D6A2879}&lt;/DBUID&gt;&lt;/Extra&gt;&lt;/Item&gt;&lt;/References&gt;&lt;/Group&gt;&lt;/Citation&gt;_x000a_"/>
    <w:docVar w:name="NE.Ref{23111F97-2BAC-4E20-85ED-73E806E7BA82}" w:val=" ADDIN NE.Ref.{23111F97-2BAC-4E20-85ED-73E806E7BA82}&lt;Citation&gt;&lt;Group&gt;&lt;References&gt;&lt;Item&gt;&lt;ID&gt;460&lt;/ID&gt;&lt;UID&gt;{68F487FB-0861-4008-A0A7-DF6FB87896D5}&lt;/UID&gt;&lt;Title&gt;On principles and standards in ecological restoration&lt;/Title&gt;&lt;Template&gt;Journal Article&lt;/Template&gt;&lt;Star&gt;0&lt;/Star&gt;&lt;Tag&gt;0&lt;/Tag&gt;&lt;Author&gt;Higgs, Eric; Harris, Jim; Murphy, Stephen; Bowers, Keith; Hobbs, Richard; Jenkins, Willis; Kidwell, Jeremy; Lopoukhine, Nikita; Sollereder, Bethany; Suding, Katherine; Thompson, Allen; Whisenant, Steven&lt;/Author&gt;&lt;Year&gt;2018&lt;/Year&gt;&lt;Details&gt;&lt;_alternate_title&gt;Restoration EcologyRestoration Ecology&lt;/_alternate_title&gt;&lt;_date_display&gt;2018_x000d__x000a_2018/05/01&lt;/_date_display&gt;&lt;_date&gt;2018-05-01&lt;/_date&gt;&lt;_doi&gt;https://doi.org/10.1111/rec.12691&lt;/_doi&gt;&lt;_isbn&gt;1061-2971&lt;/_isbn&gt;&lt;_issue&gt;3&lt;/_issue&gt;&lt;_journal&gt;Restoration Ecology&lt;/_journal&gt;&lt;_keywords&gt;codes of ethics; principles; professional practice; scope of restoration; standards&lt;/_keywords&gt;&lt;_ori_publication&gt;John Wiley &amp;amp; Sons, Ltd&lt;/_ori_publication&gt;&lt;_pages&gt;399-403&lt;/_pages&gt;&lt;_url&gt;https://doi.org/10.1111/rec.12691&lt;/_url&gt;&lt;_volume&gt;26&lt;/_volume&gt;&lt;_created&gt;64537359&lt;/_created&gt;&lt;_modified&gt;64537359&lt;/_modified&gt;&lt;_impact_factor&gt;   2.721&lt;/_impact_factor&gt;&lt;_collection_scope&gt;SCIE&lt;/_collection_scope&gt;&lt;/Details&gt;&lt;Extra&gt;&lt;DBUID&gt;{F96A950B-833F-4880-A151-76DA2D6A2879}&lt;/DBUID&gt;&lt;/Extra&gt;&lt;/Item&gt;&lt;/References&gt;&lt;/Group&gt;&lt;/Citation&gt;_x000a_"/>
    <w:docVar w:name="NE.Ref{232B06D0-4BA6-4C0F-B8DD-D0BB9CB1CFCF}" w:val=" ADDIN NE.Ref.{232B06D0-4BA6-4C0F-B8DD-D0BB9CB1CFCF}&lt;Citation&gt;&lt;Group&gt;&lt;References&gt;&lt;Item&gt;&lt;ID&gt;419&lt;/ID&gt;&lt;UID&gt;{D18B43F4-E3FA-4B11-9E6A-EE0638FA8755}&lt;/UID&gt;&lt;Title&gt;Strategic planning to mitigate mining impacts on protected areas in the Brazilian Amazon&lt;/Title&gt;&lt;Template&gt;Journal Article&lt;/Template&gt;&lt;Star&gt;0&lt;/Star&gt;&lt;Tag&gt;0&lt;/Tag&gt;&lt;Author&gt;Siqueira-Gay, Juliana; Metzger, Jean Paul; Sánchez, Luis E; Sonter, Laura J&lt;/Author&gt;&lt;Year&gt;2022&lt;/Year&gt;&lt;Details&gt;&lt;_alternate_title&gt;Nature Sustainability&lt;/_alternate_title&gt;&lt;_date_display&gt;2022&lt;/_date_display&gt;&lt;_date&gt;2022-01-01&lt;/_date&gt;&lt;_doi&gt;10.1038/s41893-022-00921-9&lt;/_doi&gt;&lt;_isbn&gt;2398-9629&lt;/_isbn&gt;&lt;_journal&gt;Nature Sustainability&lt;/_journal&gt;&lt;_number&gt;Siqueira-Gay2022&lt;/_number&gt;&lt;_url&gt;https://doi.org/10.1038/s41893-022-00921-9&lt;/_url&gt;&lt;_created&gt;64537353&lt;/_created&gt;&lt;_modified&gt;64537353&lt;/_modified&gt;&lt;_impact_factor&gt;  12.080&lt;/_impact_factor&gt;&lt;/Details&gt;&lt;Extra&gt;&lt;DBUID&gt;{F96A950B-833F-4880-A151-76DA2D6A2879}&lt;/DBUID&gt;&lt;/Extra&gt;&lt;/Item&gt;&lt;/References&gt;&lt;/Group&gt;&lt;/Citation&gt;_x000a_"/>
    <w:docVar w:name="NE.Ref{25888C69-15B9-406E-8057-9B392248A435}" w:val=" ADDIN NE.Ref.{25888C69-15B9-406E-8057-9B392248A435}&lt;Citation&gt;&lt;Group&gt;&lt;References&gt;&lt;Item&gt;&lt;ID&gt;441&lt;/ID&gt;&lt;UID&gt;{12E01186-BCCA-4A6D-A016-B124B00D4B94}&lt;/UID&gt;&lt;Title&gt;Evidence of green space sparing to ecosystem service improvement in urban regions: A case study of China’s Ecological Red Line policy&lt;/Title&gt;&lt;Template&gt;Journal Article&lt;/Template&gt;&lt;Star&gt;0&lt;/Star&gt;&lt;Tag&gt;0&lt;/Tag&gt;&lt;Author&gt;Hu, Tian; Peng, Jian; Liu, Yanxu; Wu, Jiansheng; Li, Weifeng; Zhou, Bingbing&lt;/Author&gt;&lt;Year&gt;2020&lt;/Year&gt;&lt;Details&gt;&lt;_alternate_title&gt;Journal of Cleaner Production&lt;/_alternate_title&gt;&lt;_date_display&gt;2020&lt;/_date_display&gt;&lt;_date&gt;2020-01-01&lt;/_date&gt;&lt;_doi&gt;https://doi.org/10.1016/j.jclepro.2019.119678&lt;/_doi&gt;&lt;_isbn&gt;0959-6526&lt;/_isbn&gt;&lt;_journal&gt;Journal of Cleaner Production&lt;/_journal&gt;&lt;_keywords&gt;Land-sparing; Land-sharing; Ecosystem service; Greenspace; Ecological red line; Land use&lt;/_keywords&gt;&lt;_pages&gt;119678&lt;/_pages&gt;&lt;_url&gt;https://www.sciencedirect.com/science/article/pii/S0959652619345482&lt;/_url&gt;&lt;_volume&gt;251&lt;/_volume&gt;&lt;_created&gt;64537356&lt;/_created&gt;&lt;_modified&gt;64537356&lt;/_modified&gt;&lt;_impact_factor&gt;   7.246&lt;/_impact_factor&gt;&lt;_collection_scope&gt;SCIE;EI&lt;/_collection_scope&gt;&lt;/Details&gt;&lt;Extra&gt;&lt;DBUID&gt;{F96A950B-833F-4880-A151-76DA2D6A2879}&lt;/DBUID&gt;&lt;/Extra&gt;&lt;/Item&gt;&lt;/References&gt;&lt;/Group&gt;&lt;/Citation&gt;_x000a_"/>
    <w:docVar w:name="NE.Ref{2C61DDBB-2537-41C0-AC02-17B283658DBB}" w:val=" ADDIN NE.Ref.{2C61DDBB-2537-41C0-AC02-17B283658DBB}&lt;Citation&gt;&lt;Group&gt;&lt;References&gt;&lt;Item&gt;&lt;ID&gt;437&lt;/ID&gt;&lt;UID&gt;{E02C41B3-0A24-4421-890E-9D08DD468647}&lt;/UID&gt;&lt;Title&gt;Performance analysis of a modified Newton method for parameterized dual fuzzy nonlinear equations and its application&lt;/Title&gt;&lt;Template&gt;Journal Article&lt;/Template&gt;&lt;Star&gt;0&lt;/Star&gt;&lt;Tag&gt;0&lt;/Tag&gt;&lt;Author&gt;Sulaiman, Ibrahim Mohammed; Mamat, Mustafa; Malik, Maulana; Nisar, Kottakkaran Sooppy; Elfasakhany, Ashraf&lt;/Author&gt;&lt;Year&gt;2022&lt;/Year&gt;&lt;Details&gt;&lt;_alternate_title&gt;Results in Physics&lt;/_alternate_title&gt;&lt;_date_display&gt;2022&lt;/_date_display&gt;&lt;_date&gt;2022-01-01&lt;/_date&gt;&lt;_doi&gt;https://doi.org/10.1016/j.rinp.2021.105140&lt;/_doi&gt;&lt;_isbn&gt;2211-3797&lt;/_isbn&gt;&lt;_journal&gt;Results in Physics&lt;/_journal&gt;&lt;_keywords&gt;Nonlinear equation; Fuzzy coefficient; Parametric form; Newton method; Jacobian&lt;/_keywords&gt;&lt;_pages&gt;105140&lt;/_pages&gt;&lt;_url&gt;https://www.sciencedirect.com/science/article/pii/S2211379721011037&lt;/_url&gt;&lt;_volume&gt;33&lt;/_volume&gt;&lt;_created&gt;64537356&lt;/_created&gt;&lt;_modified&gt;64537356&lt;/_modified&gt;&lt;_impact_factor&gt;   4.019&lt;/_impact_factor&gt;&lt;_collection_scope&gt;SCIE&lt;/_collection_scope&gt;&lt;/Details&gt;&lt;Extra&gt;&lt;DBUID&gt;{F96A950B-833F-4880-A151-76DA2D6A2879}&lt;/DBUID&gt;&lt;/Extra&gt;&lt;/Item&gt;&lt;/References&gt;&lt;/Group&gt;&lt;/Citation&gt;_x000a_"/>
    <w:docVar w:name="NE.Ref{2CB383CF-6ECD-4CF5-B64F-949093E35E1B}" w:val=" ADDIN NE.Ref.{2CB383CF-6ECD-4CF5-B64F-949093E35E1B}&lt;Citation&gt;&lt;Group&gt;&lt;References&gt;&lt;Item&gt;&lt;ID&gt;479&lt;/ID&gt;&lt;UID&gt;{30F1880E-7AEE-42C8-9407-A4A6FE4ACFB2}&lt;/UID&gt;&lt;Title&gt;Intermediate human activities maximize dryland ecosystem services in the long-term land-use change: Evidence from the Sangong River watershed, northwest China&lt;/Title&gt;&lt;Template&gt;Journal Article&lt;/Template&gt;&lt;Star&gt;0&lt;/Star&gt;&lt;Tag&gt;0&lt;/Tag&gt;&lt;Author&gt;Chen, Bingming; Jing, Xin; Liu, Shensi; Jiang, Jiang; Wang, Yugang&lt;/Author&gt;&lt;Year&gt;2022&lt;/Year&gt;&lt;Details&gt;&lt;_alternate_title&gt;Journal of Environmental Management&lt;/_alternate_title&gt;&lt;_date_display&gt;2022&lt;/_date_display&gt;&lt;_date&gt;2022-01-01&lt;/_date&gt;&lt;_doi&gt;https://doi.org/10.1016/j.jenvman.2022.115708&lt;/_doi&gt;&lt;_isbn&gt;0301-4797&lt;/_isbn&gt;&lt;_journal&gt;Journal of Environmental Management&lt;/_journal&gt;&lt;_keywords&gt;Dryland; Development-environment tradeoffs; Ecosystem services; Human footprint index; Landscape fragmentation&lt;/_keywords&gt;&lt;_pages&gt;115708&lt;/_pages&gt;&lt;_url&gt;https://www.sciencedirect.com/science/article/pii/S0301479722012816&lt;/_url&gt;&lt;_volume&gt;319&lt;/_volume&gt;&lt;_created&gt;64553000&lt;/_created&gt;&lt;_modified&gt;64553000&lt;/_modified&gt;&lt;_impact_factor&gt;   5.647&lt;/_impact_factor&gt;&lt;_collection_scope&gt;SCI;SCIE&lt;/_collection_scope&gt;&lt;/Details&gt;&lt;Extra&gt;&lt;DBUID&gt;{F96A950B-833F-4880-A151-76DA2D6A2879}&lt;/DBUID&gt;&lt;/Extra&gt;&lt;/Item&gt;&lt;/References&gt;&lt;/Group&gt;&lt;/Citation&gt;_x000a_"/>
    <w:docVar w:name="NE.Ref{2D082CC6-CAB1-4553-A111-68840DE6A7B9}" w:val=" ADDIN NE.Ref.{2D082CC6-CAB1-4553-A111-68840DE6A7B9}&lt;Citation&gt;&lt;Group&gt;&lt;References&gt;&lt;Item&gt;&lt;ID&gt;479&lt;/ID&gt;&lt;UID&gt;{30F1880E-7AEE-42C8-9407-A4A6FE4ACFB2}&lt;/UID&gt;&lt;Title&gt;Intermediate human activities maximize dryland ecosystem services in the long-term land-use change: Evidence from the Sangong River watershed, northwest China&lt;/Title&gt;&lt;Template&gt;Journal Article&lt;/Template&gt;&lt;Star&gt;0&lt;/Star&gt;&lt;Tag&gt;0&lt;/Tag&gt;&lt;Author&gt;Chen, Bingming; Jing, Xin; Liu, Shensi; Jiang, Jiang; Wang, Yugang&lt;/Author&gt;&lt;Year&gt;2022&lt;/Year&gt;&lt;Details&gt;&lt;_alternate_title&gt;Journal of Environmental Management&lt;/_alternate_title&gt;&lt;_date_display&gt;2022&lt;/_date_display&gt;&lt;_date&gt;2022-01-01&lt;/_date&gt;&lt;_doi&gt;https://doi.org/10.1016/j.jenvman.2022.115708&lt;/_doi&gt;&lt;_isbn&gt;0301-4797&lt;/_isbn&gt;&lt;_journal&gt;Journal of Environmental Management&lt;/_journal&gt;&lt;_keywords&gt;Dryland; Development-environment tradeoffs; Ecosystem services; Human footprint index; Landscape fragmentation&lt;/_keywords&gt;&lt;_pages&gt;115708&lt;/_pages&gt;&lt;_url&gt;https://www.sciencedirect.com/science/article/pii/S0301479722012816&lt;/_url&gt;&lt;_volume&gt;319&lt;/_volume&gt;&lt;_created&gt;64553000&lt;/_created&gt;&lt;_modified&gt;64553000&lt;/_modified&gt;&lt;_impact_factor&gt;   5.647&lt;/_impact_factor&gt;&lt;_collection_scope&gt;SCI;SCIE&lt;/_collection_scope&gt;&lt;/Details&gt;&lt;Extra&gt;&lt;DBUID&gt;{F96A950B-833F-4880-A151-76DA2D6A2879}&lt;/DBUID&gt;&lt;/Extra&gt;&lt;/Item&gt;&lt;/References&gt;&lt;/Group&gt;&lt;/Citation&gt;_x000a_"/>
    <w:docVar w:name="NE.Ref{31941833-E5FE-4FB6-A2A7-FA4E7E18496C}" w:val=" ADDIN NE.Ref.{31941833-E5FE-4FB6-A2A7-FA4E7E18496C}&lt;Citation&gt;&lt;Group&gt;&lt;References&gt;&lt;Item&gt;&lt;ID&gt;440&lt;/ID&gt;&lt;UID&gt;{36AF2B62-0647-4F04-8515-7475032DEBAF}&lt;/UID&gt;&lt;Title&gt;Effects of protection and restoration on reducing ecological vulnerability&lt;/Title&gt;&lt;Template&gt;Journal Article&lt;/Template&gt;&lt;Star&gt;0&lt;/Star&gt;&lt;Tag&gt;0&lt;/Tag&gt;&lt;Author&gt;Li, Qiang; Shi, Xueyi; Wu, Qingqing&lt;/Author&gt;&lt;Year&gt;2021&lt;/Year&gt;&lt;Details&gt;&lt;_alternate_title&gt;Science of The Total Environment&lt;/_alternate_title&gt;&lt;_date_display&gt;2021&lt;/_date_display&gt;&lt;_date&gt;2021-01-01&lt;/_date&gt;&lt;_doi&gt;https://doi.org/10.1016/j.scitotenv.2020.143180&lt;/_doi&gt;&lt;_isbn&gt;0048-9697&lt;/_isbn&gt;&lt;_journal&gt;Science of The Total Environment&lt;/_journal&gt;&lt;_keywords&gt;Ecological restoration; NDVI; Logistic regression; Policy advices&lt;/_keywords&gt;&lt;_pages&gt;143180&lt;/_pages&gt;&lt;_url&gt;https://www.sciencedirect.com/science/article/pii/S0048969720367103&lt;/_url&gt;&lt;_volume&gt;761&lt;/_volume&gt;&lt;_created&gt;64537356&lt;/_created&gt;&lt;_modified&gt;64537356&lt;/_modified&gt;&lt;_impact_factor&gt;   6.551&lt;/_impact_factor&gt;&lt;_collection_scope&gt;SCI;SCIE;EI&lt;/_collection_scope&gt;&lt;/Details&gt;&lt;Extra&gt;&lt;DBUID&gt;{F96A950B-833F-4880-A151-76DA2D6A2879}&lt;/DBUID&gt;&lt;/Extra&gt;&lt;/Item&gt;&lt;/References&gt;&lt;/Group&gt;&lt;/Citation&gt;_x000a_"/>
    <w:docVar w:name="NE.Ref{31F86C96-5421-4D52-AF12-617B24D7AD8E}" w:val=" ADDIN NE.Ref.{31F86C96-5421-4D52-AF12-617B24D7AD8E}&lt;Citation&gt;&lt;Group&gt;&lt;References&gt;&lt;Item&gt;&lt;ID&gt;417&lt;/ID&gt;&lt;UID&gt;{42193683-214C-4542-BF46-1CEEAE31EDBD}&lt;/UID&gt;&lt;Title&gt;Habitat Fragmentation in Arid Zones: A Case Study of Linaria nigricans Under Land Use Changes (SE Spain)&lt;/Title&gt;&lt;Template&gt;Journal Article&lt;/Template&gt;&lt;Star&gt;0&lt;/Star&gt;&lt;Tag&gt;0&lt;/Tag&gt;&lt;Author&gt;Peñas, Julio; Benito, Blas; Lorite, Juan; Ballesteros, Miguel; Cañadas, Eva María; Martinez-Ortega, Montserrat&lt;/Author&gt;&lt;Year&gt;2011&lt;/Year&gt;&lt;Details&gt;&lt;_alternate_title&gt;Environmental Management&lt;/_alternate_title&gt;&lt;_date_display&gt;2011&lt;/_date_display&gt;&lt;_date&gt;2011-01-01&lt;/_date&gt;&lt;_doi&gt;10.1007/s00267-011-9663-y&lt;/_doi&gt;&lt;_isbn&gt;1432-1009&lt;/_isbn&gt;&lt;_issue&gt;1&lt;/_issue&gt;&lt;_journal&gt;Environmental Management&lt;/_journal&gt;&lt;_number&gt;Peñas2011&lt;/_number&gt;&lt;_pages&gt;168-176&lt;/_pages&gt;&lt;_url&gt;https://doi.org/10.1007/s00267-011-9663-y&lt;/_url&gt;&lt;_volume&gt;48&lt;/_volume&gt;&lt;_created&gt;64537353&lt;/_created&gt;&lt;_modified&gt;64537353&lt;/_modified&gt;&lt;_impact_factor&gt;   2.561&lt;/_impact_factor&gt;&lt;_collection_scope&gt;SCI;SCIE;EI&lt;/_collection_scope&gt;&lt;/Details&gt;&lt;Extra&gt;&lt;DBUID&gt;{F96A950B-833F-4880-A151-76DA2D6A2879}&lt;/DBUID&gt;&lt;/Extra&gt;&lt;/Item&gt;&lt;/References&gt;&lt;/Group&gt;&lt;Group&gt;&lt;References&gt;&lt;Item&gt;&lt;ID&gt;418&lt;/ID&gt;&lt;UID&gt;{A48868B3-0698-475F-97DE-9A760800F7B4}&lt;/UID&gt;&lt;Title&gt;Financing and governing ecological restoration projects: The Tasmanian Island Ark&lt;/Title&gt;&lt;Template&gt;Journal Article&lt;/Template&gt;&lt;Star&gt;0&lt;/Star&gt;&lt;Tag&gt;0&lt;/Tag&gt;&lt;Author&gt;Richardson, Benjamin J; Davidson, Neil J&lt;/Author&gt;&lt;Year&gt;2021&lt;/Year&gt;&lt;Details&gt;&lt;_alternate_title&gt;Ecological Management &amp;amp; RestorationEcological Management &amp;amp; Restoration&lt;/_alternate_title&gt;&lt;_date_display&gt;2021_x000d__x000a_2021/12/01&lt;/_date_display&gt;&lt;_date&gt;2021-12-01&lt;/_date&gt;&lt;_doi&gt;https://doi.org/10.1111/emr.12455&lt;/_doi&gt;&lt;_isbn&gt;1442-7001&lt;/_isbn&gt;&lt;_issue&gt;S2&lt;/_issue&gt;&lt;_journal&gt;Ecological Management &amp;amp; Restoration&lt;/_journal&gt;&lt;_keywords&gt;finance; property tenure; regulation; restoration costs; Tasmania&lt;/_keywords&gt;&lt;_ori_publication&gt;John Wiley &amp;amp; Sons, Ltd&lt;/_ori_publication&gt;&lt;_pages&gt;36-46&lt;/_pages&gt;&lt;_url&gt;https://doi.org/10.1111/emr.12455&lt;/_url&gt;&lt;_volume&gt;22&lt;/_volume&gt;&lt;_created&gt;64537353&lt;/_created&gt;&lt;_modified&gt;64537353&lt;/_modified&gt;&lt;_impact_factor&gt;   1.086&lt;/_impact_factor&gt;&lt;_collection_scope&gt;SCIE&lt;/_collection_scope&gt;&lt;/Details&gt;&lt;Extra&gt;&lt;DBUID&gt;{F96A950B-833F-4880-A151-76DA2D6A2879}&lt;/DBUID&gt;&lt;/Extra&gt;&lt;/Item&gt;&lt;/References&gt;&lt;/Group&gt;&lt;/Citation&gt;_x000a_"/>
    <w:docVar w:name="NE.Ref{355D80ED-D30B-41D1-8DF8-E5CD28B1BEC9}" w:val=" ADDIN NE.Ref.{355D80ED-D30B-41D1-8DF8-E5CD28B1BEC9}&lt;Citation&gt;&lt;Group&gt;&lt;References&gt;&lt;Item&gt;&lt;ID&gt;429&lt;/ID&gt;&lt;UID&gt;{5862A17A-8AFB-46D2-AB19-59CF5D86AD32}&lt;/UID&gt;&lt;Title&gt;Ecological restoration is not sufficient for reconciling the trade-off between soil retention and water yield: A contrasting study from catchment governance perspective&lt;/Title&gt;&lt;Template&gt;Journal Article&lt;/Template&gt;&lt;Star&gt;0&lt;/Star&gt;&lt;Tag&gt;0&lt;/Tag&gt;&lt;Author&gt;Jiang, Chong; Guo, Hongwei; Wei, Yongping; Yang, Zhiyuan; Wang, Xinchi; Wen, Meili; Yang, Long; Zhao, Lingling; Zhang, Haiyan; Zhou, Ping&lt;/Author&gt;&lt;Year&gt;2021&lt;/Year&gt;&lt;Details&gt;&lt;_alternate_title&gt;Science of The Total Environment&lt;/_alternate_title&gt;&lt;_date_display&gt;2021&lt;/_date_display&gt;&lt;_date&gt;2021-01-01&lt;/_date&gt;&lt;_doi&gt;https://doi.org/10.1016/j.scitotenv.2020.142139&lt;/_doi&gt;&lt;_isbn&gt;0048-9697&lt;/_isbn&gt;&lt;_journal&gt;Science of The Total Environment&lt;/_journal&gt;&lt;_keywords&gt;Ecological restoration; Soil retention; Water yield; Trade-off; Catchment governance&lt;/_keywords&gt;&lt;_pages&gt;142139&lt;/_pages&gt;&lt;_url&gt;https://www.sciencedirect.com/science/article/pii/S0048969720356680&lt;/_url&gt;&lt;_volume&gt;754&lt;/_volume&gt;&lt;_created&gt;64537355&lt;/_created&gt;&lt;_modified&gt;64537355&lt;/_modified&gt;&lt;_impact_factor&gt;   6.551&lt;/_impact_factor&gt;&lt;_collection_scope&gt;SCI;SCIE;EI&lt;/_collection_scope&gt;&lt;/Details&gt;&lt;Extra&gt;&lt;DBUID&gt;{F96A950B-833F-4880-A151-76DA2D6A2879}&lt;/DBUID&gt;&lt;/Extra&gt;&lt;/Item&gt;&lt;/References&gt;&lt;/Group&gt;&lt;/Citation&gt;_x000a_"/>
    <w:docVar w:name="NE.Ref{36986377-0D58-4949-9C4B-96CD7B0F1ED1}" w:val=" ADDIN NE.Ref.{36986377-0D58-4949-9C4B-96CD7B0F1ED1}&lt;Citation&gt;&lt;Group&gt;&lt;References&gt;&lt;Item&gt;&lt;ID&gt;411&lt;/ID&gt;&lt;UID&gt;{EDBA306C-0BDD-4F5F-A1EE-7D4451B8DCFD}&lt;/UID&gt;&lt;Title&gt;Assessing impacts of the Ecological Retreat project on water conservation in the Yellow River Basin&lt;/Title&gt;&lt;Template&gt;Journal Article&lt;/Template&gt;&lt;Star&gt;0&lt;/Star&gt;&lt;Tag&gt;0&lt;/Tag&gt;&lt;Author&gt;Jia, Guanyu; Hu, Wenmin; Zhang, Bin; Li, Guo; Shen, Shouyun; Gao, Zhihai; Li, Yi&lt;/Author&gt;&lt;Year&gt;2022&lt;/Year&gt;&lt;Details&gt;&lt;_alternate_title&gt;Science of The Total Environment&lt;/_alternate_title&gt;&lt;_collection_scope&gt;SCI;SCIE;EI&lt;/_collection_scope&gt;&lt;_created&gt;64537352&lt;/_created&gt;&lt;_date&gt;2022-01-01&lt;/_date&gt;&lt;_date_display&gt;2022&lt;/_date_display&gt;&lt;_doi&gt;https://doi.org/10.1016/j.scitotenv.2022.154483&lt;/_doi&gt;&lt;_impact_factor&gt;   7.963&lt;/_impact_factor&gt;&lt;_isbn&gt;0048-9697&lt;/_isbn&gt;&lt;_journal&gt;Science of The Total Environment&lt;/_journal&gt;&lt;_keywords&gt;Water yield; InVEST model; Ecological project; Machine learning; Yellow River Basin&lt;/_keywords&gt;&lt;_modified&gt;64561682&lt;/_modified&gt;&lt;_pages&gt;154483&lt;/_pages&gt;&lt;_url&gt;https://www.sciencedirect.com/science/article/pii/S0048969722015765&lt;/_url&gt;&lt;_volume&gt;828&lt;/_volume&gt;&lt;/Details&gt;&lt;Extra&gt;&lt;DBUID&gt;{F96A950B-833F-4880-A151-76DA2D6A2879}&lt;/DBUID&gt;&lt;/Extra&gt;&lt;/Item&gt;&lt;/References&gt;&lt;/Group&gt;&lt;/Citation&gt;_x000a_"/>
    <w:docVar w:name="NE.Ref{39167212-5D28-4075-AA1C-ED98F87FA86D}" w:val=" ADDIN NE.Ref.{39167212-5D28-4075-AA1C-ED98F87FA86D}&lt;Citation&gt;&lt;Group&gt;&lt;References&gt;&lt;Item&gt;&lt;ID&gt;405&lt;/ID&gt;&lt;UID&gt;{B9A0E388-8690-4EFB-82CF-BA13E5BFBA12}&lt;/UID&gt;&lt;Title&gt;Navigating local environment and scientific knowledge in dryland social-ecological systems through linking ecological policy-household interactions with land surface dynamics&lt;/Title&gt;&lt;Template&gt;Journal Article&lt;/Template&gt;&lt;Star&gt;0&lt;/Star&gt;&lt;Tag&gt;0&lt;/Tag&gt;&lt;Author&gt;Sun, Qiangqiang; Zhang, Ping; Jiang, Wanbei; Qu, Wei; Sun, Yanan; Sun, Danfeng&lt;/Author&gt;&lt;Year&gt;2022&lt;/Year&gt;&lt;Details&gt;&lt;_alternate_title&gt;Land Use Policy&lt;/_alternate_title&gt;&lt;_date_display&gt;2022&lt;/_date_display&gt;&lt;_date&gt;2022-01-01&lt;/_date&gt;&lt;_doi&gt;https://doi.org/10.1016/j.landusepol.2021.105863&lt;/_doi&gt;&lt;_isbn&gt;0264-8377&lt;/_isbn&gt;&lt;_journal&gt;Land Use Policy&lt;/_journal&gt;&lt;_keywords&gt;Land degradation neutrality; Local environment and scientific knowledge; Ecological policy; Household; Land surface dynamics&lt;/_keywords&gt;&lt;_pages&gt;105863&lt;/_pages&gt;&lt;_url&gt;https://www.sciencedirect.com/science/article/pii/S026483772100586X&lt;/_url&gt;&lt;_volume&gt;112&lt;/_volume&gt;&lt;_created&gt;64537352&lt;/_created&gt;&lt;_modified&gt;64537352&lt;/_modified&gt;&lt;_impact_factor&gt;   3.682&lt;/_impact_factor&gt;&lt;_collection_scope&gt;SSCI&lt;/_collection_scope&gt;&lt;/Details&gt;&lt;Extra&gt;&lt;DBUID&gt;{F96A950B-833F-4880-A151-76DA2D6A2879}&lt;/DBUID&gt;&lt;/Extra&gt;&lt;/Item&gt;&lt;/References&gt;&lt;/Group&gt;&lt;/Citation&gt;_x000a_"/>
    <w:docVar w:name="NE.Ref{3AEB376C-B98D-4546-A2A8-64AAFC1E0B3C}" w:val=" ADDIN NE.Ref.{3AEB376C-B98D-4546-A2A8-64AAFC1E0B3C}&lt;Citation&gt;&lt;Group&gt;&lt;References&gt;&lt;Item&gt;&lt;ID&gt;412&lt;/ID&gt;&lt;UID&gt;{ED15E36B-C913-4EC3-902B-B73FD4D449F2}&lt;/UID&gt;&lt;Title&gt;Multi-objective forest restoration planning in Costa Rica: Balancing landscape connectivity and ecosystem service provisioning with sustainable development&lt;/Title&gt;&lt;Template&gt;Journal Article&lt;/Template&gt;&lt;Star&gt;0&lt;/Star&gt;&lt;Tag&gt;0&lt;/Tag&gt;&lt;Author&gt;Morán-Ordóñez, Alejandra; Hermoso, Virgilio; Martínez-Salinas, Alejandra&lt;/Author&gt;&lt;Year&gt;2022&lt;/Year&gt;&lt;Details&gt;&lt;_alternate_title&gt;Journal of Environmental Management&lt;/_alternate_title&gt;&lt;_date_display&gt;2022&lt;/_date_display&gt;&lt;_date&gt;2022-01-01&lt;/_date&gt;&lt;_doi&gt;https://doi.org/10.1016/j.jenvman.2022.114717&lt;/_doi&gt;&lt;_isbn&gt;0301-4797&lt;/_isbn&gt;&lt;_journal&gt;Journal of Environmental Management&lt;/_journal&gt;&lt;_keywords&gt;Nature-based solutions; Neotropical birds; Spatial conservation planning tools; Species distribution models; Secondary forest; Tropical forests&lt;/_keywords&gt;&lt;_pages&gt;114717&lt;/_pages&gt;&lt;_url&gt;https://www.sciencedirect.com/science/article/pii/S0301479722002900&lt;/_url&gt;&lt;_volume&gt;310&lt;/_volume&gt;&lt;_created&gt;64537352&lt;/_created&gt;&lt;_modified&gt;64537352&lt;/_modified&gt;&lt;_impact_factor&gt;   5.647&lt;/_impact_factor&gt;&lt;_collection_scope&gt;SCI;SCIE&lt;/_collection_scope&gt;&lt;/Details&gt;&lt;Extra&gt;&lt;DBUID&gt;{F96A950B-833F-4880-A151-76DA2D6A2879}&lt;/DBUID&gt;&lt;/Extra&gt;&lt;/Item&gt;&lt;/References&gt;&lt;/Group&gt;&lt;/Citation&gt;_x000a_"/>
    <w:docVar w:name="NE.Ref{3AF089E8-E10E-4429-84D4-7DA4E22B38F0}" w:val=" ADDIN NE.Ref.{3AF089E8-E10E-4429-84D4-7DA4E22B38F0}&lt;Citation&gt;&lt;Group&gt;&lt;References&gt;&lt;Item&gt;&lt;ID&gt;448&lt;/ID&gt;&lt;UID&gt;{05DF2A65-0903-429B-8B2D-D6C303802B0B}&lt;/UID&gt;&lt;Title&gt;Did water diversion projects lead to sustainable ecological restoration in arid endorheic basins? Lessons from long-term changes of multiple ecosystem indicators in the lower Heihe River Basin&lt;/Title&gt;&lt;Template&gt;Journal Article&lt;/Template&gt;&lt;Star&gt;0&lt;/Star&gt;&lt;Tag&gt;0&lt;/Tag&gt;&lt;Author&gt;Shen, Qin; Ma, Ying&lt;/Author&gt;&lt;Year&gt;2020&lt;/Year&gt;&lt;Details&gt;&lt;_alternate_title&gt;Science of The Total Environment&lt;/_alternate_title&gt;&lt;_date_display&gt;2020&lt;/_date_display&gt;&lt;_date&gt;2020-01-01&lt;/_date&gt;&lt;_doi&gt;https://doi.org/10.1016/j.scitotenv.2019.134785&lt;/_doi&gt;&lt;_isbn&gt;0048-9697&lt;/_isbn&gt;&lt;_journal&gt;Science of The Total Environment&lt;/_journal&gt;&lt;_keywords&gt;Ecological restoration; Vegetation cover; Ecosystem change; Long-term series; Water diversion project; Arid endorheic basin&lt;/_keywords&gt;&lt;_pages&gt;134785&lt;/_pages&gt;&lt;_url&gt;https://www.sciencedirect.com/science/article/pii/S004896971934776X&lt;/_url&gt;&lt;_volume&gt;701&lt;/_volume&gt;&lt;_created&gt;64537357&lt;/_created&gt;&lt;_modified&gt;64537357&lt;/_modified&gt;&lt;_impact_factor&gt;   6.551&lt;/_impact_factor&gt;&lt;_collection_scope&gt;SCI;SCIE;EI&lt;/_collection_scope&gt;&lt;/Details&gt;&lt;Extra&gt;&lt;DBUID&gt;{F96A950B-833F-4880-A151-76DA2D6A2879}&lt;/DBUID&gt;&lt;/Extra&gt;&lt;/Item&gt;&lt;/References&gt;&lt;/Group&gt;&lt;/Citation&gt;_x000a_"/>
    <w:docVar w:name="NE.Ref{3D377174-A5E7-45BD-B15B-2BAF0C3F2917}" w:val=" ADDIN NE.Ref.{3D377174-A5E7-45BD-B15B-2BAF0C3F2917}&lt;Citation&gt;&lt;Group&gt;&lt;References&gt;&lt;Item&gt;&lt;ID&gt;423&lt;/ID&gt;&lt;UID&gt;{6F6A2B4C-2897-489A-8BEA-A71B8B295230}&lt;/UID&gt;&lt;Title&gt;Benefits and costs of ecological restoration: Rapid assessment of changing ecosystem service values at a U.K. wetland&lt;/Title&gt;&lt;Template&gt;Journal Article&lt;/Template&gt;&lt;Star&gt;0&lt;/Star&gt;&lt;Tag&gt;0&lt;/Tag&gt;&lt;Author&gt;Peh, Kelvin S H; Balmford, Andrew; Field, Rob H; Lamb, Anthony; Birch, Jennifer C; Bradbury, Richard B; Brown, Claire; Butchart, Stuart H M; Lester, Martin; Morrison, Ross; Sedgwick, Isabel; Soans, Chris; Stattersfield, Alison J; Stroh, Peter A; Swetnam, Ruth D; Thomas, David H L; Walpole, Matt; Warrington, Stuart; Hughes, Francine M R&lt;/Author&gt;&lt;Year&gt;2014&lt;/Year&gt;&lt;Details&gt;&lt;_alternate_title&gt;Ecology and EvolutionEcology and Evolution&lt;/_alternate_title&gt;&lt;_date_display&gt;2014_x000d__x000a_2014/10/01&lt;/_date_display&gt;&lt;_date&gt;2014-10-01&lt;/_date&gt;&lt;_doi&gt;https://doi.org/10.1002/ece3.1248&lt;/_doi&gt;&lt;_isbn&gt;2045-7758&lt;/_isbn&gt;&lt;_issue&gt;20&lt;/_issue&gt;&lt;_journal&gt;Ecology and Evolution&lt;/_journal&gt;&lt;_keywords&gt;Arable production; biodiversity conservation; ecosystem services; flood protection; global climate change mitigation; nature-based recreation; wetland restoration&lt;/_keywords&gt;&lt;_ori_publication&gt;John Wiley &amp;amp; Sons, Ltd&lt;/_ori_publication&gt;&lt;_pages&gt;3875-3886&lt;/_pages&gt;&lt;_url&gt;https://doi.org/10.1002/ece3.1248&lt;/_url&gt;&lt;_volume&gt;4&lt;/_volume&gt;&lt;_created&gt;64537354&lt;/_created&gt;&lt;_modified&gt;64537354&lt;/_modified&gt;&lt;_impact_factor&gt;   2.392&lt;/_impact_factor&gt;&lt;_collection_scope&gt;SCIE&lt;/_collection_scope&gt;&lt;/Details&gt;&lt;Extra&gt;&lt;DBUID&gt;{F96A950B-833F-4880-A151-76DA2D6A2879}&lt;/DBUID&gt;&lt;/Extra&gt;&lt;/Item&gt;&lt;/References&gt;&lt;/Group&gt;&lt;/Citation&gt;_x000a_"/>
    <w:docVar w:name="NE.Ref{3F9D86ED-ABEE-4CF1-9AD6-DF86A4BFBFEC}" w:val=" ADDIN NE.Ref.{3F9D86ED-ABEE-4CF1-9AD6-DF86A4BFBFEC}&lt;Citation&gt;&lt;Group&gt;&lt;References&gt;&lt;Item&gt;&lt;ID&gt;426&lt;/ID&gt;&lt;UID&gt;{68976939-0832-42EC-B468-FB3210BBE33F}&lt;/UID&gt;&lt;Title&gt;Evaluation of the policy-driven ecological network in the Three-North Shelterbelt region of China&lt;/Title&gt;&lt;Template&gt;Journal Article&lt;/Template&gt;&lt;Star&gt;0&lt;/Star&gt;&lt;Tag&gt;0&lt;/Tag&gt;&lt;Author&gt;Mu, Haowei; Li, Xuecao; Ma, Haijiao; Du, Xiaoping; Huang, Jianxi; Su, Wei; Yu, Zhen; Xu, Chen; Liu, Hualiang; Yin, Dongqin; Li, Baoguo&lt;/Author&gt;&lt;Year&gt;2022&lt;/Year&gt;&lt;Details&gt;&lt;_alternate_title&gt;Landscape and Urban Planning&lt;/_alternate_title&gt;&lt;_date_display&gt;2022&lt;/_date_display&gt;&lt;_date&gt;2022-01-01&lt;/_date&gt;&lt;_doi&gt;https://doi.org/10.1016/j.landurbplan.2021.104305&lt;/_doi&gt;&lt;_isbn&gt;0169-2046&lt;/_isbn&gt;&lt;_journal&gt;Landscape and Urban Planning&lt;/_journal&gt;&lt;_keywords&gt;Corridors; Remote sensing; Biodiversity conservation; Human footprint&lt;/_keywords&gt;&lt;_pages&gt;104305&lt;/_pages&gt;&lt;_url&gt;https://www.sciencedirect.com/science/article/pii/S0169204621002681&lt;/_url&gt;&lt;_volume&gt;218&lt;/_volume&gt;&lt;_created&gt;64537354&lt;/_created&gt;&lt;_modified&gt;64537354&lt;/_modified&gt;&lt;_impact_factor&gt;   5.441&lt;/_impact_factor&gt;&lt;_collection_scope&gt;SCIE;SSCI;EI&lt;/_collection_scope&gt;&lt;/Details&gt;&lt;Extra&gt;&lt;DBUID&gt;{F96A950B-833F-4880-A151-76DA2D6A2879}&lt;/DBUID&gt;&lt;/Extra&gt;&lt;/Item&gt;&lt;/References&gt;&lt;/Group&gt;&lt;/Citation&gt;_x000a_"/>
    <w:docVar w:name="NE.Ref{41C580D9-ED17-4DC5-B98E-3B655B951EE2}" w:val=" ADDIN NE.Ref.{41C580D9-ED17-4DC5-B98E-3B655B951EE2}&lt;Citation&gt;&lt;Group&gt;&lt;References&gt;&lt;Item&gt;&lt;ID&gt;392&lt;/ID&gt;&lt;UID&gt;{0DA94E6E-DB91-4B48-B136-59112C72D797}&lt;/UID&gt;&lt;Title&gt;Accelerated dryland expansion regulates future variability in dryland gross primary production&lt;/Title&gt;&lt;Template&gt;Journal Article&lt;/Template&gt;&lt;Star&gt;0&lt;/Star&gt;&lt;Tag&gt;0&lt;/Tag&gt;&lt;Author&gt;Yao, Jingyu; Liu, Heping; Huang, Jianping; Gao, Zhongming; Wang, Guoyin; Li, Dan; Yu, Haipeng; Chen, Xingyuan&lt;/Author&gt;&lt;Year&gt;2020&lt;/Year&gt;&lt;Details&gt;&lt;_alternate_title&gt;Nature Communications&lt;/_alternate_title&gt;&lt;_date_display&gt;2020&lt;/_date_display&gt;&lt;_date&gt;2020-01-01&lt;/_date&gt;&lt;_doi&gt;10.1038/s41467-020-15515-2&lt;/_doi&gt;&lt;_isbn&gt;2041-1723&lt;/_isbn&gt;&lt;_issue&gt;1&lt;/_issue&gt;&lt;_journal&gt;Nature Communications&lt;/_journal&gt;&lt;_number&gt;Yao2020&lt;/_number&gt;&lt;_pages&gt;1665&lt;/_pages&gt;&lt;_url&gt;https://doi.org/10.1038/s41467-020-15515-2&lt;/_url&gt;&lt;_volume&gt;11&lt;/_volume&gt;&lt;_created&gt;64537209&lt;/_created&gt;&lt;_modified&gt;64537209&lt;/_modified&gt;&lt;_impact_factor&gt;  12.121&lt;/_impact_factor&gt;&lt;_collection_scope&gt;SCI;SCIE&lt;/_collection_scope&gt;&lt;/Details&gt;&lt;Extra&gt;&lt;DBUID&gt;{F96A950B-833F-4880-A151-76DA2D6A2879}&lt;/DBUID&gt;&lt;/Extra&gt;&lt;/Item&gt;&lt;/References&gt;&lt;/Group&gt;&lt;/Citation&gt;_x000a_"/>
    <w:docVar w:name="NE.Ref{4413FDF1-1DF6-4E84-9A18-199C55BF9CAF}" w:val=" ADDIN NE.Ref.{4413FDF1-1DF6-4E84-9A18-199C55BF9CAF}&lt;Citation&gt;&lt;Group&gt;&lt;References&gt;&lt;Item&gt;&lt;ID&gt;398&lt;/ID&gt;&lt;UID&gt;{BE1D1AC8-4960-4181-9801-DBCF6FE7E453}&lt;/UID&gt;&lt;Title&gt;China&amp;apos;s wetlands loss to urban expansion&lt;/Title&gt;&lt;Template&gt;Journal Article&lt;/Template&gt;&lt;Star&gt;0&lt;/Star&gt;&lt;Tag&gt;0&lt;/Tag&gt;&lt;Author&gt;Mao, Dehua; Wang, Zongming; Wu, Jianguo; Wu, Bingfang; Zeng, Yuan; Song, Kaishan; Yi, Kunpeng; Luo, Ling&lt;/Author&gt;&lt;Year&gt;2018&lt;/Year&gt;&lt;Details&gt;&lt;_alternate_title&gt;Land Degradation &amp;amp; DevelopmentLand Degradation &amp;amp; Development&lt;/_alternate_title&gt;&lt;_date_display&gt;2018_x000d__x000a_2018/08/01&lt;/_date_display&gt;&lt;_date&gt;2018-08-01&lt;/_date&gt;&lt;_doi&gt;https://doi.org/10.1002/ldr.2939&lt;/_doi&gt;&lt;_isbn&gt;1085-3278&lt;/_isbn&gt;&lt;_issue&gt;8&lt;/_issue&gt;&lt;_journal&gt;Land Degradation &amp;amp; Development&lt;/_journal&gt;&lt;_keywords&gt;China; remote sensing; urbanization; wetland degradation; wetland loss&lt;/_keywords&gt;&lt;_ori_publication&gt;John Wiley &amp;amp; Sons, Ltd&lt;/_ori_publication&gt;&lt;_pages&gt;2644-2657&lt;/_pages&gt;&lt;_url&gt;https://doi.org/10.1002/ldr.2939&lt;/_url&gt;&lt;_volume&gt;29&lt;/_volume&gt;&lt;_created&gt;64537351&lt;/_created&gt;&lt;_modified&gt;64537351&lt;/_modified&gt;&lt;_impact_factor&gt;   3.775&lt;/_impact_factor&gt;&lt;_collection_scope&gt;SCI;SCIE;EI&lt;/_collection_scope&gt;&lt;/Details&gt;&lt;Extra&gt;&lt;DBUID&gt;{F96A950B-833F-4880-A151-76DA2D6A2879}&lt;/DBUID&gt;&lt;/Extra&gt;&lt;/Item&gt;&lt;/References&gt;&lt;/Group&gt;&lt;/Citation&gt;_x000a_"/>
    <w:docVar w:name="NE.Ref{457DF9E5-5E5A-4830-9FC6-C8DBFF99DF14}" w:val=" ADDIN NE.Ref.{457DF9E5-5E5A-4830-9FC6-C8DBFF99DF14}&lt;Citation&gt;&lt;Group&gt;&lt;References&gt;&lt;Item&gt;&lt;ID&gt;450&lt;/ID&gt;&lt;UID&gt;{F917439C-685C-405B-8B11-6A46D2C0D353}&lt;/UID&gt;&lt;Title&gt;Nature&amp;apos;s contributions to people: Weaving plural perspectives&lt;/Title&gt;&lt;Template&gt;Journal Article&lt;/Template&gt;&lt;Star&gt;0&lt;/Star&gt;&lt;Tag&gt;0&lt;/Tag&gt;&lt;Author&gt;Hill, Rosemary; Díaz, Sandra; Pascual, Unai; Stenseke, Marie; Molnár, Zsolt; Van Velden, Julia&lt;/Author&gt;&lt;Year&gt;2021&lt;/Year&gt;&lt;Details&gt;&lt;_alternate_title&gt;One Earth&lt;/_alternate_title&gt;&lt;_date_display&gt;2021&lt;/_date_display&gt;&lt;_date&gt;2021-01-01&lt;/_date&gt;&lt;_doi&gt;https://doi.org/10.1016/j.oneear.2021.06.009&lt;/_doi&gt;&lt;_isbn&gt;2590-3322&lt;/_isbn&gt;&lt;_issue&gt;7&lt;/_issue&gt;&lt;_journal&gt;One Earth&lt;/_journal&gt;&lt;_pages&gt;910-915&lt;/_pages&gt;&lt;_url&gt;https://www.sciencedirect.com/science/article/pii/S2590332221003511&lt;/_url&gt;&lt;_volume&gt;4&lt;/_volume&gt;&lt;_created&gt;64537357&lt;/_created&gt;&lt;_modified&gt;64537357&lt;/_modified&gt;&lt;/Details&gt;&lt;Extra&gt;&lt;DBUID&gt;{F96A950B-833F-4880-A151-76DA2D6A2879}&lt;/DBUID&gt;&lt;/Extra&gt;&lt;/Item&gt;&lt;/References&gt;&lt;/Group&gt;&lt;/Citation&gt;_x000a_"/>
    <w:docVar w:name="NE.Ref{4874F62C-ED31-491F-8AF3-E1440F88E76B}" w:val=" ADDIN NE.Ref.{4874F62C-ED31-491F-8AF3-E1440F88E76B}&lt;Citation&gt;&lt;Group&gt;&lt;References&gt;&lt;Item&gt;&lt;ID&gt;409&lt;/ID&gt;&lt;UID&gt;{2D60FE16-EACD-4262-9432-82326EB2C9F9}&lt;/UID&gt;&lt;Title&gt;Straw checkboard or Afforestation?—Assessment and comparison of combined benefits of two typical sand fixing models&lt;/Title&gt;&lt;Template&gt;Journal Article&lt;/Template&gt;&lt;Star&gt;0&lt;/Star&gt;&lt;Tag&gt;0&lt;/Tag&gt;&lt;Author&gt;Rong, Yuejing; Yan, Yan; Zhao, Chunli; Wang, Chenxing; Shang, Xu; Zhu, Jieyuan; Li, Kai; Yang, Shanshan; Lu, Huiting; Zheng, Tianchen; Zheng, Lifu&lt;/Author&gt;&lt;Year&gt;2022&lt;/Year&gt;&lt;Details&gt;&lt;_alternate_title&gt;Journal of Cleaner Production&lt;/_alternate_title&gt;&lt;_collection_scope&gt;SCIE;EI&lt;/_collection_scope&gt;&lt;_created&gt;64537352&lt;/_created&gt;&lt;_date&gt;2022-01-01&lt;/_date&gt;&lt;_date_display&gt;2022&lt;/_date_display&gt;&lt;_doi&gt;https://doi.org/10.1016/j.jclepro.2022.131924&lt;/_doi&gt;&lt;_impact_factor&gt;   9.297&lt;/_impact_factor&gt;&lt;_isbn&gt;0959-6526&lt;/_isbn&gt;&lt;_journal&gt;Journal of Cleaner Production&lt;/_journal&gt;&lt;_keywords&gt;Sand fixation; Straw checkboard; Growing afforestation; Ecological benefits; Socio-economic benefits&lt;/_keywords&gt;&lt;_modified&gt;64561679&lt;/_modified&gt;&lt;_pages&gt;131924&lt;/_pages&gt;&lt;_url&gt;https://www.sciencedirect.com/science/article/pii/S0959652622015335&lt;/_url&gt;&lt;_volume&gt;358&lt;/_volume&gt;&lt;/Details&gt;&lt;Extra&gt;&lt;DBUID&gt;{F96A950B-833F-4880-A151-76DA2D6A2879}&lt;/DBUID&gt;&lt;/Extra&gt;&lt;/Item&gt;&lt;/References&gt;&lt;/Group&gt;&lt;/Citation&gt;_x000a_"/>
    <w:docVar w:name="NE.Ref{51092F6E-499F-480E-A483-5B5433B8DC54}" w:val=" ADDIN NE.Ref.{51092F6E-499F-480E-A483-5B5433B8DC54}&lt;Citation&gt;&lt;Group&gt;&lt;References&gt;&lt;Item&gt;&lt;ID&gt;392&lt;/ID&gt;&lt;UID&gt;{0DA94E6E-DB91-4B48-B136-59112C72D797}&lt;/UID&gt;&lt;Title&gt;Accelerated dryland expansion regulates future variability in dryland gross primary production&lt;/Title&gt;&lt;Template&gt;Journal Article&lt;/Template&gt;&lt;Star&gt;0&lt;/Star&gt;&lt;Tag&gt;0&lt;/Tag&gt;&lt;Author&gt;Yao, Jingyu; Liu, Heping; Huang, Jianping; Gao, Zhongming; Wang, Guoyin; Li, Dan; Yu, Haipeng; Chen, Xingyuan&lt;/Author&gt;&lt;Year&gt;2020&lt;/Year&gt;&lt;Details&gt;&lt;_alternate_title&gt;Nature Communications&lt;/_alternate_title&gt;&lt;_date_display&gt;2020&lt;/_date_display&gt;&lt;_date&gt;2020-01-01&lt;/_date&gt;&lt;_doi&gt;10.1038/s41467-020-15515-2&lt;/_doi&gt;&lt;_isbn&gt;2041-1723&lt;/_isbn&gt;&lt;_issue&gt;1&lt;/_issue&gt;&lt;_journal&gt;Nature Communications&lt;/_journal&gt;&lt;_number&gt;Yao2020&lt;/_number&gt;&lt;_pages&gt;1665&lt;/_pages&gt;&lt;_url&gt;https://doi.org/10.1038/s41467-020-15515-2&lt;/_url&gt;&lt;_volume&gt;11&lt;/_volume&gt;&lt;_created&gt;64537209&lt;/_created&gt;&lt;_modified&gt;64537209&lt;/_modified&gt;&lt;_impact_factor&gt;  12.121&lt;/_impact_factor&gt;&lt;_collection_scope&gt;SCI;SCIE&lt;/_collection_scope&gt;&lt;_accessed&gt;64537211&lt;/_accessed&gt;&lt;/Details&gt;&lt;Extra&gt;&lt;DBUID&gt;{F96A950B-833F-4880-A151-76DA2D6A2879}&lt;/DBUID&gt;&lt;/Extra&gt;&lt;/Item&gt;&lt;/References&gt;&lt;/Group&gt;&lt;/Citation&gt;_x000a_"/>
    <w:docVar w:name="NE.Ref{532AF3D6-3B61-45D7-9646-0400A32E008F}" w:val=" ADDIN NE.Ref.{532AF3D6-3B61-45D7-9646-0400A32E008F}&lt;Citation&gt;&lt;Group&gt;&lt;References&gt;&lt;Item&gt;&lt;ID&gt;472&lt;/ID&gt;&lt;UID&gt;{4B30B6FD-77A2-48ED-8963-96550BA1FBA5}&lt;/UID&gt;&lt;Title&gt;Study on Structures and Benefits of Windbreak and Sand-fixation Forests of Sand Region in Yulin&lt;/Title&gt;&lt;Template&gt;Journal Article&lt;/Template&gt;&lt;Star&gt;0&lt;/Star&gt;&lt;Tag&gt;0&lt;/Tag&gt;&lt;Author&gt;Chen; YE; Zhang&lt;/Author&gt;&lt;Year&gt;2012&lt;/Year&gt;&lt;Details&gt;&lt;_issue&gt;-&lt;/_issue&gt;&lt;_journal&gt;ADV MATER RES-SWITZ&lt;/_journal&gt;&lt;_pages&gt;2078-2082&lt;/_pages&gt;&lt;_volume&gt;2012,524-527&lt;/_volume&gt;&lt;_created&gt;64537360&lt;/_created&gt;&lt;_modified&gt;64537360&lt;/_modified&gt;&lt;/Details&gt;&lt;Extra&gt;&lt;DBUID&gt;{F96A950B-833F-4880-A151-76DA2D6A2879}&lt;/DBUID&gt;&lt;/Extra&gt;&lt;/Item&gt;&lt;/References&gt;&lt;/Group&gt;&lt;/Citation&gt;_x000a_"/>
    <w:docVar w:name="NE.Ref{57A35320-10B8-4774-87EA-6CEAB04D3D99}" w:val=" ADDIN NE.Ref.{57A35320-10B8-4774-87EA-6CEAB04D3D99}&lt;Citation&gt;&lt;Group&gt;&lt;References&gt;&lt;Item&gt;&lt;ID&gt;468&lt;/ID&gt;&lt;UID&gt;{5ECEA174-A890-4D7A-84A6-88D9A32244D9}&lt;/UID&gt;&lt;Title&gt;Planning sustainable urban landscape under the stress of climate change in the drylands of northern China: A scenario analysis based on LUSD-urban model&lt;/Title&gt;&lt;Template&gt;Journal Article&lt;/Template&gt;&lt;Star&gt;0&lt;/Star&gt;&lt;Tag&gt;0&lt;/Tag&gt;&lt;Author&gt;Liu, Zhifeng; He, Chunyang; Yang, Yanjie; Fang, Zihang&lt;/Author&gt;&lt;Year&gt;2020&lt;/Year&gt;&lt;Details&gt;&lt;_alternate_title&gt;Journal of Cleaner Production&lt;/_alternate_title&gt;&lt;_date_display&gt;2020&lt;/_date_display&gt;&lt;_date&gt;2020-01-01&lt;/_date&gt;&lt;_doi&gt;https://doi.org/10.1016/j.jclepro.2019.118709&lt;/_doi&gt;&lt;_isbn&gt;0959-6526&lt;/_isbn&gt;&lt;_journal&gt;Journal of Cleaner Production&lt;/_journal&gt;&lt;_keywords&gt;Climate change; Dryland; Urban landscape dynamics; Geodesign; Landscape sustainability&lt;/_keywords&gt;&lt;_pages&gt;118709&lt;/_pages&gt;&lt;_url&gt;https://www.sciencedirect.com/science/article/pii/S0959652619335796&lt;/_url&gt;&lt;_volume&gt;244&lt;/_volume&gt;&lt;_created&gt;64537359&lt;/_created&gt;&lt;_modified&gt;64537359&lt;/_modified&gt;&lt;_impact_factor&gt;   7.246&lt;/_impact_factor&gt;&lt;_collection_scope&gt;SCIE;EI&lt;/_collection_scope&gt;&lt;/Details&gt;&lt;Extra&gt;&lt;DBUID&gt;{F96A950B-833F-4880-A151-76DA2D6A2879}&lt;/DBUID&gt;&lt;/Extra&gt;&lt;/Item&gt;&lt;/References&gt;&lt;/Group&gt;&lt;/Citation&gt;_x000a_"/>
    <w:docVar w:name="NE.Ref{58354595-1236-4EC2-B149-A5FFA184329E}" w:val=" ADDIN NE.Ref.{58354595-1236-4EC2-B149-A5FFA184329E}&lt;Citation&gt;&lt;Group&gt;&lt;References&gt;&lt;Item&gt;&lt;ID&gt;419&lt;/ID&gt;&lt;UID&gt;{D18B43F4-E3FA-4B11-9E6A-EE0638FA8755}&lt;/UID&gt;&lt;Title&gt;Strategic planning to mitigate mining impacts on protected areas in the Brazilian Amazon&lt;/Title&gt;&lt;Template&gt;Journal Article&lt;/Template&gt;&lt;Star&gt;0&lt;/Star&gt;&lt;Tag&gt;0&lt;/Tag&gt;&lt;Author&gt;Siqueira-Gay, Juliana; Metzger, Jean Paul; Sánchez, Luis E; Sonter, Laura J&lt;/Author&gt;&lt;Year&gt;2022&lt;/Year&gt;&lt;Details&gt;&lt;_alternate_title&gt;Nature Sustainability&lt;/_alternate_title&gt;&lt;_date_display&gt;2022&lt;/_date_display&gt;&lt;_date&gt;2022-01-01&lt;/_date&gt;&lt;_doi&gt;10.1038/s41893-022-00921-9&lt;/_doi&gt;&lt;_isbn&gt;2398-9629&lt;/_isbn&gt;&lt;_journal&gt;Nature Sustainability&lt;/_journal&gt;&lt;_number&gt;Siqueira-Gay2022&lt;/_number&gt;&lt;_url&gt;https://doi.org/10.1038/s41893-022-00921-9&lt;/_url&gt;&lt;_created&gt;64537353&lt;/_created&gt;&lt;_modified&gt;64537353&lt;/_modified&gt;&lt;_impact_factor&gt;  12.080&lt;/_impact_factor&gt;&lt;/Details&gt;&lt;Extra&gt;&lt;DBUID&gt;{F96A950B-833F-4880-A151-76DA2D6A2879}&lt;/DBUID&gt;&lt;/Extra&gt;&lt;/Item&gt;&lt;/References&gt;&lt;/Group&gt;&lt;Group&gt;&lt;References&gt;&lt;Item&gt;&lt;ID&gt;420&lt;/ID&gt;&lt;UID&gt;{49B16A58-B6A3-4572-B127-2EECA51A50AF}&lt;/UID&gt;&lt;Title&gt;What could forest landscape restoration look like in the Ramu-Markham Valley of Papua New Guinea?&lt;/Title&gt;&lt;Template&gt;Journal Article&lt;/Template&gt;&lt;Star&gt;0&lt;/Star&gt;&lt;Tag&gt;0&lt;/Tag&gt;&lt;Author&gt;Wiset, Kanchana; Fisher, Robert; Baynes, Jack; Wampe, Nathan; Thom, Melinda; Jackson, William; Herbohn, John&lt;/Author&gt;&lt;Year&gt;2022&lt;/Year&gt;&lt;Details&gt;&lt;_alternate_title&gt;Land Use Policy&lt;/_alternate_title&gt;&lt;_date_display&gt;2022&lt;/_date_display&gt;&lt;_date&gt;2022-01-01&lt;/_date&gt;&lt;_doi&gt;https://doi.org/10.1016/j.landusepol.2022.106322&lt;/_doi&gt;&lt;_isbn&gt;0264-8377&lt;/_isbn&gt;&lt;_journal&gt;Land Use Policy&lt;/_journal&gt;&lt;_keywords&gt;Forest landscape restoration; Small-scale tree planting; Agroforestry; Customary land tenure; Local participation; Land use preferences; Papua New Guinea&lt;/_keywords&gt;&lt;_pages&gt;106322&lt;/_pages&gt;&lt;_url&gt;https://www.sciencedirect.com/science/article/pii/S0264837722003490&lt;/_url&gt;&lt;_volume&gt;121&lt;/_volume&gt;&lt;_created&gt;64537354&lt;/_created&gt;&lt;_modified&gt;64537354&lt;/_modified&gt;&lt;_impact_factor&gt;   3.682&lt;/_impact_factor&gt;&lt;_collection_scope&gt;SSCI&lt;/_collection_scope&gt;&lt;/Details&gt;&lt;Extra&gt;&lt;DBUID&gt;{F96A950B-833F-4880-A151-76DA2D6A2879}&lt;/DBUID&gt;&lt;/Extra&gt;&lt;/Item&gt;&lt;/References&gt;&lt;/Group&gt;&lt;/Citation&gt;_x000a_"/>
    <w:docVar w:name="NE.Ref{60367AD7-3349-4678-A954-241820015195}" w:val=" ADDIN NE.Ref.{60367AD7-3349-4678-A954-241820015195}&lt;Citation&gt;&lt;Group&gt;&lt;References&gt;&lt;Item&gt;&lt;ID&gt;404&lt;/ID&gt;&lt;UID&gt;{64DFDDAA-E912-4306-8DB3-05DFF6C905F1}&lt;/UID&gt;&lt;Title&gt;Climate legacies drive the distribution and future restoration potential of dryland forests&lt;/Title&gt;&lt;Template&gt;Journal Article&lt;/Template&gt;&lt;Star&gt;0&lt;/Star&gt;&lt;Tag&gt;0&lt;/Tag&gt;&lt;Author&gt;Guirado, Emilio; Delgado-Baquerizo, Manuel; Martínez-Valderrama, Jaime; Tabik, Siham; Alcaraz-Segura, Domingo; Maestre, Fernando T&lt;/Author&gt;&lt;Year&gt;2022&lt;/Year&gt;&lt;Details&gt;&lt;_alternate_title&gt;Nature Plants&lt;/_alternate_title&gt;&lt;_collection_scope&gt;SCIE&lt;/_collection_scope&gt;&lt;_created&gt;64537351&lt;/_created&gt;&lt;_date&gt;2022-01-01&lt;/_date&gt;&lt;_date_display&gt;2022&lt;/_date_display&gt;&lt;_doi&gt;10.1038/s41477-022-01198-8&lt;/_doi&gt;&lt;_impact_factor&gt;  15.793&lt;/_impact_factor&gt;&lt;_isbn&gt;2055-0278&lt;/_isbn&gt;&lt;_issue&gt;8&lt;/_issue&gt;&lt;_journal&gt;Nature Plants&lt;/_journal&gt;&lt;_modified&gt;64554808&lt;/_modified&gt;&lt;_number&gt;Guirado2022&lt;/_number&gt;&lt;_pages&gt;879-886&lt;/_pages&gt;&lt;_url&gt;https://doi.org/10.1038/s41477-022-01198-8&lt;/_url&gt;&lt;_volume&gt;8&lt;/_volume&gt;&lt;/Details&gt;&lt;Extra&gt;&lt;DBUID&gt;{F96A950B-833F-4880-A151-76DA2D6A2879}&lt;/DBUID&gt;&lt;/Extra&gt;&lt;/Item&gt;&lt;/References&gt;&lt;/Group&gt;&lt;/Citation&gt;_x000a_"/>
    <w:docVar w:name="NE.Ref{635882E2-98E5-4889-96E7-919FF74CB08D}" w:val=" ADDIN NE.Ref.{635882E2-98E5-4889-96E7-919FF74CB08D}&lt;Citation&gt;&lt;Group&gt;&lt;References&gt;&lt;Item&gt;&lt;ID&gt;409&lt;/ID&gt;&lt;UID&gt;{2D60FE16-EACD-4262-9432-82326EB2C9F9}&lt;/UID&gt;&lt;Title&gt;Straw checkboard or Afforestation?—Assessment and comparison of combined benefits of two typical sand fixing models&lt;/Title&gt;&lt;Template&gt;Journal Article&lt;/Template&gt;&lt;Star&gt;0&lt;/Star&gt;&lt;Tag&gt;0&lt;/Tag&gt;&lt;Author&gt;Rong, Yuejing; Yan, Yan; Zhao, Chunli; Wang, Chenxing; Shang, Xu; Zhu, Jieyuan; Li, Kai; Yang, Shanshan; Lu, Huiting; Zheng, Tianchen; Zheng, Lifu&lt;/Author&gt;&lt;Year&gt;2022&lt;/Year&gt;&lt;Details&gt;&lt;_alternate_title&gt;Journal of Cleaner Production&lt;/_alternate_title&gt;&lt;_date_display&gt;2022&lt;/_date_display&gt;&lt;_date&gt;2022-01-01&lt;/_date&gt;&lt;_doi&gt;https://doi.org/10.1016/j.jclepro.2022.131924&lt;/_doi&gt;&lt;_isbn&gt;0959-6526&lt;/_isbn&gt;&lt;_journal&gt;Journal of Cleaner Production&lt;/_journal&gt;&lt;_keywords&gt;Sand fixation; Straw checkboard; Growing afforestation; Ecological benefits; Socio-economic benefits&lt;/_keywords&gt;&lt;_pages&gt;131924&lt;/_pages&gt;&lt;_url&gt;https://www.sciencedirect.com/science/article/pii/S0959652622015335&lt;/_url&gt;&lt;_volume&gt;358&lt;/_volume&gt;&lt;_created&gt;64537352&lt;/_created&gt;&lt;_modified&gt;64537352&lt;/_modified&gt;&lt;_impact_factor&gt;   7.246&lt;/_impact_factor&gt;&lt;_collection_scope&gt;SCIE;EI&lt;/_collection_scope&gt;&lt;/Details&gt;&lt;Extra&gt;&lt;DBUID&gt;{F96A950B-833F-4880-A151-76DA2D6A2879}&lt;/DBUID&gt;&lt;/Extra&gt;&lt;/Item&gt;&lt;/References&gt;&lt;/Group&gt;&lt;/Citation&gt;_x000a_"/>
    <w:docVar w:name="NE.Ref{6499B485-1C68-4A9C-B480-669A9C8CFFC7}" w:val=" ADDIN NE.Ref.{6499B485-1C68-4A9C-B480-669A9C8CFFC7}&lt;Citation&gt;&lt;Group&gt;&lt;References&gt;&lt;Item&gt;&lt;ID&gt;443&lt;/ID&gt;&lt;UID&gt;{02EFC6C1-4E22-4B06-B941-858435442616}&lt;/UID&gt;&lt;Title&gt;Ecological restoration programs dominate vegetation greening in China&lt;/Title&gt;&lt;Template&gt;Journal Article&lt;/Template&gt;&lt;Star&gt;0&lt;/Star&gt;&lt;Tag&gt;0&lt;/Tag&gt;&lt;Author&gt;Song, Wenqi; Feng, Yuhao; Wang, Zhiheng&lt;/Author&gt;&lt;Year&gt;2022&lt;/Year&gt;&lt;Details&gt;&lt;_alternate_title&gt;Science of The Total Environment&lt;/_alternate_title&gt;&lt;_date_display&gt;2022&lt;/_date_display&gt;&lt;_date&gt;2022-01-01&lt;/_date&gt;&lt;_doi&gt;https://doi.org/10.1016/j.scitotenv.2022.157729&lt;/_doi&gt;&lt;_isbn&gt;0048-9697&lt;/_isbn&gt;&lt;_journal&gt;Science of The Total Environment&lt;/_journal&gt;&lt;_keywords&gt;NDVI; Ecological restoration programs; Climate change&lt;/_keywords&gt;&lt;_pages&gt;157729&lt;/_pages&gt;&lt;_url&gt;https://www.sciencedirect.com/science/article/pii/S0048969722048288&lt;/_url&gt;&lt;_volume&gt;848&lt;/_volume&gt;&lt;_created&gt;64537356&lt;/_created&gt;&lt;_modified&gt;64537356&lt;/_modified&gt;&lt;_impact_factor&gt;   6.551&lt;/_impact_factor&gt;&lt;_collection_scope&gt;SCI;SCIE;EI&lt;/_collection_scope&gt;&lt;/Details&gt;&lt;Extra&gt;&lt;DBUID&gt;{F96A950B-833F-4880-A151-76DA2D6A2879}&lt;/DBUID&gt;&lt;/Extra&gt;&lt;/Item&gt;&lt;/References&gt;&lt;/Group&gt;&lt;/Citation&gt;_x000a_"/>
    <w:docVar w:name="NE.Ref{652D4469-5C5D-4050-ABFF-EAEAFA79FDAA}" w:val=" ADDIN NE.Ref.{652D4469-5C5D-4050-ABFF-EAEAFA79FDAA}&lt;Citation&gt;&lt;Group&gt;&lt;References&gt;&lt;Item&gt;&lt;ID&gt;408&lt;/ID&gt;&lt;UID&gt;{4899B10D-7913-4B4D-AB77-28256169FCC9}&lt;/UID&gt;&lt;Title&gt;Assessment of the effects of ecological restoration projects on soil wind erosion in northern China in the past two decades&lt;/Title&gt;&lt;Template&gt;Journal Article&lt;/Template&gt;&lt;Star&gt;0&lt;/Star&gt;&lt;Tag&gt;0&lt;/Tag&gt;&lt;Author&gt;Du, Heqiang; Liu, Xiufan; Jia, Xiaopeng; Li, Sen; Fan, Yawei&lt;/Author&gt;&lt;Year&gt;2022&lt;/Year&gt;&lt;Details&gt;&lt;_alternate_title&gt;CATENA&lt;/_alternate_title&gt;&lt;_collection_scope&gt;SCI;SCIE&lt;/_collection_scope&gt;&lt;_created&gt;64537352&lt;/_created&gt;&lt;_date&gt;2022-01-01&lt;/_date&gt;&lt;_date_display&gt;2022&lt;/_date_display&gt;&lt;_doi&gt;https://doi.org/10.1016/j.catena.2022.106360&lt;/_doi&gt;&lt;_impact_factor&gt;   5.198&lt;/_impact_factor&gt;&lt;_isbn&gt;0341-8162&lt;/_isbn&gt;&lt;_journal&gt;CATENA&lt;/_journal&gt;&lt;_keywords&gt;Climatic fluctuations; Ecological restoration projects; Northern China; RWEQ; Wind erosion&lt;/_keywords&gt;&lt;_modified&gt;64561678&lt;/_modified&gt;&lt;_pages&gt;106360&lt;/_pages&gt;&lt;_url&gt;https://www.sciencedirect.com/science/article/pii/S0341816222003460&lt;/_url&gt;&lt;_volume&gt;215&lt;/_volume&gt;&lt;/Details&gt;&lt;Extra&gt;&lt;DBUID&gt;{F96A950B-833F-4880-A151-76DA2D6A2879}&lt;/DBUID&gt;&lt;/Extra&gt;&lt;/Item&gt;&lt;/References&gt;&lt;/Group&gt;&lt;/Citation&gt;_x000a_"/>
    <w:docVar w:name="NE.Ref{6613004C-E7B3-43C9-8884-B069F5E27F5C}" w:val=" ADDIN NE.Ref.{6613004C-E7B3-43C9-8884-B069F5E27F5C}&lt;Citation&gt;&lt;Group&gt;&lt;References&gt;&lt;Item&gt;&lt;ID&gt;396&lt;/ID&gt;&lt;UID&gt;{C9D7CF53-8AC7-4CF0-810A-B8F8D81C6319}&lt;/UID&gt;&lt;Title&gt;Deforestation intensifies hot days&lt;/Title&gt;&lt;Template&gt;Journal Article&lt;/Template&gt;&lt;Star&gt;0&lt;/Star&gt;&lt;Tag&gt;0&lt;/Tag&gt;&lt;Author&gt;Stoy, Paul C&lt;/Author&gt;&lt;Year&gt;2018&lt;/Year&gt;&lt;Details&gt;&lt;_alternate_title&gt;Nature Climate Change&lt;/_alternate_title&gt;&lt;_date_display&gt;2018&lt;/_date_display&gt;&lt;_date&gt;2018-01-01&lt;/_date&gt;&lt;_doi&gt;10.1038/s41558-018-0153-6&lt;/_doi&gt;&lt;_isbn&gt;1758-6798&lt;/_isbn&gt;&lt;_issue&gt;5&lt;/_issue&gt;&lt;_journal&gt;Nature Climate Change&lt;/_journal&gt;&lt;_number&gt;Stoy2018&lt;/_number&gt;&lt;_pages&gt;366-368&lt;/_pages&gt;&lt;_url&gt;https://doi.org/10.1038/s41558-018-0153-6&lt;/_url&gt;&lt;_volume&gt;8&lt;/_volume&gt;&lt;_created&gt;64537350&lt;/_created&gt;&lt;_modified&gt;64537350&lt;/_modified&gt;&lt;_impact_factor&gt;  20.893&lt;/_impact_factor&gt;&lt;_collection_scope&gt;SCIE;SSCI&lt;/_collection_scope&gt;&lt;/Details&gt;&lt;Extra&gt;&lt;DBUID&gt;{F96A950B-833F-4880-A151-76DA2D6A2879}&lt;/DBUID&gt;&lt;/Extra&gt;&lt;/Item&gt;&lt;/References&gt;&lt;/Group&gt;&lt;/Citation&gt;_x000a_"/>
    <w:docVar w:name="NE.Ref{6C80A951-C96A-46A5-A45C-257E476C8A0B}" w:val=" ADDIN NE.Ref.{6C80A951-C96A-46A5-A45C-257E476C8A0B}&lt;Citation&gt;&lt;Group&gt;&lt;References&gt;&lt;Item&gt;&lt;ID&gt;422&lt;/ID&gt;&lt;UID&gt;{DEF58508-BE0E-40ED-BE42-58E1F37FF760}&lt;/UID&gt;&lt;Title&gt;Distribution of ecological restoration projects associated with land use and land cover change in China and their ecological impacts&lt;/Title&gt;&lt;Template&gt;Journal Article&lt;/Template&gt;&lt;Star&gt;0&lt;/Star&gt;&lt;Tag&gt;0&lt;/Tag&gt;&lt;Author&gt;Chen, Xin; Yu, Le; Du, Zhenrong; Xu, Yidi; Zhao, Jiyao; Zhao, Haile; Zhang, Guoliang; Peng, Dailiang; Gong, Peng&lt;/Author&gt;&lt;Year&gt;2022&lt;/Year&gt;&lt;Details&gt;&lt;_alternate_title&gt;Science of The Total Environment&lt;/_alternate_title&gt;&lt;_date_display&gt;2022&lt;/_date_display&gt;&lt;_date&gt;2022-01-01&lt;/_date&gt;&lt;_doi&gt;https://doi.org/10.1016/j.scitotenv.2022.153938&lt;/_doi&gt;&lt;_isbn&gt;0048-9697&lt;/_isbn&gt;&lt;_journal&gt;Science of The Total Environment&lt;/_journal&gt;&lt;_keywords&gt;Ecological restoration projects; Ecological impacts; Satellite-based observations; Google Earth Engine; InVEST&lt;/_keywords&gt;&lt;_pages&gt;153938&lt;/_pages&gt;&lt;_url&gt;https://www.sciencedirect.com/science/article/pii/S0048969722010300&lt;/_url&gt;&lt;_volume&gt;825&lt;/_volume&gt;&lt;_created&gt;64537354&lt;/_created&gt;&lt;_modified&gt;64537354&lt;/_modified&gt;&lt;_impact_factor&gt;   6.551&lt;/_impact_factor&gt;&lt;_collection_scope&gt;SCI;SCIE;EI&lt;/_collection_scope&gt;&lt;/Details&gt;&lt;Extra&gt;&lt;DBUID&gt;{F96A950B-833F-4880-A151-76DA2D6A2879}&lt;/DBUID&gt;&lt;/Extra&gt;&lt;/Item&gt;&lt;/References&gt;&lt;/Group&gt;&lt;/Citation&gt;_x000a_"/>
    <w:docVar w:name="NE.Ref{6E6ABE2B-96F9-4666-99B0-A549455A2567}" w:val=" ADDIN NE.Ref.{6E6ABE2B-96F9-4666-99B0-A549455A2567}&lt;Citation&gt;&lt;Group&gt;&lt;References&gt;&lt;Item&gt;&lt;ID&gt;407&lt;/ID&gt;&lt;UID&gt;{E1865D2C-5C50-42CD-A413-ABA6C08133DE}&lt;/UID&gt;&lt;Title&gt;Evaluating and simulating resource and environmental carrying capacity in arid and semiarid regions: A case study of Xinjiang, China&lt;/Title&gt;&lt;Template&gt;Journal Article&lt;/Template&gt;&lt;Star&gt;0&lt;/Star&gt;&lt;Tag&gt;0&lt;/Tag&gt;&lt;Author&gt;Han, Chuqiao; Zheng, Jianghua; Guan, Jingyun; Yu, Danlin; Lu, Binbin&lt;/Author&gt;&lt;Year&gt;2022&lt;/Year&gt;&lt;Details&gt;&lt;_alternate_title&gt;Journal of Cleaner Production&lt;/_alternate_title&gt;&lt;_date_display&gt;2022&lt;/_date_display&gt;&lt;_date&gt;2022-01-01&lt;/_date&gt;&lt;_doi&gt;https://doi.org/10.1016/j.jclepro.2022.130646&lt;/_doi&gt;&lt;_isbn&gt;0959-6526&lt;/_isbn&gt;&lt;_journal&gt;Journal of Cleaner Production&lt;/_journal&gt;&lt;_keywords&gt;Resources and environmental carrying capacity (RECC); Arid and semiarid; Spatiotemporal evolution; Ordered Weighted Average (OWA); Sustainable development; China&lt;/_keywords&gt;&lt;_pages&gt;130646&lt;/_pages&gt;&lt;_url&gt;https://www.sciencedirect.com/science/article/pii/S0959652622002864&lt;/_url&gt;&lt;_volume&gt;338&lt;/_volume&gt;&lt;_created&gt;64537352&lt;/_created&gt;&lt;_modified&gt;64537352&lt;/_modified&gt;&lt;_impact_factor&gt;   7.246&lt;/_impact_factor&gt;&lt;_collection_scope&gt;SCIE;EI&lt;/_collection_scope&gt;&lt;/Details&gt;&lt;Extra&gt;&lt;DBUID&gt;{F96A950B-833F-4880-A151-76DA2D6A2879}&lt;/DBUID&gt;&lt;/Extra&gt;&lt;/Item&gt;&lt;/References&gt;&lt;/Group&gt;&lt;Group&gt;&lt;References&gt;&lt;Item&gt;&lt;ID&gt;461&lt;/ID&gt;&lt;UID&gt;{02410204-EBD1-4755-8BEE-4AD52322A5FA}&lt;/UID&gt;&lt;Title&gt;Balance of water supply and consumption during ecological restoration in arid regions of Inner Mongolia, China&lt;/Title&gt;&lt;Template&gt;Journal Article&lt;/Template&gt;&lt;Star&gt;0&lt;/Star&gt;&lt;Tag&gt;0&lt;/Tag&gt;&lt;Author&gt;Zhang, Xiaoyu; Xu, Duanyang; Wang, Ziyu; Zhang, Yue&lt;/Author&gt;&lt;Year&gt;2021&lt;/Year&gt;&lt;Details&gt;&lt;_alternate_title&gt;Journal of Arid Environments&lt;/_alternate_title&gt;&lt;_date_display&gt;2021&lt;/_date_display&gt;&lt;_date&gt;2021-01-01&lt;/_date&gt;&lt;_doi&gt;https://doi.org/10.1016/j.jaridenv.2020.104406&lt;/_doi&gt;&lt;_isbn&gt;0140-1963&lt;/_isbn&gt;&lt;_journal&gt;Journal of Arid Environments&lt;/_journal&gt;&lt;_keywords&gt;Ecological restoration; Arid region; Water-resource balance; Simulation&lt;/_keywords&gt;&lt;_pages&gt;104406&lt;/_pages&gt;&lt;_url&gt;https://www.sciencedirect.com/science/article/pii/S0140196320303050&lt;/_url&gt;&lt;_volume&gt;186&lt;/_volume&gt;&lt;_created&gt;64537359&lt;/_created&gt;&lt;_modified&gt;64537359&lt;/_modified&gt;&lt;_impact_factor&gt;   1.830&lt;/_impact_factor&gt;&lt;_collection_scope&gt;SCI;SCIE&lt;/_collection_scope&gt;&lt;/Details&gt;&lt;Extra&gt;&lt;DBUID&gt;{F96A950B-833F-4880-A151-76DA2D6A2879}&lt;/DBUID&gt;&lt;/Extra&gt;&lt;/Item&gt;&lt;/References&gt;&lt;/Group&gt;&lt;/Citation&gt;_x000a_"/>
    <w:docVar w:name="NE.Ref{71EB2B78-40DD-4320-BD59-0AFE2602A523}" w:val=" ADDIN NE.Ref.{71EB2B78-40DD-4320-BD59-0AFE2602A523}&lt;Citation&gt;&lt;Group&gt;&lt;References&gt;&lt;Item&gt;&lt;ID&gt;441&lt;/ID&gt;&lt;UID&gt;{12E01186-BCCA-4A6D-A016-B124B00D4B94}&lt;/UID&gt;&lt;Title&gt;Evidence of green space sparing to ecosystem service improvement in urban regions: A case study of China’s Ecological Red Line policy&lt;/Title&gt;&lt;Template&gt;Journal Article&lt;/Template&gt;&lt;Star&gt;0&lt;/Star&gt;&lt;Tag&gt;0&lt;/Tag&gt;&lt;Author&gt;Hu, Tian; Peng, Jian; Liu, Yanxu; Wu, Jiansheng; Li, Weifeng; Zhou, Bingbing&lt;/Author&gt;&lt;Year&gt;2020&lt;/Year&gt;&lt;Details&gt;&lt;_alternate_title&gt;Journal of Cleaner Production&lt;/_alternate_title&gt;&lt;_date_display&gt;2020&lt;/_date_display&gt;&lt;_date&gt;2020-01-01&lt;/_date&gt;&lt;_doi&gt;https://doi.org/10.1016/j.jclepro.2019.119678&lt;/_doi&gt;&lt;_isbn&gt;0959-6526&lt;/_isbn&gt;&lt;_journal&gt;Journal of Cleaner Production&lt;/_journal&gt;&lt;_keywords&gt;Land-sparing; Land-sharing; Ecosystem service; Greenspace; Ecological red line; Land use&lt;/_keywords&gt;&lt;_pages&gt;119678&lt;/_pages&gt;&lt;_url&gt;https://www.sciencedirect.com/science/article/pii/S0959652619345482&lt;/_url&gt;&lt;_volume&gt;251&lt;/_volume&gt;&lt;_created&gt;64537356&lt;/_created&gt;&lt;_modified&gt;64537356&lt;/_modified&gt;&lt;_impact_factor&gt;   7.246&lt;/_impact_factor&gt;&lt;_collection_scope&gt;SCIE;EI&lt;/_collection_scope&gt;&lt;/Details&gt;&lt;Extra&gt;&lt;DBUID&gt;{F96A950B-833F-4880-A151-76DA2D6A2879}&lt;/DBUID&gt;&lt;/Extra&gt;&lt;/Item&gt;&lt;/References&gt;&lt;/Group&gt;&lt;/Citation&gt;_x000a_"/>
    <w:docVar w:name="NE.Ref{74EC33AD-5A42-4AB8-A663-04F80E53C83C}" w:val=" ADDIN NE.Ref.{74EC33AD-5A42-4AB8-A663-04F80E53C83C}&lt;Citation&gt;&lt;Group&gt;&lt;References&gt;&lt;Item&gt;&lt;ID&gt;439&lt;/ID&gt;&lt;UID&gt;{0BE91275-F935-4DEF-9F6A-CE4C87C3388B}&lt;/UID&gt;&lt;Title&gt;Shifts in regional water availability due to global tree restoration&lt;/Title&gt;&lt;Template&gt;Journal Article&lt;/Template&gt;&lt;Star&gt;0&lt;/Star&gt;&lt;Tag&gt;0&lt;/Tag&gt;&lt;Author&gt;Hoek Van Dijke, Anne J; Herold, Martin; Mallick, Kaniska; Benedict, Imme; Machwitz, Miriam; Schlerf, Martin; Pranindita, Agnes; Theeuwen, Jolanda J E; Bastin, Jean-François; Teuling, Adriaan J&lt;/Author&gt;&lt;Year&gt;2022&lt;/Year&gt;&lt;Details&gt;&lt;_alternate_title&gt;Nature Geoscience&lt;/_alternate_title&gt;&lt;_date_display&gt;2022&lt;/_date_display&gt;&lt;_date&gt;2022-01-01&lt;/_date&gt;&lt;_doi&gt;10.1038/s41561-022-00935-0&lt;/_doi&gt;&lt;_isbn&gt;1752-0908&lt;/_isbn&gt;&lt;_issue&gt;5&lt;/_issue&gt;&lt;_journal&gt;Nature Geoscience&lt;/_journal&gt;&lt;_number&gt;Hoek van Dijke2022&lt;/_number&gt;&lt;_pages&gt;363-368&lt;/_pages&gt;&lt;_url&gt;https://doi.org/10.1038/s41561-022-00935-0&lt;/_url&gt;&lt;_volume&gt;15&lt;/_volume&gt;&lt;_created&gt;64537356&lt;/_created&gt;&lt;_modified&gt;64537356&lt;/_modified&gt;&lt;_impact_factor&gt;  13.566&lt;/_impact_factor&gt;&lt;_collection_scope&gt;SCI;SCIE&lt;/_collection_scope&gt;&lt;/Details&gt;&lt;Extra&gt;&lt;DBUID&gt;{F96A950B-833F-4880-A151-76DA2D6A2879}&lt;/DBUID&gt;&lt;/Extra&gt;&lt;/Item&gt;&lt;/References&gt;&lt;/Group&gt;&lt;/Citation&gt;_x000a_"/>
    <w:docVar w:name="NE.Ref{76D5231C-BB41-41C6-A49F-47831E967B13}" w:val=" ADDIN NE.Ref.{76D5231C-BB41-41C6-A49F-47831E967B13}&lt;Citation&gt;&lt;Group&gt;&lt;References&gt;&lt;Item&gt;&lt;ID&gt;392&lt;/ID&gt;&lt;UID&gt;{0DA94E6E-DB91-4B48-B136-59112C72D797}&lt;/UID&gt;&lt;Title&gt;Accelerated dryland expansion regulates future variability in dryland gross primary production&lt;/Title&gt;&lt;Template&gt;Journal Article&lt;/Template&gt;&lt;Star&gt;0&lt;/Star&gt;&lt;Tag&gt;0&lt;/Tag&gt;&lt;Author&gt;Yao, Jingyu; Liu, Heping; Huang, Jianping; Gao, Zhongming; Wang, Guoyin; Li, Dan; Yu, Haipeng; Chen, Xingyuan&lt;/Author&gt;&lt;Year&gt;2020&lt;/Year&gt;&lt;Details&gt;&lt;_alternate_title&gt;Nature Communications&lt;/_alternate_title&gt;&lt;_date_display&gt;2020&lt;/_date_display&gt;&lt;_date&gt;2020-01-01&lt;/_date&gt;&lt;_doi&gt;10.1038/s41467-020-15515-2&lt;/_doi&gt;&lt;_isbn&gt;2041-1723&lt;/_isbn&gt;&lt;_issue&gt;1&lt;/_issue&gt;&lt;_journal&gt;Nature Communications&lt;/_journal&gt;&lt;_number&gt;Yao2020&lt;/_number&gt;&lt;_pages&gt;1665&lt;/_pages&gt;&lt;_url&gt;https://doi.org/10.1038/s41467-020-15515-2&lt;/_url&gt;&lt;_volume&gt;11&lt;/_volume&gt;&lt;_created&gt;64537209&lt;/_created&gt;&lt;_modified&gt;64537209&lt;/_modified&gt;&lt;_impact_factor&gt;  12.121&lt;/_impact_factor&gt;&lt;_collection_scope&gt;SCI;SCIE&lt;/_collection_scope&gt;&lt;_accessed&gt;64537211&lt;/_accessed&gt;&lt;/Details&gt;&lt;Extra&gt;&lt;DBUID&gt;{F96A950B-833F-4880-A151-76DA2D6A2879}&lt;/DBUID&gt;&lt;/Extra&gt;&lt;/Item&gt;&lt;/References&gt;&lt;/Group&gt;&lt;/Citation&gt;_x000a_"/>
    <w:docVar w:name="NE.Ref{7B0430AF-6C7D-440A-B3F6-8AF1419BF226}" w:val=" ADDIN NE.Ref.{7B0430AF-6C7D-440A-B3F6-8AF1419BF226}&lt;Citation&gt;&lt;Group&gt;&lt;References&gt;&lt;Item&gt;&lt;ID&gt;444&lt;/ID&gt;&lt;UID&gt;{74DB2EE7-F243-41B1-B5E1-F0F728DB1D97}&lt;/UID&gt;&lt;Title&gt;Restoration of ecosystem services and biodiversity: conflicts and opportunities&lt;/Title&gt;&lt;Template&gt;Journal Article&lt;/Template&gt;&lt;Star&gt;0&lt;/Star&gt;&lt;Tag&gt;0&lt;/Tag&gt;&lt;Author&gt;Bullock, James M; Aronson, James; Newton, Adrian C; Pywell, Richard F; Rey-Benayas, Jose M&lt;/Author&gt;&lt;Year&gt;2011&lt;/Year&gt;&lt;Details&gt;&lt;_alternate_title&gt;Trends in Ecology &amp;amp; Evolution&lt;/_alternate_title&gt;&lt;_date_display&gt;2011&lt;/_date_display&gt;&lt;_date&gt;2011-01-01&lt;/_date&gt;&lt;_doi&gt;https://doi.org/10.1016/j.tree.2011.06.011&lt;/_doi&gt;&lt;_isbn&gt;0169-5347&lt;/_isbn&gt;&lt;_issue&gt;10&lt;/_issue&gt;&lt;_journal&gt;Trends in Ecology &amp;amp; Evolution&lt;/_journal&gt;&lt;_pages&gt;541-549&lt;/_pages&gt;&lt;_url&gt;https://www.sciencedirect.com/science/article/pii/S0169534711001777&lt;/_url&gt;&lt;_volume&gt;26&lt;/_volume&gt;&lt;_created&gt;64537357&lt;/_created&gt;&lt;_modified&gt;64537357&lt;/_modified&gt;&lt;_impact_factor&gt;  14.764&lt;/_impact_factor&gt;&lt;_collection_scope&gt;SCI;SCIE&lt;/_collection_scope&gt;&lt;/Details&gt;&lt;Extra&gt;&lt;DBUID&gt;{F96A950B-833F-4880-A151-76DA2D6A2879}&lt;/DBUID&gt;&lt;/Extra&gt;&lt;/Item&gt;&lt;/References&gt;&lt;/Group&gt;&lt;Group&gt;&lt;References&gt;&lt;Item&gt;&lt;ID&gt;445&lt;/ID&gt;&lt;UID&gt;{B553E98E-0645-452A-929E-89A2922A07D6}&lt;/UID&gt;&lt;Title&gt;Equity in ecosystem restoration&lt;/Title&gt;&lt;Template&gt;Journal Article&lt;/Template&gt;&lt;Star&gt;0&lt;/Star&gt;&lt;Tag&gt;0&lt;/Tag&gt;&lt;Author&gt;Wells, Harry B M; Kirobi, Elijah H; Chen, Cadia L; Winowiecki, Leigh A; Vågen, Tor-Gunnar; Ahmad, Muhammad N; Stringer, Lindsay C; Dougill, Andrew J&lt;/Author&gt;&lt;Year&gt;2021&lt;/Year&gt;&lt;Details&gt;&lt;_alternate_title&gt;Restoration EcologyRestoration Ecology&lt;/_alternate_title&gt;&lt;_date_display&gt;2021_x000d__x000a_2021/07/01&lt;/_date_display&gt;&lt;_date&gt;2021-07-01&lt;/_date&gt;&lt;_doi&gt;https://doi.org/10.1111/rec.13385&lt;/_doi&gt;&lt;_isbn&gt;1061-2971&lt;/_isbn&gt;&lt;_issue&gt;5&lt;/_issue&gt;&lt;_journal&gt;Restoration Ecology&lt;/_journal&gt;&lt;_keywords&gt;community-based restoration; equity; invasive alien species; Opuntia stricta; social and environmental justice&lt;/_keywords&gt;&lt;_ori_publication&gt;John Wiley &amp;amp; Sons, Ltd&lt;/_ori_publication&gt;&lt;_pages&gt;e13385&lt;/_pages&gt;&lt;_url&gt;https://doi.org/10.1111/rec.13385&lt;/_url&gt;&lt;_volume&gt;29&lt;/_volume&gt;&lt;_created&gt;64537357&lt;/_created&gt;&lt;_modified&gt;64537357&lt;/_modified&gt;&lt;_impact_factor&gt;   2.721&lt;/_impact_factor&gt;&lt;_collection_scope&gt;SCIE&lt;/_collection_scope&gt;&lt;/Details&gt;&lt;Extra&gt;&lt;DBUID&gt;{F96A950B-833F-4880-A151-76DA2D6A2879}&lt;/DBUID&gt;&lt;/Extra&gt;&lt;/Item&gt;&lt;/References&gt;&lt;/Group&gt;&lt;/Citation&gt;_x000a_"/>
    <w:docVar w:name="NE.Ref{7F6A406D-F0F7-4125-87F1-411E13449FA6}" w:val=" ADDIN NE.Ref.{7F6A406D-F0F7-4125-87F1-411E13449FA6}&lt;Citation&gt;&lt;Group&gt;&lt;References&gt;&lt;Item&gt;&lt;ID&gt;459&lt;/ID&gt;&lt;UID&gt;{4B63755C-EF70-4DDB-B069-334640EF0DBF}&lt;/UID&gt;&lt;Title&gt;Sustainable landscape pattern: a landscape approach to serving spatial planning&lt;/Title&gt;&lt;Template&gt;Journal Article&lt;/Template&gt;&lt;Star&gt;0&lt;/Star&gt;&lt;Tag&gt;0&lt;/Tag&gt;&lt;Author&gt;Dong, Jianquan; Jiang, Hong; Gu, Tianwei; Liu, Yanxu; Peng, Jian&lt;/Author&gt;&lt;Year&gt;2022&lt;/Year&gt;&lt;Details&gt;&lt;_alternate_title&gt;Landscape Ecology&lt;/_alternate_title&gt;&lt;_date_display&gt;2022&lt;/_date_display&gt;&lt;_date&gt;2022-01-01&lt;/_date&gt;&lt;_doi&gt;10.1007/s10980-021-01329-0&lt;/_doi&gt;&lt;_isbn&gt;1572-9761&lt;/_isbn&gt;&lt;_issue&gt;1&lt;/_issue&gt;&lt;_journal&gt;Landscape Ecology&lt;/_journal&gt;&lt;_number&gt;Dong2022&lt;/_number&gt;&lt;_pages&gt;31-42&lt;/_pages&gt;&lt;_url&gt;https://doi.org/10.1007/s10980-021-01329-0&lt;/_url&gt;&lt;_volume&gt;37&lt;/_volume&gt;&lt;_created&gt;64537358&lt;/_created&gt;&lt;_modified&gt;64537358&lt;/_modified&gt;&lt;_impact_factor&gt;   3.385&lt;/_impact_factor&gt;&lt;_collection_scope&gt;SCIE&lt;/_collection_scope&gt;&lt;/Details&gt;&lt;Extra&gt;&lt;DBUID&gt;{F96A950B-833F-4880-A151-76DA2D6A2879}&lt;/DBUID&gt;&lt;/Extra&gt;&lt;/Item&gt;&lt;/References&gt;&lt;/Group&gt;&lt;/Citation&gt;_x000a_"/>
    <w:docVar w:name="NE.Ref{83431EE5-3EA5-4551-A599-4E9579B88FDB}" w:val=" ADDIN NE.Ref.{83431EE5-3EA5-4551-A599-4E9579B88FDB}&lt;Citation&gt;&lt;Group&gt;&lt;References&gt;&lt;Item&gt;&lt;ID&gt;469&lt;/ID&gt;&lt;UID&gt;{6CB54931-06E4-48CC-98BA-09810E15D2BE}&lt;/UID&gt;&lt;Title&gt;Economic efficiency and targeting of the African Great Green Wall&lt;/Title&gt;&lt;Template&gt;Journal Article&lt;/Template&gt;&lt;Star&gt;0&lt;/Star&gt;&lt;Tag&gt;0&lt;/Tag&gt;&lt;Author&gt;Mirzabaev, A; Sacande, M; Motlagh, F; Shyrokaya, A; Martucci, A&lt;/Author&gt;&lt;Year&gt;2022&lt;/Year&gt;&lt;Details&gt;&lt;_alternate_title&gt;Nature Sustainability&lt;/_alternate_title&gt;&lt;_date_display&gt;2022&lt;/_date_display&gt;&lt;_date&gt;2022-01-01&lt;/_date&gt;&lt;_doi&gt;10.1038/s41893-021-00801-8&lt;/_doi&gt;&lt;_isbn&gt;2398-9629&lt;/_isbn&gt;&lt;_issue&gt;1&lt;/_issue&gt;&lt;_journal&gt;Nature Sustainability&lt;/_journal&gt;&lt;_number&gt;Mirzabaev2022&lt;/_number&gt;&lt;_pages&gt;17-25&lt;/_pages&gt;&lt;_url&gt;https://doi.org/10.1038/s41893-021-00801-8&lt;/_url&gt;&lt;_volume&gt;5&lt;/_volume&gt;&lt;_created&gt;64537359&lt;/_created&gt;&lt;_modified&gt;64537359&lt;/_modified&gt;&lt;_impact_factor&gt;  12.080&lt;/_impact_factor&gt;&lt;/Details&gt;&lt;Extra&gt;&lt;DBUID&gt;{F96A950B-833F-4880-A151-76DA2D6A2879}&lt;/DBUID&gt;&lt;/Extra&gt;&lt;/Item&gt;&lt;/References&gt;&lt;/Group&gt;&lt;/Citation&gt;_x000a_"/>
    <w:docVar w:name="NE.Ref{83845F60-F5E0-49A0-9421-E72E9096D23D}" w:val=" ADDIN NE.Ref.{83845F60-F5E0-49A0-9421-E72E9096D23D}&lt;Citation&gt;&lt;Group&gt;&lt;References&gt;&lt;Item&gt;&lt;ID&gt;481&lt;/ID&gt;&lt;UID&gt;{E76B2891-85D4-4648-AC78-79E4467E58DC}&lt;/UID&gt;&lt;Title&gt;Achieving a fit between social and ecological systems in drylands for sustainability&lt;/Title&gt;&lt;Template&gt;Journal Article&lt;/Template&gt;&lt;Star&gt;0&lt;/Star&gt;&lt;Tag&gt;0&lt;/Tag&gt;&lt;Author&gt;Wang, Shuai; Song, Shuang; Zhang, Junze; Wu, Xutong; Fu, Bojie&lt;/Author&gt;&lt;Year&gt;2021&lt;/Year&gt;&lt;Details&gt;&lt;_alternate_title&gt;Current Opinion in Environmental SustainabilityThe dryland social-ecological systems in changing environments&lt;/_alternate_title&gt;&lt;_date_display&gt;2021&lt;/_date_display&gt;&lt;_date&gt;2021-01-01&lt;/_date&gt;&lt;_doi&gt;https://doi.org/10.1016/j.cosust.2020.09.008&lt;/_doi&gt;&lt;_isbn&gt;1877-3435&lt;/_isbn&gt;&lt;_journal&gt;Current Opinion in Environmental Sustainability&lt;/_journal&gt;&lt;_pages&gt;53-58&lt;/_pages&gt;&lt;_url&gt;https://www.sciencedirect.com/science/article/pii/S1877343520300828&lt;/_url&gt;&lt;_volume&gt;48&lt;/_volume&gt;&lt;_created&gt;64553000&lt;/_created&gt;&lt;_modified&gt;64553000&lt;/_modified&gt;&lt;_impact_factor&gt;   5.658&lt;/_impact_factor&gt;&lt;_collection_scope&gt;SCIE&lt;/_collection_scope&gt;&lt;/Details&gt;&lt;Extra&gt;&lt;DBUID&gt;{F96A950B-833F-4880-A151-76DA2D6A2879}&lt;/DBUID&gt;&lt;/Extra&gt;&lt;/Item&gt;&lt;/References&gt;&lt;/Group&gt;&lt;/Citation&gt;_x000a_"/>
    <w:docVar w:name="NE.Ref{83B73B7E-6E81-46D8-80F3-994FD856BCF8}" w:val=" ADDIN NE.Ref.{83B73B7E-6E81-46D8-80F3-994FD856BCF8}&lt;Citation&gt;&lt;Group&gt;&lt;References&gt;&lt;Item&gt;&lt;ID&gt;442&lt;/ID&gt;&lt;UID&gt;{47902ABF-29E4-44B0-996C-3E3333F8F669}&lt;/UID&gt;&lt;Title&gt;Enhancing climate change resilience of ecological restoration — A framework for action&lt;/Title&gt;&lt;Template&gt;Journal Article&lt;/Template&gt;&lt;Star&gt;0&lt;/Star&gt;&lt;Tag&gt;0&lt;/Tag&gt;&lt;Author&gt;Simonson, William D; Miller, Ellen; Jones, Alastair; García-Rangel, Shaenandhoa; Thornton, Hazel; McOwen, Chris&lt;/Author&gt;&lt;Year&gt;2021&lt;/Year&gt;&lt;Details&gt;&lt;_alternate_title&gt;Perspectives in Ecology and Conservation&lt;/_alternate_title&gt;&lt;_date_display&gt;2021&lt;/_date_display&gt;&lt;_date&gt;2021-01-01&lt;/_date&gt;&lt;_doi&gt;https://doi.org/10.1016/j.pecon.2021.05.002&lt;/_doi&gt;&lt;_isbn&gt;2530-0644&lt;/_isbn&gt;&lt;_issue&gt;3&lt;/_issue&gt;&lt;_journal&gt;Perspectives in Ecology and Conservation&lt;/_journal&gt;&lt;_keywords&gt;Ecological restoration; Climate change; Adaptation; Resilience&lt;/_keywords&gt;&lt;_pages&gt;300-310&lt;/_pages&gt;&lt;_url&gt;https://www.sciencedirect.com/science/article/pii/S253006442100050X&lt;/_url&gt;&lt;_volume&gt;19&lt;/_volume&gt;&lt;_created&gt;64537356&lt;/_created&gt;&lt;_modified&gt;64537356&lt;/_modified&gt;&lt;_impact_factor&gt;   3.563&lt;/_impact_factor&gt;&lt;_collection_scope&gt;SCIE&lt;/_collection_scope&gt;&lt;/Details&gt;&lt;Extra&gt;&lt;DBUID&gt;{F96A950B-833F-4880-A151-76DA2D6A2879}&lt;/DBUID&gt;&lt;/Extra&gt;&lt;/Item&gt;&lt;/References&gt;&lt;/Group&gt;&lt;/Citation&gt;_x000a_"/>
    <w:docVar w:name="NE.Ref{85243C6C-2C2A-49F8-8D50-A464325622EE}" w:val=" ADDIN NE.Ref.{85243C6C-2C2A-49F8-8D50-A464325622EE}&lt;Citation&gt;&lt;Group&gt;&lt;References&gt;&lt;Item&gt;&lt;ID&gt;402&lt;/ID&gt;&lt;UID&gt;{A29F6B5F-44A2-4FC9-B5CF-540E821D7E77}&lt;/UID&gt;&lt;Title&gt;Simulating the potential for ecological restoration of dryland forests in Mexico under different disturbance regimes&lt;/Title&gt;&lt;Template&gt;Journal Article&lt;/Template&gt;&lt;Star&gt;0&lt;/Star&gt;&lt;Tag&gt;0&lt;/Tag&gt;&lt;Author&gt;Cantarello, Elena; Newton, Adrian C; Hill, Ross A; Tejedor-Garavito, Natalia; Williams-Linera, Guadalupe; López-Barrera, Fabiola; Manson, Robert H; Golicher, Duncan J&lt;/Author&gt;&lt;Year&gt;2011&lt;/Year&gt;&lt;Details&gt;&lt;_alternate_title&gt;Ecological Modelling&lt;/_alternate_title&gt;&lt;_collection_scope&gt;SCI;SCIE;EI&lt;/_collection_scope&gt;&lt;_created&gt;64537351&lt;/_created&gt;&lt;_date&gt;2011-01-01&lt;/_date&gt;&lt;_date_display&gt;2011&lt;/_date_display&gt;&lt;_doi&gt;https://doi.org/10.1016/j.ecolmodel.2010.12.019&lt;/_doi&gt;&lt;_impact_factor&gt;   2.497&lt;/_impact_factor&gt;&lt;_isbn&gt;0304-3800&lt;/_isbn&gt;&lt;_issue&gt;5&lt;/_issue&gt;&lt;_journal&gt;Ecological Modelling&lt;/_journal&gt;&lt;_keywords&gt;Landscape modelling; Tropical dry forest; Forest dynamics; Forest succession; Ecological restoration; Human disturbance; Fire and grazing regimes&lt;/_keywords&gt;&lt;_modified&gt;64537351&lt;/_modified&gt;&lt;_pages&gt;1112-1128&lt;/_pages&gt;&lt;_url&gt;https://www.sciencedirect.com/science/article/pii/S030438001000685X&lt;/_url&gt;&lt;_volume&gt;222&lt;/_volume&gt;&lt;/Details&gt;&lt;Extra&gt;&lt;DBUID&gt;{F96A950B-833F-4880-A151-76DA2D6A2879}&lt;/DBUID&gt;&lt;/Extra&gt;&lt;/Item&gt;&lt;/References&gt;&lt;/Group&gt;&lt;/Citation&gt;_x000a_"/>
    <w:docVar w:name="NE.Ref{8697CAF7-7FEF-4FCC-93D5-6E73790E77C0}" w:val=" ADDIN NE.Ref.{8697CAF7-7FEF-4FCC-93D5-6E73790E77C0}&lt;Citation&gt;&lt;Group&gt;&lt;References&gt;&lt;Item&gt;&lt;ID&gt;411&lt;/ID&gt;&lt;UID&gt;{EDBA306C-0BDD-4F5F-A1EE-7D4451B8DCFD}&lt;/UID&gt;&lt;Title&gt;Assessing impacts of the Ecological Retreat project on water conservation in the Yellow River Basin&lt;/Title&gt;&lt;Template&gt;Journal Article&lt;/Template&gt;&lt;Star&gt;0&lt;/Star&gt;&lt;Tag&gt;0&lt;/Tag&gt;&lt;Author&gt;Jia, Guanyu; Hu, Wenmin; Zhang, Bin; Li, Guo; Shen, Shouyun; Gao, Zhihai; Li, Yi&lt;/Author&gt;&lt;Year&gt;2022&lt;/Year&gt;&lt;Details&gt;&lt;_alternate_title&gt;Science of The Total Environment&lt;/_alternate_title&gt;&lt;_date_display&gt;2022&lt;/_date_display&gt;&lt;_date&gt;2022-01-01&lt;/_date&gt;&lt;_doi&gt;https://doi.org/10.1016/j.scitotenv.2022.154483&lt;/_doi&gt;&lt;_isbn&gt;0048-9697&lt;/_isbn&gt;&lt;_journal&gt;Science of The Total Environment&lt;/_journal&gt;&lt;_keywords&gt;Water yield; InVEST model; Ecological project; Machine learning; Yellow River Basin&lt;/_keywords&gt;&lt;_pages&gt;154483&lt;/_pages&gt;&lt;_url&gt;https://www.sciencedirect.com/science/article/pii/S0048969722015765&lt;/_url&gt;&lt;_volume&gt;828&lt;/_volume&gt;&lt;_created&gt;64537352&lt;/_created&gt;&lt;_modified&gt;64537352&lt;/_modified&gt;&lt;_impact_factor&gt;   6.551&lt;/_impact_factor&gt;&lt;_collection_scope&gt;SCI;SCIE;EI&lt;/_collection_scope&gt;&lt;/Details&gt;&lt;Extra&gt;&lt;DBUID&gt;{F96A950B-833F-4880-A151-76DA2D6A2879}&lt;/DBUID&gt;&lt;/Extra&gt;&lt;/Item&gt;&lt;/References&gt;&lt;/Group&gt;&lt;/Citation&gt;_x000a_"/>
    <w:docVar w:name="NE.Ref{89BF9A99-463E-4007-B229-5F289952178C}" w:val=" ADDIN NE.Ref.{89BF9A99-463E-4007-B229-5F289952178C}&lt;Citation&gt;&lt;Group&gt;&lt;References&gt;&lt;Item&gt;&lt;ID&gt;478&lt;/ID&gt;&lt;UID&gt;{7F597379-C9BF-410C-BD72-08E8ED37E452}&lt;/UID&gt;&lt;Title&gt;Ecosystem water imbalances created during ecological restoration by afforestation in China, and lessons for other developing countries&lt;/Title&gt;&lt;Template&gt;Journal Article&lt;/Template&gt;&lt;Star&gt;0&lt;/Star&gt;&lt;Tag&gt;0&lt;/Tag&gt;&lt;Author&gt;Cao, Shixiong; Zhang, Junze; Chen, Li; Zhao, Tingyang&lt;/Author&gt;&lt;Year&gt;2016&lt;/Year&gt;&lt;Details&gt;&lt;_alternate_title&gt;Journal of Environmental Management&lt;/_alternate_title&gt;&lt;_date_display&gt;2016&lt;/_date_display&gt;&lt;_date&gt;2016-01-01&lt;/_date&gt;&lt;_doi&gt;https://doi.org/10.1016/j.jenvman.2016.07.096&lt;/_doi&gt;&lt;_isbn&gt;0301-4797&lt;/_isbn&gt;&lt;_journal&gt;Journal of Environmental Management&lt;/_journal&gt;&lt;_keywords&gt;Afforestation; Climate change; Ecological restoration; Environmental policy; Water consumption; Water balance&lt;/_keywords&gt;&lt;_pages&gt;843-849&lt;/_pages&gt;&lt;_url&gt;https://www.sciencedirect.com/science/article/pii/S0301479716305333&lt;/_url&gt;&lt;_volume&gt;183&lt;/_volume&gt;&lt;_created&gt;64553000&lt;/_created&gt;&lt;_modified&gt;64553000&lt;/_modified&gt;&lt;_impact_factor&gt;   5.647&lt;/_impact_factor&gt;&lt;_collection_scope&gt;SCI;SCIE&lt;/_collection_scope&gt;&lt;/Details&gt;&lt;Extra&gt;&lt;DBUID&gt;{F96A950B-833F-4880-A151-76DA2D6A2879}&lt;/DBUID&gt;&lt;/Extra&gt;&lt;/Item&gt;&lt;/References&gt;&lt;/Group&gt;&lt;/Citation&gt;_x000a_"/>
    <w:docVar w:name="NE.Ref{8DC4203C-6688-4D1C-8FAE-1315B8F453E7}" w:val=" ADDIN NE.Ref.{8DC4203C-6688-4D1C-8FAE-1315B8F453E7}&lt;Citation&gt;&lt;Group&gt;&lt;References&gt;&lt;Item&gt;&lt;ID&gt;425&lt;/ID&gt;&lt;UID&gt;{8C9C6579-E329-4E18-9A1B-3164FC0EEC57}&lt;/UID&gt;&lt;Title&gt;Drivers and impacts of changes in China’s drylands&lt;/Title&gt;&lt;Template&gt;Journal Article&lt;/Template&gt;&lt;Star&gt;0&lt;/Star&gt;&lt;Tag&gt;0&lt;/Tag&gt;&lt;Author&gt;Li, Changjia; Fu, Bojie; Wang, Shuai; Stringer, Lindsay C; Wang, Yaping; Li, Zidong; Liu, Yanxu; Zhou, Wenxin&lt;/Author&gt;&lt;Year&gt;2021&lt;/Year&gt;&lt;Details&gt;&lt;_alternate_title&gt;Nature Reviews Earth &amp;amp; Environment&lt;/_alternate_title&gt;&lt;_date_display&gt;2021&lt;/_date_display&gt;&lt;_date&gt;2021-01-01&lt;/_date&gt;&lt;_doi&gt;10.1038/s43017-021-00226-z&lt;/_doi&gt;&lt;_isbn&gt;2662-138X&lt;/_isbn&gt;&lt;_issue&gt;12&lt;/_issue&gt;&lt;_journal&gt;Nature Reviews Earth &amp;amp; Environment&lt;/_journal&gt;&lt;_number&gt;Li2021&lt;/_number&gt;&lt;_pages&gt;858-873&lt;/_pages&gt;&lt;_url&gt;https://doi.org/10.1038/s43017-021-00226-z&lt;/_url&gt;&lt;_volume&gt;2&lt;/_volume&gt;&lt;_created&gt;64537354&lt;/_created&gt;&lt;_modified&gt;64537354&lt;/_modified&gt;&lt;/Details&gt;&lt;Extra&gt;&lt;DBUID&gt;{F96A950B-833F-4880-A151-76DA2D6A2879}&lt;/DBUID&gt;&lt;/Extra&gt;&lt;/Item&gt;&lt;/References&gt;&lt;/Group&gt;&lt;/Citation&gt;_x000a_"/>
    <w:docVar w:name="NE.Ref{93B91AE9-A822-439A-8C4D-36CE5FD88FE0}" w:val=" ADDIN NE.Ref.{93B91AE9-A822-439A-8C4D-36CE5FD88FE0}&lt;Citation&gt;&lt;Group&gt;&lt;References&gt;&lt;Item&gt;&lt;ID&gt;431&lt;/ID&gt;&lt;UID&gt;{EEC38D3F-6C61-41E4-B20A-5DDA9852D14D}&lt;/UID&gt;&lt;Title&gt;Ecology and sustainability of the Inner Mongolian Grassland: Looking back and moving forward&lt;/Title&gt;&lt;Template&gt;Journal Article&lt;/Template&gt;&lt;Star&gt;0&lt;/Star&gt;&lt;Tag&gt;0&lt;/Tag&gt;&lt;Author&gt;Zhang, Qing; Buyantuev, Alexander; Fang, Xuening; Han, Peng; Li, Ang; Li, Frank Yonghong; Liang, Cunzhu; Liu, Qingfu; Ma, Qun; Niu, Jianming; Shang, Chenwei; Yan, Yongzhi; Zhang, Jing&lt;/Author&gt;&lt;Year&gt;2020&lt;/Year&gt;&lt;Details&gt;&lt;_alternate_title&gt;Landscape Ecology&lt;/_alternate_title&gt;&lt;_date_display&gt;2020&lt;/_date_display&gt;&lt;_date&gt;2020-01-01&lt;/_date&gt;&lt;_doi&gt;10.1007/s10980-020-01083-9&lt;/_doi&gt;&lt;_isbn&gt;1572-9761&lt;/_isbn&gt;&lt;_issue&gt;11&lt;/_issue&gt;&lt;_journal&gt;Landscape Ecology&lt;/_journal&gt;&lt;_number&gt;Zhang2020&lt;/_number&gt;&lt;_pages&gt;2413-2432&lt;/_pages&gt;&lt;_url&gt;https://doi.org/10.1007/s10980-020-01083-9&lt;/_url&gt;&lt;_volume&gt;35&lt;/_volume&gt;&lt;_created&gt;64537355&lt;/_created&gt;&lt;_modified&gt;64537355&lt;/_modified&gt;&lt;_impact_factor&gt;   3.385&lt;/_impact_factor&gt;&lt;_collection_scope&gt;SCIE&lt;/_collection_scope&gt;&lt;/Details&gt;&lt;Extra&gt;&lt;DBUID&gt;{F96A950B-833F-4880-A151-76DA2D6A2879}&lt;/DBUID&gt;&lt;/Extra&gt;&lt;/Item&gt;&lt;/References&gt;&lt;/Group&gt;&lt;/Citation&gt;_x000a_"/>
    <w:docVar w:name="NE.Ref{950C3AF9-2C18-4572-8E6A-FD1BBAA5CBD9}" w:val=" ADDIN NE.Ref.{950C3AF9-2C18-4572-8E6A-FD1BBAA5CBD9}&lt;Citation&gt;&lt;Group&gt;&lt;References&gt;&lt;Item&gt;&lt;ID&gt;435&lt;/ID&gt;&lt;UID&gt;{5A46C449-EE60-46C4-B8C2-0794BA4BCA0F}&lt;/UID&gt;&lt;Title&gt;Attribution of Evapotranspiration Changes in Humid Regions of China from 1982 to 2016&lt;/Title&gt;&lt;Template&gt;Journal Article&lt;/Template&gt;&lt;Star&gt;0&lt;/Star&gt;&lt;Tag&gt;0&lt;/Tag&gt;&lt;Author&gt;Zhang, Dan; Liu, Xiaomang; Zhang, Lu; Zhang, Qi; Gan, Rong; Li, Xianghu&lt;/Author&gt;&lt;Year&gt;2020&lt;/Year&gt;&lt;Details&gt;&lt;_alternate_title&gt;Journal of Geophysical Research: AtmospheresJournal of Geophysical Research: Atmospheres&lt;/_alternate_title&gt;&lt;_date_display&gt;2020_x000d__x000a_2020/07/16&lt;/_date_display&gt;&lt;_date&gt;2020-07-16&lt;/_date&gt;&lt;_doi&gt;https://doi.org/10.1029/2020JD032404&lt;/_doi&gt;&lt;_isbn&gt;2169-897X&lt;/_isbn&gt;&lt;_issue&gt;13&lt;/_issue&gt;&lt;_journal&gt;Journal of Geophysical Research: Atmospheres&lt;/_journal&gt;&lt;_keywords&gt;attribution; evapotranspiration; climate variation; vegetation greening&lt;/_keywords&gt;&lt;_ori_publication&gt;John Wiley &amp;amp; Sons, Ltd&lt;/_ori_publication&gt;&lt;_pages&gt;e2020JD032404&lt;/_pages&gt;&lt;_url&gt;https://doi.org/10.1029/2020JD032404&lt;/_url&gt;&lt;_volume&gt;125&lt;/_volume&gt;&lt;_created&gt;64537356&lt;/_created&gt;&lt;_modified&gt;64537356&lt;/_modified&gt;&lt;_impact_factor&gt;   3.821&lt;/_impact_factor&gt;&lt;/Details&gt;&lt;Extra&gt;&lt;DBUID&gt;{F96A950B-833F-4880-A151-76DA2D6A2879}&lt;/DBUID&gt;&lt;/Extra&gt;&lt;/Item&gt;&lt;/References&gt;&lt;/Group&gt;&lt;Group&gt;&lt;References&gt;&lt;Item&gt;&lt;ID&gt;436&lt;/ID&gt;&lt;UID&gt;{1221BC2B-C06E-4335-AA49-C1335B31D6A0}&lt;/UID&gt;&lt;Title&gt;The role of climate change and vegetation greening on evapotranspiration variation in the Yellow River Basin, China&lt;/Title&gt;&lt;Template&gt;Journal Article&lt;/Template&gt;&lt;Star&gt;0&lt;/Star&gt;&lt;Tag&gt;0&lt;/Tag&gt;&lt;Author&gt;Zhao, Fubo; Ma, Shuai; Wu, Yiping; Qiu, Linjing; Wang, Wenke; Lian, Yanqing; Chen, Ji; Sivakumar, Bellie&lt;/Author&gt;&lt;Year&gt;2022&lt;/Year&gt;&lt;Details&gt;&lt;_alternate_title&gt;Agricultural and Forest Meteorology&lt;/_alternate_title&gt;&lt;_date_display&gt;2022&lt;/_date_display&gt;&lt;_date&gt;2022-01-01&lt;/_date&gt;&lt;_doi&gt;https://doi.org/10.1016/j.agrformet.2022.108842&lt;/_doi&gt;&lt;_isbn&gt;0168-1923&lt;/_isbn&gt;&lt;_journal&gt;Agricultural and Forest Meteorology&lt;/_journal&gt;&lt;_keywords&gt;Climate change; Evapotranspiration; Penman-Monteith-Leuning model; Vegetation greening; Water resources&lt;/_keywords&gt;&lt;_pages&gt;108842&lt;/_pages&gt;&lt;_url&gt;https://www.sciencedirect.com/science/article/pii/S0168192322000363&lt;/_url&gt;&lt;_volume&gt;316&lt;/_volume&gt;&lt;_created&gt;64537356&lt;/_created&gt;&lt;_modified&gt;64537356&lt;/_modified&gt;&lt;_impact_factor&gt;   4.651&lt;/_impact_factor&gt;&lt;_collection_scope&gt;SCI;SCIE&lt;/_collection_scope&gt;&lt;/Details&gt;&lt;Extra&gt;&lt;DBUID&gt;{F96A950B-833F-4880-A151-76DA2D6A2879}&lt;/DBUID&gt;&lt;/Extra&gt;&lt;/Item&gt;&lt;/References&gt;&lt;/Group&gt;&lt;/Citation&gt;_x000a_"/>
    <w:docVar w:name="NE.Ref{9837DC82-074F-4E31-859C-B72849C80F45}" w:val=" ADDIN NE.Ref.{9837DC82-074F-4E31-859C-B72849C80F45}&lt;Citation&gt;&lt;Group&gt;&lt;References&gt;&lt;Item&gt;&lt;ID&gt;410&lt;/ID&gt;&lt;UID&gt;{285208B8-ECA7-48D9-A86A-E2F26F773C82}&lt;/UID&gt;&lt;Title&gt;Vegetation and species impacts on soil organic carbon sequestration following ecological restoration over the Loess Plateau, China&lt;/Title&gt;&lt;Template&gt;Journal Article&lt;/Template&gt;&lt;Star&gt;0&lt;/Star&gt;&lt;Tag&gt;0&lt;/Tag&gt;&lt;Author&gt;Wang, Huanhuan; Yue, Chao; Mao, Qinqin; Zhao, Jie; Ciais, Philippe; Li, Wei; Yu, Qiang; Mu, Xinmin&lt;/Author&gt;&lt;Year&gt;2020&lt;/Year&gt;&lt;Details&gt;&lt;_alternate_title&gt;Geoderma&lt;/_alternate_title&gt;&lt;_collection_scope&gt;SCI;SCIE;EI&lt;/_collection_scope&gt;&lt;_created&gt;64537352&lt;/_created&gt;&lt;_date&gt;2020-01-01&lt;/_date&gt;&lt;_date_display&gt;2020&lt;/_date_display&gt;&lt;_doi&gt;https://doi.org/10.1016/j.geoderma.2020.114389&lt;/_doi&gt;&lt;_impact_factor&gt;   6.114&lt;/_impact_factor&gt;&lt;_isbn&gt;0016-7061&lt;/_isbn&gt;&lt;_journal&gt;Geoderma&lt;/_journal&gt;&lt;_keywords&gt;Revegetation; Degraded cropland; Soil carbon sequestration; Restoration type; Restoration age; Loess Plateau&lt;/_keywords&gt;&lt;_modified&gt;64561681&lt;/_modified&gt;&lt;_pages&gt;114389&lt;/_pages&gt;&lt;_url&gt;https://www.sciencedirect.com/science/article/pii/S0016706119329283&lt;/_url&gt;&lt;_volume&gt;371&lt;/_volume&gt;&lt;/Details&gt;&lt;Extra&gt;&lt;DBUID&gt;{F96A950B-833F-4880-A151-76DA2D6A2879}&lt;/DBUID&gt;&lt;/Extra&gt;&lt;/Item&gt;&lt;/References&gt;&lt;/Group&gt;&lt;/Citation&gt;_x000a_"/>
    <w:docVar w:name="NE.Ref{9A31FE57-1538-445C-A3F3-4E2ED294B788}" w:val=" ADDIN NE.Ref.{9A31FE57-1538-445C-A3F3-4E2ED294B788}&lt;Citation&gt;&lt;Group&gt;&lt;References&gt;&lt;Item&gt;&lt;ID&gt;462&lt;/ID&gt;&lt;UID&gt;{251EA421-4DC4-455A-8A72-E33D0F3934DF}&lt;/UID&gt;&lt;Title&gt;Unbalanced social-ecological development within the Dongting Lake basin: Inspiration from evaluation of ecological restoration projects&lt;/Title&gt;&lt;Template&gt;Journal Article&lt;/Template&gt;&lt;Star&gt;0&lt;/Star&gt;&lt;Tag&gt;0&lt;/Tag&gt;&lt;Author&gt;Wang, Lingxia; Li, Zhongwu; Wang, Danyang; Chen, Jia; Liu, Yaojun; Nie, Xiaodong; Zhang, Yuting; Ning, Ke; Hu, Xiaoqian&lt;/Author&gt;&lt;Year&gt;2021&lt;/Year&gt;&lt;Details&gt;&lt;_alternate_title&gt;Journal of Cleaner Production&lt;/_alternate_title&gt;&lt;_date_display&gt;2021&lt;/_date_display&gt;&lt;_date&gt;2021-01-01&lt;/_date&gt;&lt;_doi&gt;https://doi.org/10.1016/j.jclepro.2021.128161&lt;/_doi&gt;&lt;_isbn&gt;0959-6526&lt;/_isbn&gt;&lt;_journal&gt;Journal of Cleaner Production&lt;/_journal&gt;&lt;_keywords&gt;Dongting Lake basin; Ecological restoration project; Land-use and land-cover change; Social-ecological system&lt;/_keywords&gt;&lt;_pages&gt;128161&lt;/_pages&gt;&lt;_url&gt;https://www.sciencedirect.com/science/article/pii/S0959652621023799&lt;/_url&gt;&lt;_volume&gt;315&lt;/_volume&gt;&lt;_created&gt;64537359&lt;/_created&gt;&lt;_modified&gt;64537359&lt;/_modified&gt;&lt;_impact_factor&gt;   7.246&lt;/_impact_factor&gt;&lt;_collection_scope&gt;SCIE;EI&lt;/_collection_scope&gt;&lt;/Details&gt;&lt;Extra&gt;&lt;DBUID&gt;{F96A950B-833F-4880-A151-76DA2D6A2879}&lt;/DBUID&gt;&lt;/Extra&gt;&lt;/Item&gt;&lt;/References&gt;&lt;/Group&gt;&lt;/Citation&gt;_x000a_"/>
    <w:docVar w:name="NE.Ref{9DF7C71F-B5E6-40FA-894E-5983C05A3604}" w:val=" ADDIN NE.Ref.{9DF7C71F-B5E6-40FA-894E-5983C05A3604}&lt;Citation&gt;&lt;Group&gt;&lt;References&gt;&lt;Item&gt;&lt;ID&gt;481&lt;/ID&gt;&lt;UID&gt;{E76B2891-85D4-4648-AC78-79E4467E58DC}&lt;/UID&gt;&lt;Title&gt;Achieving a fit between social and ecological systems in drylands for sustainability&lt;/Title&gt;&lt;Template&gt;Journal Article&lt;/Template&gt;&lt;Star&gt;0&lt;/Star&gt;&lt;Tag&gt;0&lt;/Tag&gt;&lt;Author&gt;Wang, Shuai; Song, Shuang; Zhang, Junze; Wu, Xutong; Fu, Bojie&lt;/Author&gt;&lt;Year&gt;2021&lt;/Year&gt;&lt;Details&gt;&lt;_alternate_title&gt;Current Opinion in Environmental SustainabilityThe dryland social-ecological systems in changing environments&lt;/_alternate_title&gt;&lt;_date_display&gt;2021&lt;/_date_display&gt;&lt;_date&gt;2021-01-01&lt;/_date&gt;&lt;_doi&gt;https://doi.org/10.1016/j.cosust.2020.09.008&lt;/_doi&gt;&lt;_isbn&gt;1877-3435&lt;/_isbn&gt;&lt;_journal&gt;Current Opinion in Environmental Sustainability&lt;/_journal&gt;&lt;_pages&gt;53-58&lt;/_pages&gt;&lt;_url&gt;https://www.sciencedirect.com/science/article/pii/S1877343520300828&lt;/_url&gt;&lt;_volume&gt;48&lt;/_volume&gt;&lt;_created&gt;64553000&lt;/_created&gt;&lt;_modified&gt;64553000&lt;/_modified&gt;&lt;_impact_factor&gt;   5.658&lt;/_impact_factor&gt;&lt;_collection_scope&gt;SCIE&lt;/_collection_scope&gt;&lt;/Details&gt;&lt;Extra&gt;&lt;DBUID&gt;{F96A950B-833F-4880-A151-76DA2D6A2879}&lt;/DBUID&gt;&lt;/Extra&gt;&lt;/Item&gt;&lt;/References&gt;&lt;/Group&gt;&lt;/Citation&gt;_x000a_"/>
    <w:docVar w:name="NE.Ref{A6A38618-B20E-49D3-9C47-DAC9BCF9C251}" w:val=" ADDIN NE.Ref.{A6A38618-B20E-49D3-9C47-DAC9BCF9C251}&lt;Citation&gt;&lt;Group&gt;&lt;References&gt;&lt;Item&gt;&lt;ID&gt;406&lt;/ID&gt;&lt;UID&gt;{75FFDA91-4EC0-4FCE-A96C-D03A541FD678}&lt;/UID&gt;&lt;Title&gt;Restoration ecology of arid lands (RE-AL)&lt;/Title&gt;&lt;Template&gt;Journal Article&lt;/Template&gt;&lt;Star&gt;0&lt;/Star&gt;&lt;Tag&gt;0&lt;/Tag&gt;&lt;Author/&gt;&lt;Year&gt;2022&lt;/Year&gt;&lt;Details&gt;&lt;_alternate_title&gt;Restoration EcologyRestoration Ecology&lt;/_alternate_title&gt;&lt;_date_display&gt;2022_x000d__x000a_2022/02/01&lt;/_date_display&gt;&lt;_date&gt;2022-02-01&lt;/_date&gt;&lt;_doi&gt;https://doi.org/10.1111/rec.13443&lt;/_doi&gt;&lt;_isbn&gt;1061-2971&lt;/_isbn&gt;&lt;_issue&gt;2&lt;/_issue&gt;&lt;_journal&gt;Restoration Ecology&lt;/_journal&gt;&lt;_ori_publication&gt;John Wiley &amp;amp; Sons, Ltd&lt;/_ori_publication&gt;&lt;_pages&gt;e13443&lt;/_pages&gt;&lt;_url&gt;https://doi.org/10.1111/rec.13443&lt;/_url&gt;&lt;_volume&gt;30&lt;/_volume&gt;&lt;_created&gt;64537352&lt;/_created&gt;&lt;_modified&gt;64537352&lt;/_modified&gt;&lt;_impact_factor&gt;   2.721&lt;/_impact_factor&gt;&lt;_collection_scope&gt;SCIE&lt;/_collection_scope&gt;&lt;/Details&gt;&lt;Extra&gt;&lt;DBUID&gt;{F96A950B-833F-4880-A151-76DA2D6A2879}&lt;/DBUID&gt;&lt;/Extra&gt;&lt;/Item&gt;&lt;/References&gt;&lt;/Group&gt;&lt;/Citation&gt;_x000a_"/>
    <w:docVar w:name="NE.Ref{A9A6344F-4764-4ABD-8299-1A6BF6B1910B}" w:val=" ADDIN NE.Ref.{A9A6344F-4764-4ABD-8299-1A6BF6B1910B}&lt;Citation&gt;&lt;Group&gt;&lt;References&gt;&lt;Item&gt;&lt;ID&gt;445&lt;/ID&gt;&lt;UID&gt;{B553E98E-0645-452A-929E-89A2922A07D6}&lt;/UID&gt;&lt;Title&gt;Equity in ecosystem restoration&lt;/Title&gt;&lt;Template&gt;Journal Article&lt;/Template&gt;&lt;Star&gt;0&lt;/Star&gt;&lt;Tag&gt;0&lt;/Tag&gt;&lt;Author&gt;Wells, Harry B M; Kirobi, Elijah H; Chen, Cadia L; Winowiecki, Leigh A; Vågen, Tor-Gunnar; Ahmad, Muhammad N; Stringer, Lindsay C; Dougill, Andrew J&lt;/Author&gt;&lt;Year&gt;2021&lt;/Year&gt;&lt;Details&gt;&lt;_alternate_title&gt;Restoration EcologyRestoration Ecology&lt;/_alternate_title&gt;&lt;_collection_scope&gt;SCIE&lt;/_collection_scope&gt;&lt;_created&gt;64537357&lt;/_created&gt;&lt;_date&gt;2021-07-01&lt;/_date&gt;&lt;_date_display&gt;2021_x000d__x000a_2021/07/01&lt;/_date_display&gt;&lt;_doi&gt;https://doi.org/10.1111/rec.13385&lt;/_doi&gt;&lt;_impact_factor&gt;   3.404&lt;/_impact_factor&gt;&lt;_isbn&gt;1061-2971&lt;/_isbn&gt;&lt;_issue&gt;5&lt;/_issue&gt;&lt;_journal&gt;Restoration Ecology&lt;/_journal&gt;&lt;_keywords&gt;community-based restoration; equity; invasive alien species; Opuntia stricta; social and environmental justice&lt;/_keywords&gt;&lt;_modified&gt;64554809&lt;/_modified&gt;&lt;_ori_publication&gt;John Wiley &amp;amp; Sons, Ltd&lt;/_ori_publication&gt;&lt;_pages&gt;e13385&lt;/_pages&gt;&lt;_url&gt;https://doi.org/10.1111/rec.13385&lt;/_url&gt;&lt;_volume&gt;29&lt;/_volume&gt;&lt;/Details&gt;&lt;Extra&gt;&lt;DBUID&gt;{F96A950B-833F-4880-A151-76DA2D6A2879}&lt;/DBUID&gt;&lt;/Extra&gt;&lt;/Item&gt;&lt;/References&gt;&lt;/Group&gt;&lt;/Citation&gt;_x000a_"/>
    <w:docVar w:name="NE.Ref{AB647B31-5517-4DDE-A6E4-674ACF5105D1}" w:val=" ADDIN NE.Ref.{AB647B31-5517-4DDE-A6E4-674ACF5105D1}&lt;Citation&gt;&lt;Group&gt;&lt;References&gt;&lt;Item&gt;&lt;ID&gt;430&lt;/ID&gt;&lt;UID&gt;{2AC8E579-1407-42F9-B4FE-00BD1665F9EF}&lt;/UID&gt;&lt;Title&gt;Threshold effects of vegetation coverage on runoff and soil loss in the Loess Plateau of China: A meta-analysis&lt;/Title&gt;&lt;Template&gt;Journal Article&lt;/Template&gt;&lt;Star&gt;0&lt;/Star&gt;&lt;Tag&gt;0&lt;/Tag&gt;&lt;Author&gt;Zhang, Xuexian; Song, Jinxi; Wang, Yirui; Sun, Haotian; Li, Qi&lt;/Author&gt;&lt;Year&gt;2022&lt;/Year&gt;&lt;Details&gt;&lt;_alternate_title&gt;Geoderma&lt;/_alternate_title&gt;&lt;_date_display&gt;2022&lt;/_date_display&gt;&lt;_date&gt;2022-01-01&lt;/_date&gt;&lt;_doi&gt;https://doi.org/10.1016/j.geoderma.2022.115720&lt;/_doi&gt;&lt;_isbn&gt;0016-7061&lt;/_isbn&gt;&lt;_journal&gt;Geoderma&lt;/_journal&gt;&lt;_keywords&gt;Soil and water loss; Vegetation coverage threshold; Watershed; Ecological restoration&lt;/_keywords&gt;&lt;_pages&gt;115720&lt;/_pages&gt;&lt;_url&gt;https://www.sciencedirect.com/science/article/pii/S0016706122000271&lt;/_url&gt;&lt;_volume&gt;412&lt;/_volume&gt;&lt;_created&gt;64537355&lt;/_created&gt;&lt;_modified&gt;64537355&lt;/_modified&gt;&lt;_impact_factor&gt;   4.848&lt;/_impact_factor&gt;&lt;_collection_scope&gt;SCI;SCIE;EI&lt;/_collection_scope&gt;&lt;/Details&gt;&lt;Extra&gt;&lt;DBUID&gt;{F96A950B-833F-4880-A151-76DA2D6A2879}&lt;/DBUID&gt;&lt;/Extra&gt;&lt;/Item&gt;&lt;/References&gt;&lt;/Group&gt;&lt;/Citation&gt;_x000a_"/>
    <w:docVar w:name="NE.Ref{ABBE9787-649D-4A18-832D-A9CC3F8990E4}" w:val=" ADDIN NE.Ref.{ABBE9787-649D-4A18-832D-A9CC3F8990E4}&lt;Citation&gt;&lt;Group&gt;&lt;References&gt;&lt;Item&gt;&lt;ID&gt;428&lt;/ID&gt;&lt;UID&gt;{8BADB0AB-7C75-41AA-95F7-4C1651934865}&lt;/UID&gt;&lt;Title&gt;Historical grassland desertification changes in the Horqin Sandy Land, Northern China (1985–2013)&lt;/Title&gt;&lt;Template&gt;Journal Article&lt;/Template&gt;&lt;Star&gt;0&lt;/Star&gt;&lt;Tag&gt;0&lt;/Tag&gt;&lt;Author&gt;Li, Jinya; Xu, Bin; Yang, Xiuchun; Qin, Zhihao; Zhao, Lina; Jin, Yunxiang; Zhao, Fen; Guo, Jian&lt;/Author&gt;&lt;Year&gt;2017&lt;/Year&gt;&lt;Details&gt;&lt;_alternate_title&gt;Scientific Reports&lt;/_alternate_title&gt;&lt;_date_display&gt;2017&lt;/_date_display&gt;&lt;_date&gt;2017-01-01&lt;/_date&gt;&lt;_doi&gt;10.1038/s41598-017-03267-x&lt;/_doi&gt;&lt;_isbn&gt;2045-2322&lt;/_isbn&gt;&lt;_issue&gt;1&lt;/_issue&gt;&lt;_journal&gt;Scientific Reports&lt;/_journal&gt;&lt;_number&gt;Li2017&lt;/_number&gt;&lt;_pages&gt;3009&lt;/_pages&gt;&lt;_url&gt;https://doi.org/10.1038/s41598-017-03267-x&lt;/_url&gt;&lt;_volume&gt;7&lt;/_volume&gt;&lt;_created&gt;64537354&lt;/_created&gt;&lt;_modified&gt;64537354&lt;/_modified&gt;&lt;_impact_factor&gt;   3.998&lt;/_impact_factor&gt;&lt;_collection_scope&gt;SCI;SCIE&lt;/_collection_scope&gt;&lt;/Details&gt;&lt;Extra&gt;&lt;DBUID&gt;{F96A950B-833F-4880-A151-76DA2D6A2879}&lt;/DBUID&gt;&lt;/Extra&gt;&lt;/Item&gt;&lt;/References&gt;&lt;/Group&gt;&lt;/Citation&gt;_x000a_"/>
    <w:docVar w:name="NE.Ref{AF19AF86-BAA4-492C-A959-9D296CF1C441}" w:val=" ADDIN NE.Ref.{AF19AF86-BAA4-492C-A959-9D296CF1C441}&lt;Citation&gt;&lt;Group&gt;&lt;References&gt;&lt;Item&gt;&lt;ID&gt;433&lt;/ID&gt;&lt;UID&gt;{8E155B74-31F6-4B1C-ABD5-4E4EED1A0C05}&lt;/UID&gt;&lt;Title&gt;Coupled estimation of 500 m and 8-day resolution global evapotranspiration and gross primary production in 2002–2017&lt;/Title&gt;&lt;Template&gt;Journal Article&lt;/Template&gt;&lt;Star&gt;0&lt;/Star&gt;&lt;Tag&gt;0&lt;/Tag&gt;&lt;Author&gt;Zhang, Yongqiang; Kong, Dongdong; Gan, Rong; Chiew, Francis H S; McVicar, Tim R; Zhang, Qiang; Yang, Yuting&lt;/Author&gt;&lt;Year&gt;2019&lt;/Year&gt;&lt;Details&gt;&lt;_alternate_title&gt;Remote Sensing of Environment&lt;/_alternate_title&gt;&lt;_date_display&gt;2019&lt;/_date_display&gt;&lt;_date&gt;2019-01-01&lt;/_date&gt;&lt;_doi&gt;https://doi.org/10.1016/j.rse.2018.12.031&lt;/_doi&gt;&lt;_isbn&gt;0034-4257&lt;/_isbn&gt;&lt;_journal&gt;Remote Sensing of Environment&lt;/_journal&gt;&lt;_keywords&gt;Global; Terrestrial; Evapotranspiration; Gross primary production; Stomatal conductance; MODIS; Leaf area index&lt;/_keywords&gt;&lt;_pages&gt;165-182&lt;/_pages&gt;&lt;_url&gt;https://www.sciencedirect.com/science/article/pii/S003442571830590X&lt;/_url&gt;&lt;_volume&gt;222&lt;/_volume&gt;&lt;_created&gt;64537355&lt;/_created&gt;&lt;_modified&gt;64537355&lt;/_modified&gt;&lt;_impact_factor&gt;   9.085&lt;/_impact_factor&gt;&lt;_collection_scope&gt;SCI;SCIE;EI&lt;/_collection_scope&gt;&lt;/Details&gt;&lt;Extra&gt;&lt;DBUID&gt;{F96A950B-833F-4880-A151-76DA2D6A2879}&lt;/DBUID&gt;&lt;/Extra&gt;&lt;/Item&gt;&lt;/References&gt;&lt;/Group&gt;&lt;/Citation&gt;_x000a_"/>
    <w:docVar w:name="NE.Ref{B23DC7A0-FAD7-4D93-A170-385D549A7919}" w:val=" ADDIN NE.Ref.{B23DC7A0-FAD7-4D93-A170-385D549A7919}&lt;Citation&gt;&lt;Group&gt;&lt;References&gt;&lt;Item&gt;&lt;ID&gt;488&lt;/ID&gt;&lt;UID&gt;{D707A273-D62F-40DE-9554-AC3370A12B50}&lt;/UID&gt;&lt;Title&gt;Social and economic impacts of public transportation on adjacent communities: The case of the Addis Ababa light rail transit&lt;/Title&gt;&lt;Template&gt;Journal Article&lt;/Template&gt;&lt;Star&gt;0&lt;/Star&gt;&lt;Tag&gt;0&lt;/Tag&gt;&lt;Author&gt;Deyas, Gebeyew T; Woldeamanuel, Mintesnot G&lt;/Author&gt;&lt;Year&gt;2020&lt;/Year&gt;&lt;Details&gt;&lt;_alternate_title&gt;Research in Transportation EconomicsJournal of the Transportation Research Forum, Volume 57&lt;/_alternate_title&gt;&lt;_date_display&gt;2020&lt;/_date_display&gt;&lt;_date&gt;2020-01-01&lt;/_date&gt;&lt;_doi&gt;https://doi.org/10.1016/j.retrec.2020.100970&lt;/_doi&gt;&lt;_isbn&gt;0739-8859&lt;/_isbn&gt;&lt;_journal&gt;Research in Transportation Economics&lt;/_journal&gt;&lt;_keywords&gt;Light rail transit (LRT); Adjacent communities; Socio-economic indicators; LRT stations; Addis ababa; Livelihood&lt;/_keywords&gt;&lt;_pages&gt;100970&lt;/_pages&gt;&lt;_url&gt;https://www.sciencedirect.com/science/article/pii/S0739885920301682&lt;/_url&gt;&lt;_volume&gt;84&lt;/_volume&gt;&lt;_created&gt;64560915&lt;/_created&gt;&lt;_modified&gt;64560915&lt;/_modified&gt;&lt;_impact_factor&gt;   2.627&lt;/_impact_factor&gt;&lt;_collection_scope&gt;SSCI&lt;/_collection_scope&gt;&lt;/Details&gt;&lt;Extra&gt;&lt;DBUID&gt;{F96A950B-833F-4880-A151-76DA2D6A2879}&lt;/DBUID&gt;&lt;/Extra&gt;&lt;/Item&gt;&lt;/References&gt;&lt;/Group&gt;&lt;/Citation&gt;_x000a_"/>
    <w:docVar w:name="NE.Ref{B4CCB038-E459-4E60-A4E6-188F9C8BD8A5}" w:val=" ADDIN NE.Ref.{B4CCB038-E459-4E60-A4E6-188F9C8BD8A5}&lt;Citation&gt;&lt;Group&gt;&lt;References&gt;&lt;Item&gt;&lt;ID&gt;432&lt;/ID&gt;&lt;UID&gt;{B20C9A40-38E3-4E2B-B515-55A0D0FDC828}&lt;/UID&gt;&lt;Title&gt;Exploring drivers of ecosystem services variation from a geospatial perspective: Insights from China’s Shanxi Province&lt;/Title&gt;&lt;Template&gt;Journal Article&lt;/Template&gt;&lt;Star&gt;0&lt;/Star&gt;&lt;Tag&gt;0&lt;/Tag&gt;&lt;Author&gt;Hu, Baoan; Kang, Fengfeng; Han, Hairong; Cheng, Xiaoqin; Li, Zuzheng&lt;/Author&gt;&lt;Year&gt;2021&lt;/Year&gt;&lt;Details&gt;&lt;_alternate_title&gt;Ecological Indicators&lt;/_alternate_title&gt;&lt;_date_display&gt;2021&lt;/_date_display&gt;&lt;_date&gt;2021-01-01&lt;/_date&gt;&lt;_doi&gt;https://doi.org/10.1016/j.ecolind.2021.108188&lt;/_doi&gt;&lt;_isbn&gt;1470-160X&lt;/_isbn&gt;&lt;_journal&gt;Ecological Indicators&lt;/_journal&gt;&lt;_keywords&gt;Ecosystem services; Driving factors; InVEST model; Geographical detector; Spatial regression; Shanxi Province&lt;/_keywords&gt;&lt;_pages&gt;108188&lt;/_pages&gt;&lt;_url&gt;https://www.sciencedirect.com/science/article/pii/S1470160X21008530&lt;/_url&gt;&lt;_volume&gt;131&lt;/_volume&gt;&lt;_created&gt;64537355&lt;/_created&gt;&lt;_modified&gt;64537355&lt;/_modified&gt;&lt;_impact_factor&gt;   4.229&lt;/_impact_factor&gt;&lt;_collection_scope&gt;SCIE;EI&lt;/_collection_scope&gt;&lt;/Details&gt;&lt;Extra&gt;&lt;DBUID&gt;{F96A950B-833F-4880-A151-76DA2D6A2879}&lt;/DBUID&gt;&lt;/Extra&gt;&lt;/Item&gt;&lt;/References&gt;&lt;/Group&gt;&lt;/Citation&gt;_x000a_"/>
    <w:docVar w:name="NE.Ref{B53D2C90-7627-4F51-8832-40525BEA01D8}" w:val=" ADDIN NE.Ref.{B53D2C90-7627-4F51-8832-40525BEA01D8}&lt;Citation&gt;&lt;Group&gt;&lt;References&gt;&lt;Item&gt;&lt;ID&gt;489&lt;/ID&gt;&lt;UID&gt;{006029F9-CC0C-497E-92AE-9CA20AF1174C}&lt;/UID&gt;&lt;Title&gt;A quick introduction to Zonation&lt;/Title&gt;&lt;Template&gt;Journal Article&lt;/Template&gt;&lt;Star&gt;0&lt;/Star&gt;&lt;Tag&gt;0&lt;/Tag&gt;&lt;Author&gt;Minin, E D; Veach, V; Lehtomki, Joona; Montesino-Pouzols, F; Moilanen, A&lt;/Author&gt;&lt;Year&gt;2014&lt;/Year&gt;&lt;Details&gt;&lt;_journal&gt;helsingin yliopisto&lt;/_journal&gt;&lt;_created&gt;64560915&lt;/_created&gt;&lt;_modified&gt;64560915&lt;/_modified&gt;&lt;/Details&gt;&lt;Extra&gt;&lt;DBUID&gt;{F96A950B-833F-4880-A151-76DA2D6A2879}&lt;/DBUID&gt;&lt;/Extra&gt;&lt;/Item&gt;&lt;/References&gt;&lt;/Group&gt;&lt;/Citation&gt;_x000a_"/>
    <w:docVar w:name="NE.Ref{B5FBB8C1-6B17-45E8-BDBD-DFB236F80729}" w:val=" ADDIN NE.Ref.{B5FBB8C1-6B17-45E8-BDBD-DFB236F80729}&lt;Citation&gt;&lt;Group&gt;&lt;References&gt;&lt;Item&gt;&lt;ID&gt;461&lt;/ID&gt;&lt;UID&gt;{02410204-EBD1-4755-8BEE-4AD52322A5FA}&lt;/UID&gt;&lt;Title&gt;Balance of water supply and consumption during ecological restoration in arid regions of Inner Mongolia, China&lt;/Title&gt;&lt;Template&gt;Journal Article&lt;/Template&gt;&lt;Star&gt;0&lt;/Star&gt;&lt;Tag&gt;0&lt;/Tag&gt;&lt;Author&gt;Zhang, Xiaoyu; Xu, Duanyang; Wang, Ziyu; Zhang, Yue&lt;/Author&gt;&lt;Year&gt;2021&lt;/Year&gt;&lt;Details&gt;&lt;_alternate_title&gt;Journal of Arid Environments&lt;/_alternate_title&gt;&lt;_date_display&gt;2021&lt;/_date_display&gt;&lt;_date&gt;2021-01-01&lt;/_date&gt;&lt;_doi&gt;https://doi.org/10.1016/j.jaridenv.2020.104406&lt;/_doi&gt;&lt;_isbn&gt;0140-1963&lt;/_isbn&gt;&lt;_journal&gt;Journal of Arid Environments&lt;/_journal&gt;&lt;_keywords&gt;Ecological restoration; Arid region; Water-resource balance; Simulation&lt;/_keywords&gt;&lt;_pages&gt;104406&lt;/_pages&gt;&lt;_url&gt;https://www.sciencedirect.com/science/article/pii/S0140196320303050&lt;/_url&gt;&lt;_volume&gt;186&lt;/_volume&gt;&lt;_created&gt;64537359&lt;/_created&gt;&lt;_modified&gt;64537359&lt;/_modified&gt;&lt;_impact_factor&gt;   1.830&lt;/_impact_factor&gt;&lt;_collection_scope&gt;SCI;SCIE&lt;/_collection_scope&gt;&lt;/Details&gt;&lt;Extra&gt;&lt;DBUID&gt;{F96A950B-833F-4880-A151-76DA2D6A2879}&lt;/DBUID&gt;&lt;/Extra&gt;&lt;/Item&gt;&lt;/References&gt;&lt;/Group&gt;&lt;/Citation&gt;_x000a_"/>
    <w:docVar w:name="NE.Ref{B69CB80C-7F32-4B73-B2FB-8FCCE33E950F}" w:val=" ADDIN NE.Ref.{B69CB80C-7F32-4B73-B2FB-8FCCE33E950F}&lt;Citation&gt;&lt;Group&gt;&lt;References&gt;&lt;Item&gt;&lt;ID&gt;401&lt;/ID&gt;&lt;UID&gt;{94CFCFA2-009A-4333-83A6-EF08C043132E}&lt;/UID&gt;&lt;Title&gt;The Global-DEP conceptual framework — research on dryland ecosystems to promote sustainability&lt;/Title&gt;&lt;Template&gt;Journal Article&lt;/Template&gt;&lt;Star&gt;0&lt;/Star&gt;&lt;Tag&gt;0&lt;/Tag&gt;&lt;Author&gt;Fu, Bojie; Stafford-Smith, Mark; Wang, Yanfen; Wu, Binfang; Yu, Xiubo; Lv, Nan; Ojima, Dennis S; Lv, Yihe; Fu, Chao; Liu, Yu; Niu, Shuli; Zhang, Yangjian; Zeng, Hongwei; Liu, Yuexian; Liu, Yanxu; Feng, Xiaoming; Zhang, Lu; Wei, Yongping; Xu, Zhihong; Li, Fadong; Cui, Xiaoyong; Diop, Salif; Chen, Xi&lt;/Author&gt;&lt;Year&gt;2021&lt;/Year&gt;&lt;Details&gt;&lt;_alternate_title&gt;Current Opinion in Environmental SustainabilityThe dryland social-ecological systems in changing environments&lt;/_alternate_title&gt;&lt;_date_display&gt;2021&lt;/_date_display&gt;&lt;_date&gt;2021-01-01&lt;/_date&gt;&lt;_doi&gt;https://doi.org/10.1016/j.cosust.2020.08.009&lt;/_doi&gt;&lt;_isbn&gt;1877-3435&lt;/_isbn&gt;&lt;_journal&gt;Current Opinion in Environmental Sustainability&lt;/_journal&gt;&lt;_pages&gt;17-28&lt;/_pages&gt;&lt;_url&gt;https://www.sciencedirect.com/science/article/pii/S1877343520300634&lt;/_url&gt;&lt;_volume&gt;48&lt;/_volume&gt;&lt;_created&gt;64537351&lt;/_created&gt;&lt;_modified&gt;64537351&lt;/_modified&gt;&lt;_impact_factor&gt;   5.658&lt;/_impact_factor&gt;&lt;_collection_scope&gt;SCIE&lt;/_collection_scope&gt;&lt;/Details&gt;&lt;Extra&gt;&lt;DBUID&gt;{F96A950B-833F-4880-A151-76DA2D6A2879}&lt;/DBUID&gt;&lt;/Extra&gt;&lt;/Item&gt;&lt;/References&gt;&lt;/Group&gt;&lt;/Citation&gt;_x000a_"/>
    <w:docVar w:name="NE.Ref{B86AA531-E0F0-490A-885B-74E24FFD6299}" w:val=" ADDIN NE.Ref.{B86AA531-E0F0-490A-885B-74E24FFD6299}&lt;Citation&gt;&lt;Group&gt;&lt;References&gt;&lt;Item&gt;&lt;ID&gt;454&lt;/ID&gt;&lt;UID&gt;{472EF30B-9718-4A9B-8525-8BFD8927FAD0}&lt;/UID&gt;&lt;Title&gt;Global forest restoration and the importance of prioritizing local communities&lt;/Title&gt;&lt;Template&gt;Journal Article&lt;/Template&gt;&lt;Star&gt;0&lt;/Star&gt;&lt;Tag&gt;0&lt;/Tag&gt;&lt;Author&gt;Erbaugh, J T; Pradhan, N; Adams, J; Oldekop, J A; Agrawal, A; Brockington, D; Pritchard, R; Chhatre, A&lt;/Author&gt;&lt;Year&gt;2020&lt;/Year&gt;&lt;Details&gt;&lt;_alternate_title&gt;Nature Ecology &amp;amp; Evolution&lt;/_alternate_title&gt;&lt;_date_display&gt;2020&lt;/_date_display&gt;&lt;_date&gt;2020-01-01&lt;/_date&gt;&lt;_doi&gt;10.1038/s41559-020-01282-2&lt;/_doi&gt;&lt;_isbn&gt;2397-334X&lt;/_isbn&gt;&lt;_issue&gt;11&lt;/_issue&gt;&lt;_journal&gt;Nature Ecology &amp;amp; Evolution&lt;/_journal&gt;&lt;_number&gt;Erbaugh2020&lt;/_number&gt;&lt;_pages&gt;1472-1476&lt;/_pages&gt;&lt;_url&gt;https://doi.org/10.1038/s41559-020-01282-2&lt;/_url&gt;&lt;_volume&gt;4&lt;/_volume&gt;&lt;_created&gt;64537358&lt;/_created&gt;&lt;_modified&gt;64537358&lt;/_modified&gt;&lt;_impact_factor&gt;  12.541&lt;/_impact_factor&gt;&lt;_collection_scope&gt;SCIE&lt;/_collection_scope&gt;&lt;/Details&gt;&lt;Extra&gt;&lt;DBUID&gt;{F96A950B-833F-4880-A151-76DA2D6A2879}&lt;/DBUID&gt;&lt;/Extra&gt;&lt;/Item&gt;&lt;/References&gt;&lt;/Group&gt;&lt;/Citation&gt;_x000a_"/>
    <w:docVar w:name="NE.Ref{BA277F31-3566-49EB-929C-B6A2F255797D}" w:val=" ADDIN NE.Ref.{BA277F31-3566-49EB-929C-B6A2F255797D}&lt;Citation&gt;&lt;Group&gt;&lt;References&gt;&lt;Item&gt;&lt;ID&gt;489&lt;/ID&gt;&lt;UID&gt;{006029F9-CC0C-497E-92AE-9CA20AF1174C}&lt;/UID&gt;&lt;Title&gt;A quick introduction to Zonation&lt;/Title&gt;&lt;Template&gt;Journal Article&lt;/Template&gt;&lt;Star&gt;0&lt;/Star&gt;&lt;Tag&gt;0&lt;/Tag&gt;&lt;Author&gt;Minin, E D; Veach, V; Lehtomki, Joona; Montesino-Pouzols, F; Moilanen, A&lt;/Author&gt;&lt;Year&gt;2014&lt;/Year&gt;&lt;Details&gt;&lt;_journal&gt;helsingin yliopisto&lt;/_journal&gt;&lt;_created&gt;64560915&lt;/_created&gt;&lt;_modified&gt;64560915&lt;/_modified&gt;&lt;/Details&gt;&lt;Extra&gt;&lt;DBUID&gt;{F96A950B-833F-4880-A151-76DA2D6A2879}&lt;/DBUID&gt;&lt;/Extra&gt;&lt;/Item&gt;&lt;/References&gt;&lt;/Group&gt;&lt;Group&gt;&lt;References&gt;&lt;Item&gt;&lt;ID&gt;488&lt;/ID&gt;&lt;UID&gt;{D707A273-D62F-40DE-9554-AC3370A12B50}&lt;/UID&gt;&lt;Title&gt;Social and economic impacts of public transportation on adjacent communities: The case of the Addis Ababa light rail transit&lt;/Title&gt;&lt;Template&gt;Journal Article&lt;/Template&gt;&lt;Star&gt;0&lt;/Star&gt;&lt;Tag&gt;0&lt;/Tag&gt;&lt;Author&gt;Deyas, Gebeyew T; Woldeamanuel, Mintesnot G&lt;/Author&gt;&lt;Year&gt;2020&lt;/Year&gt;&lt;Details&gt;&lt;_alternate_title&gt;Research in Transportation EconomicsJournal of the Transportation Research Forum, Volume 57&lt;/_alternate_title&gt;&lt;_date_display&gt;2020&lt;/_date_display&gt;&lt;_date&gt;2020-01-01&lt;/_date&gt;&lt;_doi&gt;https://doi.org/10.1016/j.retrec.2020.100970&lt;/_doi&gt;&lt;_isbn&gt;0739-8859&lt;/_isbn&gt;&lt;_journal&gt;Research in Transportation Economics&lt;/_journal&gt;&lt;_keywords&gt;Light rail transit (LRT); Adjacent communities; Socio-economic indicators; LRT stations; Addis ababa; Livelihood&lt;/_keywords&gt;&lt;_pages&gt;100970&lt;/_pages&gt;&lt;_url&gt;https://www.sciencedirect.com/science/article/pii/S0739885920301682&lt;/_url&gt;&lt;_volume&gt;84&lt;/_volume&gt;&lt;_created&gt;64560915&lt;/_created&gt;&lt;_modified&gt;64560915&lt;/_modified&gt;&lt;_impact_factor&gt;   2.627&lt;/_impact_factor&gt;&lt;_collection_scope&gt;SSCI&lt;/_collection_scope&gt;&lt;/Details&gt;&lt;Extra&gt;&lt;DBUID&gt;{F96A950B-833F-4880-A151-76DA2D6A2879}&lt;/DBUID&gt;&lt;/Extra&gt;&lt;/Item&gt;&lt;/References&gt;&lt;/Group&gt;&lt;/Citation&gt;_x000a_"/>
    <w:docVar w:name="NE.Ref{BC21D125-A874-42E9-9377-5F07629E7A69}" w:val=" ADDIN NE.Ref.{BC21D125-A874-42E9-9377-5F07629E7A69}&lt;Citation&gt;&lt;Group&gt;&lt;References&gt;&lt;Item&gt;&lt;ID&gt;403&lt;/ID&gt;&lt;UID&gt;{3B5A2514-DBAE-4FA5-8B3C-10C8D21E0C7E}&lt;/UID&gt;&lt;Title&gt;Re-orienting ecological restoration in degraded drylands for a more sustainable soil–water relationship: Non-linear boundary of limited water resources in combating soil loss&lt;/Title&gt;&lt;Template&gt;Journal Article&lt;/Template&gt;&lt;Star&gt;0&lt;/Star&gt;&lt;Tag&gt;0&lt;/Tag&gt;&lt;Author&gt;Jiang, Chong; Wang, Xinchi; Zhang, Haiyan; Labzovskii, Lev; Wang, Jun; Liu, Tong&lt;/Author&gt;&lt;Year&gt;2019&lt;/Year&gt;&lt;Details&gt;&lt;_alternate_title&gt;Journal of Arid Environments&lt;/_alternate_title&gt;&lt;_date_display&gt;2019&lt;/_date_display&gt;&lt;_date&gt;2019-01-01&lt;/_date&gt;&lt;_doi&gt;https://doi.org/10.1016/j.jaridenv.2019.05.002&lt;/_doi&gt;&lt;_isbn&gt;0140-1963&lt;/_isbn&gt;&lt;_journal&gt;Journal of Arid Environments&lt;/_journal&gt;&lt;_keywords&gt;Soil retention; Water yield; Non-linearity; Constraint effect; Ecological restoration&lt;/_keywords&gt;&lt;_pages&gt;87-100&lt;/_pages&gt;&lt;_url&gt;https://www.sciencedirect.com/science/article/pii/S0140196319300552&lt;/_url&gt;&lt;_volume&gt;167&lt;/_volume&gt;&lt;_created&gt;64537351&lt;/_created&gt;&lt;_modified&gt;64537351&lt;/_modified&gt;&lt;_impact_factor&gt;   1.830&lt;/_impact_factor&gt;&lt;_collection_scope&gt;SCI;SCIE&lt;/_collection_scope&gt;&lt;/Details&gt;&lt;Extra&gt;&lt;DBUID&gt;{F96A950B-833F-4880-A151-76DA2D6A2879}&lt;/DBUID&gt;&lt;/Extra&gt;&lt;/Item&gt;&lt;/References&gt;&lt;/Group&gt;&lt;/Citation&gt;_x000a_"/>
    <w:docVar w:name="NE.Ref{C31459C5-6C77-45C2-9573-9D1C05ABEC0E}" w:val=" ADDIN NE.Ref.{C31459C5-6C77-45C2-9573-9D1C05ABEC0E}&lt;Citation&gt;&lt;Group&gt;&lt;References&gt;&lt;Item&gt;&lt;ID&gt;438&lt;/ID&gt;&lt;UID&gt;{84742A8B-D392-4C67-9607-BDAB505F15CD}&lt;/UID&gt;&lt;Title&gt;A trillion trees&lt;/Title&gt;&lt;Template&gt;Journal Article&lt;/Template&gt;&lt;Star&gt;0&lt;/Star&gt;&lt;Tag&gt;0&lt;/Tag&gt;&lt;Author&gt;Goymer, Patrick&lt;/Author&gt;&lt;Year&gt;2018&lt;/Year&gt;&lt;Details&gt;&lt;_alternate_title&gt;Nature Ecology &amp;amp; Evolution&lt;/_alternate_title&gt;&lt;_date_display&gt;2018&lt;/_date_display&gt;&lt;_date&gt;2018-01-01&lt;/_date&gt;&lt;_doi&gt;10.1038/s41559-018-0464-z&lt;/_doi&gt;&lt;_isbn&gt;2397-334X&lt;/_isbn&gt;&lt;_issue&gt;2&lt;/_issue&gt;&lt;_journal&gt;Nature Ecology &amp;amp; Evolution&lt;/_journal&gt;&lt;_number&gt;Goymer2018&lt;/_number&gt;&lt;_pages&gt;208-209&lt;/_pages&gt;&lt;_url&gt;https://doi.org/10.1038/s41559-018-0464-z&lt;/_url&gt;&lt;_volume&gt;2&lt;/_volume&gt;&lt;_created&gt;64537356&lt;/_created&gt;&lt;_modified&gt;64537356&lt;/_modified&gt;&lt;_impact_factor&gt;  12.541&lt;/_impact_factor&gt;&lt;_collection_scope&gt;SCIE&lt;/_collection_scope&gt;&lt;/Details&gt;&lt;Extra&gt;&lt;DBUID&gt;{F96A950B-833F-4880-A151-76DA2D6A2879}&lt;/DBUID&gt;&lt;/Extra&gt;&lt;/Item&gt;&lt;/References&gt;&lt;/Group&gt;&lt;Group&gt;&lt;References&gt;&lt;Item&gt;&lt;ID&gt;469&lt;/ID&gt;&lt;UID&gt;{6CB54931-06E4-48CC-98BA-09810E15D2BE}&lt;/UID&gt;&lt;Title&gt;Economic efficiency and targeting of the African Great Green Wall&lt;/Title&gt;&lt;Template&gt;Journal Article&lt;/Template&gt;&lt;Star&gt;0&lt;/Star&gt;&lt;Tag&gt;0&lt;/Tag&gt;&lt;Author&gt;Mirzabaev, A; Sacande, M; Motlagh, F; Shyrokaya, A; Martucci, A&lt;/Author&gt;&lt;Year&gt;2022&lt;/Year&gt;&lt;Details&gt;&lt;_alternate_title&gt;Nature Sustainability&lt;/_alternate_title&gt;&lt;_date_display&gt;2022&lt;/_date_display&gt;&lt;_date&gt;2022-01-01&lt;/_date&gt;&lt;_doi&gt;10.1038/s41893-021-00801-8&lt;/_doi&gt;&lt;_isbn&gt;2398-9629&lt;/_isbn&gt;&lt;_issue&gt;1&lt;/_issue&gt;&lt;_journal&gt;Nature Sustainability&lt;/_journal&gt;&lt;_number&gt;Mirzabaev2022&lt;/_number&gt;&lt;_pages&gt;17-25&lt;/_pages&gt;&lt;_url&gt;https://doi.org/10.1038/s41893-021-00801-8&lt;/_url&gt;&lt;_volume&gt;5&lt;/_volume&gt;&lt;_created&gt;64537359&lt;/_created&gt;&lt;_modified&gt;64537359&lt;/_modified&gt;&lt;_impact_factor&gt;  12.080&lt;/_impact_factor&gt;&lt;/Details&gt;&lt;Extra&gt;&lt;DBUID&gt;{F96A950B-833F-4880-A151-76DA2D6A2879}&lt;/DBUID&gt;&lt;/Extra&gt;&lt;/Item&gt;&lt;/References&gt;&lt;/Group&gt;&lt;/Citation&gt;_x000a_"/>
    <w:docVar w:name="NE.Ref{C399CB26-6582-4EF6-90ED-3311EE6026A8}" w:val=" ADDIN NE.Ref.{C399CB26-6582-4EF6-90ED-3311EE6026A8}&lt;Citation&gt;&lt;Group&gt;&lt;References&gt;&lt;Item&gt;&lt;ID&gt;397&lt;/ID&gt;&lt;UID&gt;{F028FB56-82C8-4DD1-A546-FEFBFA285A5E}&lt;/UID&gt;&lt;Title&gt;Study on Water Resources Problems of Arid Areas Under the Influence of Urbanization&lt;/Title&gt;&lt;Template&gt;Book Section&lt;/Template&gt;&lt;Star&gt;0&lt;/Star&gt;&lt;Tag&gt;0&lt;/Tag&gt;&lt;Author&gt;Ding, Jianli; Wang, Jinjie; Ma, Ligang; Ma, Wen&lt;/Author&gt;&lt;Year&gt;2020&lt;/Year&gt;&lt;Details&gt;&lt;_doi&gt;10.1007/978-981-15-3507-9_5&lt;/_doi&gt;&lt;_isbn&gt;978-981-15-3507-9&lt;/_isbn&gt;&lt;_number&gt;Ding2020&lt;/_number&gt;&lt;_ori_publication&gt;Springer Singapore&lt;/_ori_publication&gt;&lt;_pages&gt;81-95&lt;/_pages&gt;&lt;_place_published&gt;Singapore&lt;/_place_published&gt;&lt;_publisher&gt;Springer Singapore&lt;/_publisher&gt;&lt;_secondary_author&gt;Wang, Fang; Prominski, Martin&lt;/_secondary_author&gt;&lt;_secondary_title&gt;Water-Related Urbanization and Locality: Protecting, Planning and Designing Urban Water Environments in a Sustainable Way&lt;/_secondary_title&gt;&lt;_url&gt;https://doi.org/10.1007/978-981-15-3507-9_5&lt;/_url&gt;&lt;_created&gt;64537350&lt;/_created&gt;&lt;_modified&gt;64537350&lt;/_modified&gt;&lt;/Details&gt;&lt;Extra&gt;&lt;DBUID&gt;{F96A950B-833F-4880-A151-76DA2D6A2879}&lt;/DBUID&gt;&lt;/Extra&gt;&lt;/Item&gt;&lt;/References&gt;&lt;/Group&gt;&lt;/Citation&gt;_x000a_"/>
    <w:docVar w:name="NE.Ref{C58E2030-6E9C-4D5A-AF57-1E8A8208301D}" w:val=" ADDIN NE.Ref.{C58E2030-6E9C-4D5A-AF57-1E8A8208301D}&lt;Citation&gt;&lt;Group&gt;&lt;References&gt;&lt;Item&gt;&lt;ID&gt;476&lt;/ID&gt;&lt;UID&gt;{986972F0-8D85-4935-84BA-7D0ED937E6A7}&lt;/UID&gt;&lt;Title&gt;Strategic approaches to restoring ecosystems can triple conservation gains and halve costs&lt;/Title&gt;&lt;Template&gt;Journal Article&lt;/Template&gt;&lt;Star&gt;0&lt;/Star&gt;&lt;Tag&gt;0&lt;/Tag&gt;&lt;Author&gt;Strassburg, Bernardo B N; Beyer, Hawthorne L; Crouzeilles, Renato; Iribarrem, Alvaro; Barros, Felipe; de Siqueira, Marinez Ferreira; Sánchez-Tapia, Andrea; Balmford, Andrew; Sansevero, Jerônimo Boelsums Barreto; Brancalion, Pedro Henrique Santin; Broadbent, Eben North; Chazdon, Robin L; Filho, Ary Oliveira; Gardner, Toby A; Gordon, Ascelin; Latawiec, Agnieszka; Loyola, Rafael; Metzger, Jean Paul; Mills, Morena; Possingham, Hugh P; Rodrigues, Ricardo Ribeiro; Scaramuzza, Carlos Alberto De Mattos; Scarano, Fabio Rubio; Tambosi, Leandro; Uriarte, Maria&lt;/Author&gt;&lt;Year&gt;2019&lt;/Year&gt;&lt;Details&gt;&lt;_alternate_title&gt;Nature Ecology &amp;amp; Evolution&lt;/_alternate_title&gt;&lt;_date_display&gt;2019&lt;/_date_display&gt;&lt;_date&gt;2019-01-01&lt;/_date&gt;&lt;_doi&gt;10.1038/s41559-018-0743-8&lt;/_doi&gt;&lt;_isbn&gt;2397-334X&lt;/_isbn&gt;&lt;_issue&gt;1&lt;/_issue&gt;&lt;_journal&gt;Nature Ecology &amp;amp; Evolution&lt;/_journal&gt;&lt;_number&gt;Strassburg2019&lt;/_number&gt;&lt;_pages&gt;62-70&lt;/_pages&gt;&lt;_url&gt;https://doi.org/10.1038/s41559-018-0743-8&lt;/_url&gt;&lt;_volume&gt;3&lt;/_volume&gt;&lt;_created&gt;64553000&lt;/_created&gt;&lt;_modified&gt;64553000&lt;/_modified&gt;&lt;_impact_factor&gt;  12.541&lt;/_impact_factor&gt;&lt;_collection_scope&gt;SCIE&lt;/_collection_scope&gt;&lt;/Details&gt;&lt;Extra&gt;&lt;DBUID&gt;{F96A950B-833F-4880-A151-76DA2D6A2879}&lt;/DBUID&gt;&lt;/Extra&gt;&lt;/Item&gt;&lt;/References&gt;&lt;/Group&gt;&lt;/Citation&gt;_x000a_"/>
    <w:docVar w:name="NE.Ref{D1B32A3D-13CC-4E90-A368-0357E4FD5B88}" w:val=" ADDIN NE.Ref.{D1B32A3D-13CC-4E90-A368-0357E4FD5B88}&lt;Citation&gt;&lt;Group&gt;&lt;References&gt;&lt;Item&gt;&lt;ID&gt;466&lt;/ID&gt;&lt;UID&gt;{54A90856-B8B7-4B82-9C23-BB7671250A77}&lt;/UID&gt;&lt;Title&gt;Conservation needs to break free from global priority mapping&lt;/Title&gt;&lt;Template&gt;Journal Article&lt;/Template&gt;&lt;Star&gt;0&lt;/Star&gt;&lt;Tag&gt;0&lt;/Tag&gt;&lt;Author&gt;Wyborn, Carina; Evans, Megan C&lt;/Author&gt;&lt;Year&gt;2021&lt;/Year&gt;&lt;Details&gt;&lt;_alternate_title&gt;Nature Ecology &amp;amp; Evolution&lt;/_alternate_title&gt;&lt;_date_display&gt;2021&lt;/_date_display&gt;&lt;_date&gt;2021-01-01&lt;/_date&gt;&lt;_doi&gt;10.1038/s41559-021-01540-x&lt;/_doi&gt;&lt;_isbn&gt;2397-334X&lt;/_isbn&gt;&lt;_issue&gt;10&lt;/_issue&gt;&lt;_journal&gt;Nature Ecology &amp;amp; Evolution&lt;/_journal&gt;&lt;_number&gt;Wyborn2021&lt;/_number&gt;&lt;_pages&gt;1322-1324&lt;/_pages&gt;&lt;_url&gt;https://doi.org/10.1038/s41559-021-01540-x&lt;/_url&gt;&lt;_volume&gt;5&lt;/_volume&gt;&lt;_created&gt;64537359&lt;/_created&gt;&lt;_modified&gt;64537359&lt;/_modified&gt;&lt;_impact_factor&gt;  12.541&lt;/_impact_factor&gt;&lt;_collection_scope&gt;SCIE&lt;/_collection_scope&gt;&lt;/Details&gt;&lt;Extra&gt;&lt;DBUID&gt;{F96A950B-833F-4880-A151-76DA2D6A2879}&lt;/DBUID&gt;&lt;/Extra&gt;&lt;/Item&gt;&lt;/References&gt;&lt;/Group&gt;&lt;/Citation&gt;_x000a_"/>
    <w:docVar w:name="NE.Ref{D283DA89-177B-4D65-AF07-A30D56C3E42E}" w:val=" ADDIN NE.Ref.{D283DA89-177B-4D65-AF07-A30D56C3E42E}&lt;Citation&gt;&lt;Group&gt;&lt;References&gt;&lt;Item&gt;&lt;ID&gt;473&lt;/ID&gt;&lt;UID&gt;{9D9F93BF-2D81-4F2B-AB01-12D50555310E}&lt;/UID&gt;&lt;Title/&gt;&lt;Template&gt;Generic&lt;/Template&gt;&lt;Star&gt;0&lt;/Star&gt;&lt;Tag&gt;0&lt;/Tag&gt;&lt;Author&gt;Shi, LeiAU Halik ÜmütAU Abliz&lt;/Author&gt;&lt;Year&gt;2020&lt;/Year&gt;&lt;Details&gt;&lt;_date_display&gt;2020&lt;/_date_display&gt;&lt;_date&gt;2020-01-01&lt;/_date&gt;&lt;_doi&gt;10.3390/f11060690_x000d__x000a_ER  -&lt;/_doi&gt;&lt;_isbn&gt;1999-4907&lt;/_isbn&gt;&lt;_issue&gt;6&lt;/_issue&gt;&lt;_journal&gt;Forests&lt;/_journal&gt;&lt;_keywords&gt;oasis cities; urban green space (UGS); two-step floating catchment area method (2SFCA); accessibility; inequality; UGS policy&lt;/_keywords&gt;&lt;_secondary_title&gt;Forests&lt;/_secondary_title&gt;&lt;_volume&gt;11&lt;/_volume&gt;&lt;_created&gt;64537364&lt;/_created&gt;&lt;_modified&gt;64537364&lt;/_modified&gt;&lt;/Details&gt;&lt;Extra&gt;&lt;DBUID&gt;{F96A950B-833F-4880-A151-76DA2D6A2879}&lt;/DBUID&gt;&lt;/Extra&gt;&lt;/Item&gt;&lt;/References&gt;&lt;/Group&gt;&lt;/Citation&gt;_x000a_"/>
    <w:docVar w:name="NE.Ref{DBECF4C0-3A05-4985-B93E-6FEE9485C5A9}" w:val=" ADDIN NE.Ref.{DBECF4C0-3A05-4985-B93E-6FEE9485C5A9}&lt;Citation&gt;&lt;Group&gt;&lt;References&gt;&lt;Item&gt;&lt;ID&gt;392&lt;/ID&gt;&lt;UID&gt;{0DA94E6E-DB91-4B48-B136-59112C72D797}&lt;/UID&gt;&lt;Title&gt;Accelerated dryland expansion regulates future variability in dryland gross primary production&lt;/Title&gt;&lt;Template&gt;Journal Article&lt;/Template&gt;&lt;Star&gt;0&lt;/Star&gt;&lt;Tag&gt;0&lt;/Tag&gt;&lt;Author&gt;Yao, Jingyu; Liu, Heping; Huang, Jianping; Gao, Zhongming; Wang, Guoyin; Li, Dan; Yu, Haipeng; Chen, Xingyuan&lt;/Author&gt;&lt;Year&gt;2020&lt;/Year&gt;&lt;Details&gt;&lt;_alternate_title&gt;Nature Communications&lt;/_alternate_title&gt;&lt;_date_display&gt;2020&lt;/_date_display&gt;&lt;_date&gt;2020-01-01&lt;/_date&gt;&lt;_doi&gt;10.1038/s41467-020-15515-2&lt;/_doi&gt;&lt;_isbn&gt;2041-1723&lt;/_isbn&gt;&lt;_issue&gt;1&lt;/_issue&gt;&lt;_journal&gt;Nature Communications&lt;/_journal&gt;&lt;_number&gt;Yao2020&lt;/_number&gt;&lt;_pages&gt;1665&lt;/_pages&gt;&lt;_url&gt;https://doi.org/10.1038/s41467-020-15515-2&lt;/_url&gt;&lt;_volume&gt;11&lt;/_volume&gt;&lt;_created&gt;64537209&lt;/_created&gt;&lt;_modified&gt;64537209&lt;/_modified&gt;&lt;_impact_factor&gt;  12.121&lt;/_impact_factor&gt;&lt;_collection_scope&gt;SCI;SCIE&lt;/_collection_scope&gt;&lt;_accessed&gt;64537211&lt;/_accessed&gt;&lt;/Details&gt;&lt;Extra&gt;&lt;DBUID&gt;{F96A950B-833F-4880-A151-76DA2D6A2879}&lt;/DBUID&gt;&lt;/Extra&gt;&lt;/Item&gt;&lt;/References&gt;&lt;/Group&gt;&lt;/Citation&gt;_x000a_"/>
    <w:docVar w:name="NE.Ref{DD187E8A-8C65-4D04-9FAD-2973AB09BAFA}" w:val=" ADDIN NE.Ref.{DD187E8A-8C65-4D04-9FAD-2973AB09BAFA}&lt;Citation&gt;&lt;Group&gt;&lt;References&gt;&lt;Item&gt;&lt;ID&gt;427&lt;/ID&gt;&lt;UID&gt;{5B7FF231-4F4A-46B1-B649-2A8DA29C66AD}&lt;/UID&gt;&lt;Title&gt;Divergent hydrological response to large-scale afforestation and vegetation greening in China&lt;/Title&gt;&lt;Template&gt;Journal Article&lt;/Template&gt;&lt;Star&gt;0&lt;/Star&gt;&lt;Tag&gt;0&lt;/Tag&gt;&lt;Author&gt;Li, Yue; Piao, Shilong; Li, Laurent Z X; Chen, Anping; Wang, Xuhui; Ciais, Philippe; Huang, Ling; Lian, Xu; Peng, Shushi; Zeng, Zhenzhong; Wang, Kai; Zhou, Liming&lt;/Author&gt;&lt;Year&gt;0&lt;/Year&gt;&lt;Details&gt;&lt;_alternate_title&gt;Science AdvancesScience Advances&lt;/_alternate_title&gt;&lt;_doi&gt;10.1126/sciadv.aar4182&lt;/_doi&gt;&lt;_issue&gt;5&lt;/_issue&gt;&lt;_journal&gt;Science Advances&lt;/_journal&gt;&lt;_ori_publication&gt;American Association for the Advancement of Science&lt;/_ori_publication&gt;&lt;_pages&gt;eaar4182&lt;/_pages&gt;&lt;_url&gt;https://doi.org/10.1126/sciadv.aar4182&lt;/_url&gt;&lt;_volume&gt;4&lt;/_volume&gt;&lt;_created&gt;64537354&lt;/_created&gt;&lt;_modified&gt;64537354&lt;/_modified&gt;&lt;_collection_scope&gt;SCI;SCIE;EI&lt;/_collection_scope&gt;&lt;/Details&gt;&lt;Extra&gt;&lt;DBUID&gt;{F96A950B-833F-4880-A151-76DA2D6A2879}&lt;/DBUID&gt;&lt;/Extra&gt;&lt;/Item&gt;&lt;/References&gt;&lt;/Group&gt;&lt;/Citation&gt;_x000a_"/>
    <w:docVar w:name="NE.Ref{DE1EB9DE-0F1B-4525-947C-B3DE7A835D74}" w:val=" ADDIN NE.Ref.{DE1EB9DE-0F1B-4525-947C-B3DE7A835D74}&lt;Citation&gt;&lt;Group&gt;&lt;References&gt;&lt;Item&gt;&lt;ID&gt;482&lt;/ID&gt;&lt;UID&gt;{5CB0D5ED-4B9B-4AB8-B004-70729AC90C97}&lt;/UID&gt;&lt;Title&gt;Driving forces of agricultural expansion and land degradation indicated by Vegetation Continuous Fields (VCF) data in drylands from 2000 to 2015&lt;/Title&gt;&lt;Template&gt;Journal Article&lt;/Template&gt;&lt;Star&gt;0&lt;/Star&gt;&lt;Tag&gt;0&lt;/Tag&gt;&lt;Author&gt;Leng, Xuejing; Feng, Xiaoming; Fu, Bojie&lt;/Author&gt;&lt;Year&gt;2020&lt;/Year&gt;&lt;Details&gt;&lt;_alternate_title&gt;Global Ecology and Conservation&lt;/_alternate_title&gt;&lt;_date_display&gt;2020&lt;/_date_display&gt;&lt;_date&gt;2020-01-01&lt;/_date&gt;&lt;_doi&gt;https://doi.org/10.1016/j.gecco.2020.e01087&lt;/_doi&gt;&lt;_isbn&gt;2351-9894&lt;/_isbn&gt;&lt;_journal&gt;Global Ecology and Conservation&lt;/_journal&gt;&lt;_keywords&gt;Dryland; Agricultural expansion; Land degradation; VCF; Driving forces&lt;/_keywords&gt;&lt;_pages&gt;e01087&lt;/_pages&gt;&lt;_url&gt;https://www.sciencedirect.com/science/article/pii/S2351989420301517&lt;/_url&gt;&lt;_volume&gt;23&lt;/_volume&gt;&lt;_created&gt;64553000&lt;/_created&gt;&lt;_modified&gt;64553000&lt;/_modified&gt;&lt;_impact_factor&gt;   2.526&lt;/_impact_factor&gt;&lt;_collection_scope&gt;SCIE&lt;/_collection_scope&gt;&lt;/Details&gt;&lt;Extra&gt;&lt;DBUID&gt;{F96A950B-833F-4880-A151-76DA2D6A2879}&lt;/DBUID&gt;&lt;/Extra&gt;&lt;/Item&gt;&lt;/References&gt;&lt;/Group&gt;&lt;/Citation&gt;_x000a_"/>
    <w:docVar w:name="NE.Ref{E7A66C7F-86D5-47D9-A7EE-A30E260EFFD6}" w:val=" ADDIN NE.Ref.{E7A66C7F-86D5-47D9-A7EE-A30E260EFFD6}&lt;Citation&gt;&lt;Group&gt;&lt;References&gt;&lt;Item&gt;&lt;ID&gt;421&lt;/ID&gt;&lt;UID&gt;{B345D9C2-E116-4E0B-9B9A-CE879D37352A}&lt;/UID&gt;&lt;Title&gt;Fostering natural forest regeneration on former agricultural land through economic and policy interventions&lt;/Title&gt;&lt;Template&gt;Journal Article&lt;/Template&gt;&lt;Star&gt;0&lt;/Star&gt;&lt;Tag&gt;0&lt;/Tag&gt;&lt;Author&gt;Chazdon, Robin L; Lindenmayer, David; Guariguata, Manuel R; Crouzeilles, Renato; Rey Benayas, José María; Lazos Chavero, Elena&lt;/Author&gt;&lt;Year&gt;2020&lt;/Year&gt;&lt;Details&gt;&lt;_alternate_title&gt;Environmental Research Letters&lt;/_alternate_title&gt;&lt;_date_display&gt;2020&lt;/_date_display&gt;&lt;_date&gt;2020-01-01&lt;/_date&gt;&lt;_doi&gt;10.1088/1748-9326/ab79e6&lt;/_doi&gt;&lt;_isbn&gt;1748-9326&lt;/_isbn&gt;&lt;_issue&gt;4&lt;/_issue&gt;&lt;_journal&gt;Environmental Research Letters&lt;/_journal&gt;&lt;_ori_publication&gt;IOP Publishing&lt;/_ori_publication&gt;&lt;_pages&gt;043002&lt;/_pages&gt;&lt;_url&gt;http://dx.doi.org/10.1088/1748-9326/ab79e6&lt;/_url&gt;&lt;_volume&gt;15&lt;/_volume&gt;&lt;_created&gt;64537354&lt;/_created&gt;&lt;_modified&gt;64537354&lt;/_modified&gt;&lt;_impact_factor&gt;   6.096&lt;/_impact_factor&gt;&lt;_collection_scope&gt;SCIE&lt;/_collection_scope&gt;&lt;/Details&gt;&lt;Extra&gt;&lt;DBUID&gt;{F96A950B-833F-4880-A151-76DA2D6A2879}&lt;/DBUID&gt;&lt;/Extra&gt;&lt;/Item&gt;&lt;/References&gt;&lt;/Group&gt;&lt;/Citation&gt;_x000a_"/>
    <w:docVar w:name="NE.Ref{E7D87DF3-07FB-4143-B040-FE65E7CF2DB5}" w:val=" ADDIN NE.Ref.{E7D87DF3-07FB-4143-B040-FE65E7CF2DB5}&lt;Citation&gt;&lt;Group&gt;&lt;References&gt;&lt;Item&gt;&lt;ID&gt;393&lt;/ID&gt;&lt;UID&gt;{8F85AF69-E56E-49A5-81AA-EDF2CE88BCAB}&lt;/UID&gt;&lt;Title&gt;Ecosystems and human well-being&lt;/Title&gt;&lt;Template&gt;Book&lt;/Template&gt;&lt;Star&gt;0&lt;/Star&gt;&lt;Tag&gt;0&lt;/Tag&gt;&lt;Author&gt;Duraiappah, A K; Naeem, S; Agardy, T; Ash, N J; Cooper, H D; Díaz, S; Faith, D P; Mace, G; Mcneely, J A; Mooney, H A&lt;/Author&gt;&lt;Year&gt;2005&lt;/Year&gt;&lt;Details&gt;&lt;_publisher&gt;Ecosystems and human well-being :&lt;/_publisher&gt;&lt;_created&gt;64537304&lt;/_created&gt;&lt;_modified&gt;64537304&lt;/_modified&gt;&lt;/Details&gt;&lt;Extra&gt;&lt;DBUID&gt;{F96A950B-833F-4880-A151-76DA2D6A2879}&lt;/DBUID&gt;&lt;/Extra&gt;&lt;/Item&gt;&lt;/References&gt;&lt;/Group&gt;&lt;/Citation&gt;_x000a_"/>
    <w:docVar w:name="NE.Ref{E7D8A5A2-1419-46F6-88C2-152BF4E62D00}" w:val=" ADDIN NE.Ref.{E7D8A5A2-1419-46F6-88C2-152BF4E62D00}&lt;Citation&gt;&lt;Group&gt;&lt;References&gt;&lt;Item&gt;&lt;ID&gt;486&lt;/ID&gt;&lt;UID&gt;{32082C3B-CF10-469E-978E-7D7B48104960}&lt;/UID&gt;&lt;Title&gt;How afforestation affects the water cycle in drylands: A process-based comparative analysis&lt;/Title&gt;&lt;Template&gt;Journal Article&lt;/Template&gt;&lt;Star&gt;0&lt;/Star&gt;&lt;Tag&gt;0&lt;/Tag&gt;&lt;Author&gt;Schwärzel, Kai; Zhang, Lulu; Montanarella, Luca; Wang, Yanhui; Sun, Ge&lt;/Author&gt;&lt;Year&gt;2020&lt;/Year&gt;&lt;Details&gt;&lt;_alternate_title&gt;Global Change BiologyGlobal Change Biology&lt;/_alternate_title&gt;&lt;_date_display&gt;2020_x000d__x000a_2020/02/01&lt;/_date_display&gt;&lt;_date&gt;2020-02-01&lt;/_date&gt;&lt;_doi&gt;https://doi.org/10.1111/gcb.14875&lt;/_doi&gt;&lt;_isbn&gt;1354-1013&lt;/_isbn&gt;&lt;_issue&gt;2&lt;/_issue&gt;&lt;_journal&gt;Global Change Biology&lt;/_journal&gt;&lt;_keywords&gt;afforestation; climate change; green and blue flows; soil and water conservation; soil erosion control; United Nations Sustainable Development Goals; water cycle in drylands; water scarcity management&lt;/_keywords&gt;&lt;_ori_publication&gt;John Wiley &amp;amp; Sons, Ltd&lt;/_ori_publication&gt;&lt;_pages&gt;944-959&lt;/_pages&gt;&lt;_url&gt;https://doi.org/10.1111/gcb.14875&lt;/_url&gt;&lt;_volume&gt;26&lt;/_volume&gt;&lt;_created&gt;64554808&lt;/_created&gt;&lt;_modified&gt;64554808&lt;/_modified&gt;&lt;_impact_factor&gt;  10.863&lt;/_impact_factor&gt;&lt;_collection_scope&gt;SCI;SCIE&lt;/_collection_scope&gt;&lt;/Details&gt;&lt;Extra&gt;&lt;DBUID&gt;{F96A950B-833F-4880-A151-76DA2D6A2879}&lt;/DBUID&gt;&lt;/Extra&gt;&lt;/Item&gt;&lt;/References&gt;&lt;/Group&gt;&lt;/Citation&gt;_x000a_"/>
    <w:docVar w:name="NE.Ref{ED43EB67-B79E-4D42-A6DE-9EE9D78C43A1}" w:val=" ADDIN NE.Ref.{ED43EB67-B79E-4D42-A6DE-9EE9D78C43A1}&lt;Citation&gt;&lt;Group&gt;&lt;References&gt;&lt;Item&gt;&lt;ID&gt;487&lt;/ID&gt;&lt;UID&gt;{74D9AC05-6BCD-4FEA-B83A-3E0B1887B3D5}&lt;/UID&gt;&lt;Title&gt;Identification of key priority areas under different ecological restoration scenarios on the Qinghai-Tibet Plateau&lt;/Title&gt;&lt;Template&gt;Journal Article&lt;/Template&gt;&lt;Star&gt;0&lt;/Star&gt;&lt;Tag&gt;0&lt;/Tag&gt;&lt;Author&gt;Liu, Yixuan; Liu, Shiliang; Wang, Fangfang; Liu, Hua; Li, Mingqi; Sun, Yongxiu; Wang, Qingbo; Yu, Lu&lt;/Author&gt;&lt;Year&gt;2022&lt;/Year&gt;&lt;Details&gt;&lt;_alternate_title&gt;Journal of Environmental Management&lt;/_alternate_title&gt;&lt;_date_display&gt;2022&lt;/_date_display&gt;&lt;_date&gt;2022-01-01&lt;/_date&gt;&lt;_doi&gt;https://doi.org/10.1016/j.jenvman.2022.116174&lt;/_doi&gt;&lt;_isbn&gt;0301-4797&lt;/_isbn&gt;&lt;_journal&gt;Journal of Environmental Management&lt;/_journal&gt;&lt;_keywords&gt;Ecological restoration; Biodiversity conservation; Climate change mitigation; Restoration costs; Restoration benefit; Key priority areas (KPAs)&lt;/_keywords&gt;&lt;_pages&gt;116174&lt;/_pages&gt;&lt;_url&gt;https://www.sciencedirect.com/science/article/pii/S0301479722017479&lt;/_url&gt;&lt;_volume&gt;323&lt;/_volume&gt;&lt;_created&gt;64560915&lt;/_created&gt;&lt;_modified&gt;64560915&lt;/_modified&gt;&lt;_impact_factor&gt;   6.789&lt;/_impact_factor&gt;&lt;_collection_scope&gt;SCI;SCIE&lt;/_collection_scope&gt;&lt;/Details&gt;&lt;Extra&gt;&lt;DBUID&gt;{F96A950B-833F-4880-A151-76DA2D6A2879}&lt;/DBUID&gt;&lt;/Extra&gt;&lt;/Item&gt;&lt;/References&gt;&lt;/Group&gt;&lt;/Citation&gt;_x000a_"/>
    <w:docVar w:name="NE.Ref{EF2CE403-84B4-4BD9-83F8-F02D1582784A}" w:val=" ADDIN NE.Ref.{EF2CE403-84B4-4BD9-83F8-F02D1582784A}&lt;Citation&gt;&lt;Group&gt;&lt;References&gt;&lt;Item&gt;&lt;ID&gt;394&lt;/ID&gt;&lt;UID&gt;{94289583-1F51-4870-884E-92DD3512B4C4}&lt;/UID&gt;&lt;Title&gt;Water shortages raised a legitimate concern over the sustainable development of the drylands of northern China: Evidence from the water stress index&lt;/Title&gt;&lt;Template&gt;Journal Article&lt;/Template&gt;&lt;Star&gt;0&lt;/Star&gt;&lt;Tag&gt;0&lt;/Tag&gt;&lt;Author&gt;Li, Jingwei; Liu, Zhifeng; He, Chunyang; Yue, Huanbi; Gou, Siyuan&lt;/Author&gt;&lt;Year&gt;2017&lt;/Year&gt;&lt;Details&gt;&lt;_alternate_title&gt;Science of The Total Environment&lt;/_alternate_title&gt;&lt;_date_display&gt;2017&lt;/_date_display&gt;&lt;_date&gt;2017-01-01&lt;/_date&gt;&lt;_doi&gt;https://doi.org/10.1016/j.scitotenv.2017.03.037&lt;/_doi&gt;&lt;_isbn&gt;0048-9697&lt;/_isbn&gt;&lt;_journal&gt;Science of The Total Environment&lt;/_journal&gt;&lt;_keywords&gt;Drylands of northern China; Water stress index; Water shortage; Sustainable development&lt;/_keywords&gt;&lt;_pages&gt;739-750&lt;/_pages&gt;&lt;_url&gt;https://www.sciencedirect.com/science/article/pii/S0048969717305429&lt;/_url&gt;&lt;_volume&gt;590-591&lt;/_volume&gt;&lt;_created&gt;64537309&lt;/_created&gt;&lt;_modified&gt;64537309&lt;/_modified&gt;&lt;_impact_factor&gt;   6.551&lt;/_impact_factor&gt;&lt;_collection_scope&gt;SCI;SCIE;EI&lt;/_collection_scope&gt;&lt;/Details&gt;&lt;Extra&gt;&lt;DBUID&gt;{F96A950B-833F-4880-A151-76DA2D6A2879}&lt;/DBUID&gt;&lt;/Extra&gt;&lt;/Item&gt;&lt;/References&gt;&lt;/Group&gt;&lt;Group&gt;&lt;References&gt;&lt;Item&gt;&lt;ID&gt;401&lt;/ID&gt;&lt;UID&gt;{94CFCFA2-009A-4333-83A6-EF08C043132E}&lt;/UID&gt;&lt;Title&gt;The Global-DEP conceptual framework — research on dryland ecosystems to promote sustainability&lt;/Title&gt;&lt;Template&gt;Journal Article&lt;/Template&gt;&lt;Star&gt;0&lt;/Star&gt;&lt;Tag&gt;0&lt;/Tag&gt;&lt;Author&gt;Fu, Bojie; Stafford-Smith, Mark; Wang, Yanfen; Wu, Binfang; Yu, Xiubo; Lv, Nan; Ojima, Dennis S; Lv, Yihe; Fu, Chao; Liu, Yu; Niu, Shuli; Zhang, Yangjian; Zeng, Hongwei; Liu, Yuexian; Liu, Yanxu; Feng, Xiaoming; Zhang, Lu; Wei, Yongping; Xu, Zhihong; Li, Fadong; Cui, Xiaoyong; Diop, Salif; Chen, Xi&lt;/Author&gt;&lt;Year&gt;2021&lt;/Year&gt;&lt;Details&gt;&lt;_alternate_title&gt;Current Opinion in Environmental SustainabilityThe dryland social-ecological systems in changing environments&lt;/_alternate_title&gt;&lt;_date_display&gt;2021&lt;/_date_display&gt;&lt;_date&gt;2021-01-01&lt;/_date&gt;&lt;_doi&gt;https://doi.org/10.1016/j.cosust.2020.08.009&lt;/_doi&gt;&lt;_isbn&gt;1877-3435&lt;/_isbn&gt;&lt;_journal&gt;Current Opinion in Environmental Sustainability&lt;/_journal&gt;&lt;_pages&gt;17-28&lt;/_pages&gt;&lt;_url&gt;https://www.sciencedirect.com/science/article/pii/S1877343520300634&lt;/_url&gt;&lt;_volume&gt;48&lt;/_volume&gt;&lt;_created&gt;64537351&lt;/_created&gt;&lt;_modified&gt;64537351&lt;/_modified&gt;&lt;_impact_factor&gt;   5.658&lt;/_impact_factor&gt;&lt;_collection_scope&gt;SCIE&lt;/_collection_scope&gt;&lt;/Details&gt;&lt;Extra&gt;&lt;DBUID&gt;{F96A950B-833F-4880-A151-76DA2D6A2879}&lt;/DBUID&gt;&lt;/Extra&gt;&lt;/Item&gt;&lt;/References&gt;&lt;/Group&gt;&lt;/Citation&gt;_x000a_"/>
    <w:docVar w:name="NE.Ref{F029B42E-CDC0-4553-8614-92B53D087B73}" w:val=" ADDIN NE.Ref.{F029B42E-CDC0-4553-8614-92B53D087B73}&lt;Citation&gt;&lt;Group&gt;&lt;References&gt;&lt;Item&gt;&lt;ID&gt;427&lt;/ID&gt;&lt;UID&gt;{5B7FF231-4F4A-46B1-B649-2A8DA29C66AD}&lt;/UID&gt;&lt;Title&gt;Divergent hydrological response to large-scale afforestation and vegetation greening in China&lt;/Title&gt;&lt;Template&gt;Journal Article&lt;/Template&gt;&lt;Star&gt;0&lt;/Star&gt;&lt;Tag&gt;0&lt;/Tag&gt;&lt;Author&gt;Li, Yue; Piao, Shilong; Li, Laurent Z X; Chen, Anping; Wang, Xuhui; Ciais, Philippe; Huang, Ling; Lian, Xu; Peng, Shushi; Zeng, Zhenzhong; Wang, Kai; Zhou, Liming&lt;/Author&gt;&lt;Year&gt;0&lt;/Year&gt;&lt;Details&gt;&lt;_alternate_title&gt;Science AdvancesScience Advances&lt;/_alternate_title&gt;&lt;_doi&gt;10.1126/sciadv.aar4182&lt;/_doi&gt;&lt;_issue&gt;5&lt;/_issue&gt;&lt;_journal&gt;Science Advances&lt;/_journal&gt;&lt;_ori_publication&gt;American Association for the Advancement of Science&lt;/_ori_publication&gt;&lt;_pages&gt;eaar4182&lt;/_pages&gt;&lt;_url&gt;https://doi.org/10.1126/sciadv.aar4182&lt;/_url&gt;&lt;_volume&gt;4&lt;/_volume&gt;&lt;_created&gt;64537354&lt;/_created&gt;&lt;_modified&gt;64537354&lt;/_modified&gt;&lt;_collection_scope&gt;SCI;SCIE;EI&lt;/_collection_scope&gt;&lt;/Details&gt;&lt;Extra&gt;&lt;DBUID&gt;{F96A950B-833F-4880-A151-76DA2D6A2879}&lt;/DBUID&gt;&lt;/Extra&gt;&lt;/Item&gt;&lt;/References&gt;&lt;/Group&gt;&lt;/Citation&gt;_x000a_"/>
    <w:docVar w:name="NE.Ref{F19187A4-31B8-49C5-A6B4-E1251DAAB824}" w:val=" ADDIN NE.Ref.{F19187A4-31B8-49C5-A6B4-E1251DAAB824}&lt;Citation&gt;&lt;Group&gt;&lt;References&gt;&lt;Item&gt;&lt;ID&gt;402&lt;/ID&gt;&lt;UID&gt;{A29F6B5F-44A2-4FC9-B5CF-540E821D7E77}&lt;/UID&gt;&lt;Title&gt;Simulating the potential for ecological restoration of dryland forests in Mexico under different disturbance regimes&lt;/Title&gt;&lt;Template&gt;Journal Article&lt;/Template&gt;&lt;Star&gt;0&lt;/Star&gt;&lt;Tag&gt;0&lt;/Tag&gt;&lt;Author&gt;Cantarello, Elena; Newton, Adrian C; Hill, Ross A; Tejedor-Garavito, Natalia; Williams-Linera, Guadalupe; López-Barrera, Fabiola; Manson, Robert H; Golicher, Duncan J&lt;/Author&gt;&lt;Year&gt;2011&lt;/Year&gt;&lt;Details&gt;&lt;_alternate_title&gt;Ecological Modelling&lt;/_alternate_title&gt;&lt;_date_display&gt;2011&lt;/_date_display&gt;&lt;_date&gt;2011-01-01&lt;/_date&gt;&lt;_doi&gt;https://doi.org/10.1016/j.ecolmodel.2010.12.019&lt;/_doi&gt;&lt;_isbn&gt;0304-3800&lt;/_isbn&gt;&lt;_issue&gt;5&lt;/_issue&gt;&lt;_journal&gt;Ecological Modelling&lt;/_journal&gt;&lt;_keywords&gt;Landscape modelling; Tropical dry forest; Forest dynamics; Forest succession; Ecological restoration; Human disturbance; Fire and grazing regimes&lt;/_keywords&gt;&lt;_pages&gt;1112-1128&lt;/_pages&gt;&lt;_url&gt;https://www.sciencedirect.com/science/article/pii/S030438001000685X&lt;/_url&gt;&lt;_volume&gt;222&lt;/_volume&gt;&lt;_created&gt;64537351&lt;/_created&gt;&lt;_modified&gt;64537351&lt;/_modified&gt;&lt;_impact_factor&gt;   2.497&lt;/_impact_factor&gt;&lt;_collection_scope&gt;SCI;SCIE;EI&lt;/_collection_scope&gt;&lt;/Details&gt;&lt;Extra&gt;&lt;DBUID&gt;{F96A950B-833F-4880-A151-76DA2D6A2879}&lt;/DBUID&gt;&lt;/Extra&gt;&lt;/Item&gt;&lt;/References&gt;&lt;/Group&gt;&lt;/Citation&gt;_x000a_"/>
    <w:docVar w:name="NE.Ref{F3644D16-206B-441F-BD2D-0332696C5F43}" w:val=" ADDIN NE.Ref.{F3644D16-206B-441F-BD2D-0332696C5F43}&lt;Citation&gt;&lt;Group&gt;&lt;References&gt;&lt;Item&gt;&lt;ID&gt;455&lt;/ID&gt;&lt;UID&gt;{AF63A517-2A57-4577-82AD-6410C4FC5DDE}&lt;/UID&gt;&lt;Title&gt;Global priority areas for ecosystem restoration&lt;/Title&gt;&lt;Template&gt;Journal Article&lt;/Template&gt;&lt;Star&gt;0&lt;/Star&gt;&lt;Tag&gt;0&lt;/Tag&gt;&lt;Author&gt;Strassburg, Bernardo B N; Iribarrem, Alvaro; Beyer, Hawthorne L; Cordeiro, Carlos Leandro; Crouzeilles, Renato; Jakovac, Catarina C; Braga Junqueira, André; Lacerda, Eduardo; Latawiec, Agnieszka E; Balmford, Andrew; Brooks, Thomas M; Butchart, Stuart H M; Chazdon, Robin L; Erb, Karl-Heinz; Brancalion, Pedro; Buchanan, Graeme; Cooper, David; Díaz, Sandra; Donald, Paul F; Kapos, Valerie; Leclère, David; Miles, Lera; Obersteiner, Michael; Plutzar, Christoph; de M. Scaramuzza, Carlos Alberto; Scarano, Fabio R; Visconti, Piero&lt;/Author&gt;&lt;Year&gt;2020&lt;/Year&gt;&lt;Details&gt;&lt;_alternate_title&gt;Nature&lt;/_alternate_title&gt;&lt;_date_display&gt;2020&lt;/_date_display&gt;&lt;_date&gt;2020-01-01&lt;/_date&gt;&lt;_doi&gt;10.1038/s41586-020-2784-9&lt;/_doi&gt;&lt;_isbn&gt;1476-4687&lt;/_isbn&gt;&lt;_issue&gt;7831&lt;/_issue&gt;&lt;_journal&gt;Nature&lt;/_journal&gt;&lt;_number&gt;Strassburg2020&lt;/_number&gt;&lt;_pages&gt;724-729&lt;/_pages&gt;&lt;_url&gt;https://doi.org/10.1038/s41586-020-2784-9&lt;/_url&gt;&lt;_volume&gt;586&lt;/_volume&gt;&lt;_created&gt;64537358&lt;/_created&gt;&lt;_modified&gt;64537358&lt;/_modified&gt;&lt;_impact_factor&gt;  42.778&lt;/_impact_factor&gt;&lt;_collection_scope&gt;SCI;SCIE&lt;/_collection_scope&gt;&lt;/Details&gt;&lt;Extra&gt;&lt;DBUID&gt;{F96A950B-833F-4880-A151-76DA2D6A2879}&lt;/DBUID&gt;&lt;/Extra&gt;&lt;/Item&gt;&lt;/References&gt;&lt;/Group&gt;&lt;/Citation&gt;_x000a_"/>
    <w:docVar w:name="NE.Ref{F71ABF7B-A855-4838-9E55-6FACD6EF92A6}" w:val=" ADDIN NE.Ref.{F71ABF7B-A855-4838-9E55-6FACD6EF92A6}&lt;Citation&gt;&lt;Group&gt;&lt;References&gt;&lt;Item&gt;&lt;ID&gt;456&lt;/ID&gt;&lt;UID&gt;{5E042065-85BC-48F4-AF12-CE22B7CD281A}&lt;/UID&gt;&lt;Title&gt;Which of the plethora of tree-growing projects to support?&lt;/Title&gt;&lt;Template&gt;Journal Article&lt;/Template&gt;&lt;Star&gt;0&lt;/Star&gt;&lt;Tag&gt;0&lt;/Tag&gt;&lt;Author&gt;Holl, Karen D; Brancalion, Pedro H S&lt;/Author&gt;&lt;Year&gt;2022&lt;/Year&gt;&lt;Details&gt;&lt;_alternate_title&gt;One Earth&lt;/_alternate_title&gt;&lt;_date_display&gt;2022&lt;/_date_display&gt;&lt;_date&gt;2022-01-01&lt;/_date&gt;&lt;_doi&gt;https://doi.org/10.1016/j.oneear.2022.04.001&lt;/_doi&gt;&lt;_isbn&gt;2590-3322&lt;/_isbn&gt;&lt;_issue&gt;5&lt;/_issue&gt;&lt;_journal&gt;One Earth&lt;/_journal&gt;&lt;_pages&gt;452-455&lt;/_pages&gt;&lt;_url&gt;https://www.sciencedirect.com/science/article/pii/S2590332222001567&lt;/_url&gt;&lt;_volume&gt;5&lt;/_volume&gt;&lt;_created&gt;64537358&lt;/_created&gt;&lt;_modified&gt;64537358&lt;/_modified&gt;&lt;/Details&gt;&lt;Extra&gt;&lt;DBUID&gt;{F96A950B-833F-4880-A151-76DA2D6A2879}&lt;/DBUID&gt;&lt;/Extra&gt;&lt;/Item&gt;&lt;/References&gt;&lt;/Group&gt;&lt;/Citation&gt;_x000a_"/>
    <w:docVar w:name="NE.Ref{FB4EBC87-B472-4D50-B3CE-DA24F4A42A03}" w:val=" ADDIN NE.Ref.{FB4EBC87-B472-4D50-B3CE-DA24F4A42A03}&lt;Citation&gt;&lt;Group&gt;&lt;References&gt;&lt;Item&gt;&lt;ID&gt;414&lt;/ID&gt;&lt;UID&gt;{0B572B7B-D808-4507-8B36-E1BB8EF3FBC2}&lt;/UID&gt;&lt;Title&gt;Building resilience to natural disasters: An application to small developing states&lt;/Title&gt;&lt;Template&gt;Journal Article&lt;/Template&gt;&lt;Star&gt;0&lt;/Star&gt;&lt;Tag&gt;0&lt;/Tag&gt;&lt;Author&gt;Marto, Ricardo; Papageorgiou, Chris; Klyuev, Vladimir&lt;/Author&gt;&lt;Year&gt;2018&lt;/Year&gt;&lt;Details&gt;&lt;_alternate_title&gt;Journal of Development Economics&lt;/_alternate_title&gt;&lt;_date_display&gt;2018&lt;/_date_display&gt;&lt;_date&gt;2018-01-01&lt;/_date&gt;&lt;_doi&gt;https://doi.org/10.1016/j.jdeveco.2018.08.008&lt;/_doi&gt;&lt;_isbn&gt;0304-3878&lt;/_isbn&gt;&lt;_journal&gt;Journal of Development Economics&lt;/_journal&gt;&lt;_keywords&gt;Natural disasters; Resilience; Adaptation; Debt sustainability; Small states&lt;/_keywords&gt;&lt;_pages&gt;574-586&lt;/_pages&gt;&lt;_url&gt;https://www.sciencedirect.com/science/article/pii/S0304387818304723&lt;/_url&gt;&lt;_volume&gt;135&lt;/_volume&gt;&lt;_created&gt;64537353&lt;/_created&gt;&lt;_modified&gt;64537353&lt;/_modified&gt;&lt;_impact_factor&gt;   2.649&lt;/_impact_factor&gt;&lt;_collection_scope&gt;SSCI&lt;/_collection_scope&gt;&lt;/Details&gt;&lt;Extra&gt;&lt;DBUID&gt;{F96A950B-833F-4880-A151-76DA2D6A2879}&lt;/DBUID&gt;&lt;/Extra&gt;&lt;/Item&gt;&lt;/References&gt;&lt;/Group&gt;&lt;Group&gt;&lt;References&gt;&lt;Item&gt;&lt;ID&gt;415&lt;/ID&gt;&lt;UID&gt;{53F69EFD-771F-4EFE-905A-4AFF0724DA41}&lt;/UID&gt;&lt;Title&gt;Identifying ecosystem service value and potential loss of wilderness areas in China to support post-2020 global biodiversity conservation&lt;/Title&gt;&lt;Template&gt;Journal Article&lt;/Template&gt;&lt;Star&gt;0&lt;/Star&gt;&lt;Tag&gt;0&lt;/Tag&gt;&lt;Author&gt;Cao, Yue; Wang, Fangyi; Tseng, Tz-Hsuan; Carver, Steve; Chen, Xin; Zhao, Jianqiao; Yu, Le; Li, Feng; Zhao, Zhicong; Yang, Rui&lt;/Author&gt;&lt;Year&gt;2022&lt;/Year&gt;&lt;Details&gt;&lt;_alternate_title&gt;Science of The Total Environment&lt;/_alternate_title&gt;&lt;_date_display&gt;2022&lt;/_date_display&gt;&lt;_date&gt;2022-01-01&lt;/_date&gt;&lt;_doi&gt;https://doi.org/10.1016/j.scitotenv.2022.157348&lt;/_doi&gt;&lt;_isbn&gt;0048-9697&lt;/_isbn&gt;&lt;_journal&gt;Science of The Total Environment&lt;/_journal&gt;&lt;_keywords&gt;Landscape planning; Wilderness; Protected areas; Biodiversity conservation; Ecosystem services&lt;/_keywords&gt;&lt;_pages&gt;157348&lt;/_pages&gt;&lt;_url&gt;https://www.sciencedirect.com/science/article/pii/S0048969722044461&lt;/_url&gt;&lt;_volume&gt;846&lt;/_volume&gt;&lt;_created&gt;64537353&lt;/_created&gt;&lt;_modified&gt;64537353&lt;/_modified&gt;&lt;_impact_factor&gt;   6.551&lt;/_impact_factor&gt;&lt;_collection_scope&gt;SCI;SCIE;EI&lt;/_collection_scope&gt;&lt;/Details&gt;&lt;Extra&gt;&lt;DBUID&gt;{F96A950B-833F-4880-A151-76DA2D6A2879}&lt;/DBUID&gt;&lt;/Extra&gt;&lt;/Item&gt;&lt;/References&gt;&lt;/Group&gt;&lt;Group&gt;&lt;References&gt;&lt;Item&gt;&lt;ID&gt;416&lt;/ID&gt;&lt;UID&gt;{23014050-B348-4FE5-B689-10C278385BB0}&lt;/UID&gt;&lt;Title&gt;Chapter 7 - Climate change adaptation through ecological restoration&lt;/Title&gt;&lt;Template&gt;Book Section&lt;/Template&gt;&lt;Star&gt;0&lt;/Star&gt;&lt;Tag&gt;0&lt;/Tag&gt;&lt;Author&gt;Lim, Chi Hong; Lim, Bong Soon; Kim, A Reum; Kim, Dong Uk; Seol, Jae Won; Pi, Jeong Hoon; Lee, Hansol; Lee, Chang Seok&lt;/Author&gt;&lt;Year&gt;2022&lt;/Year&gt;&lt;Details&gt;&lt;_doi&gt;https://doi.org/10.1016/B978-0-12-822976-7.00013-2&lt;/_doi&gt;&lt;_isbn&gt;978-0-12-822976-7&lt;/_isbn&gt;&lt;_keywords&gt;Adaptation; Climate change; CO; Ecological restoration; Land use intensity; Mitigation&lt;/_keywords&gt;&lt;_ori_publication&gt;Elsevier&lt;/_ori_publication&gt;&lt;_pages&gt;151-172&lt;/_pages&gt;&lt;_publisher&gt;Elsevier&lt;/_publisher&gt;&lt;_secondary_author&gt;Jhariya, Manoj Kumar; Meena, Ram Swaroop; Banerjee, Arnab; Meena, Surya Nandan&lt;/_secondary_author&gt;&lt;_secondary_title&gt;Natural Resources Conservation and Advances for Sustainability&lt;/_secondary_title&gt;&lt;_url&gt;https://www.sciencedirect.com/science/article/pii/B9780128229767000132&lt;/_url&gt;&lt;_created&gt;64537353&lt;/_created&gt;&lt;_modified&gt;64537353&lt;/_modified&gt;&lt;/Details&gt;&lt;Extra&gt;&lt;DBUID&gt;{F96A950B-833F-4880-A151-76DA2D6A2879}&lt;/DBUID&gt;&lt;/Extra&gt;&lt;/Item&gt;&lt;/References&gt;&lt;/Group&gt;&lt;/Citation&gt;_x000a_"/>
    <w:docVar w:name="NE.Ref{FB7B9342-65EE-4C07-BFA1-F2CA8C7B4C3E}" w:val=" ADDIN NE.Ref.{FB7B9342-65EE-4C07-BFA1-F2CA8C7B4C3E}&lt;Citation&gt;&lt;Group&gt;&lt;References&gt;&lt;Item&gt;&lt;ID&gt;392&lt;/ID&gt;&lt;UID&gt;{0DA94E6E-DB91-4B48-B136-59112C72D797}&lt;/UID&gt;&lt;Title&gt;Accelerated dryland expansion regulates future variability in dryland gross primary production&lt;/Title&gt;&lt;Template&gt;Journal Article&lt;/Template&gt;&lt;Star&gt;0&lt;/Star&gt;&lt;Tag&gt;0&lt;/Tag&gt;&lt;Author&gt;Yao, Jingyu; Liu, Heping; Huang, Jianping; Gao, Zhongming; Wang, Guoyin; Li, Dan; Yu, Haipeng; Chen, Xingyuan&lt;/Author&gt;&lt;Year&gt;2020&lt;/Year&gt;&lt;Details&gt;&lt;_alternate_title&gt;Nature Communications&lt;/_alternate_title&gt;&lt;_date_display&gt;2020&lt;/_date_display&gt;&lt;_date&gt;2020-01-01&lt;/_date&gt;&lt;_doi&gt;10.1038/s41467-020-15515-2&lt;/_doi&gt;&lt;_isbn&gt;2041-1723&lt;/_isbn&gt;&lt;_issue&gt;1&lt;/_issue&gt;&lt;_journal&gt;Nature Communications&lt;/_journal&gt;&lt;_number&gt;Yao2020&lt;/_number&gt;&lt;_pages&gt;1665&lt;/_pages&gt;&lt;_url&gt;https://doi.org/10.1038/s41467-020-15515-2&lt;/_url&gt;&lt;_volume&gt;11&lt;/_volume&gt;&lt;_created&gt;64537209&lt;/_created&gt;&lt;_modified&gt;64537209&lt;/_modified&gt;&lt;_impact_factor&gt;  12.121&lt;/_impact_factor&gt;&lt;_collection_scope&gt;SCI;SCIE&lt;/_collection_scope&gt;&lt;/Details&gt;&lt;Extra&gt;&lt;DBUID&gt;{F96A950B-833F-4880-A151-76DA2D6A2879}&lt;/DBUID&gt;&lt;/Extra&gt;&lt;/Item&gt;&lt;/References&gt;&lt;/Group&gt;&lt;/Citation&gt;_x000a_"/>
    <w:docVar w:name="NE.Ref{FCBC9284-C9F3-41F8-AB31-89361A5A14D2}" w:val=" ADDIN NE.Ref.{FCBC9284-C9F3-41F8-AB31-89361A5A14D2}&lt;Citation&gt;&lt;Group&gt;&lt;References&gt;&lt;Item&gt;&lt;ID&gt;463&lt;/ID&gt;&lt;UID&gt;{F33BF4FA-1435-476D-9030-CA2B461BB18E}&lt;/UID&gt;&lt;Title&gt;Challenges of ecological restoration: Lessons from forests in northern Europe&lt;/Title&gt;&lt;Template&gt;Journal Article&lt;/Template&gt;&lt;Star&gt;0&lt;/Star&gt;&lt;Tag&gt;0&lt;/Tag&gt;&lt;Author&gt;Halme, Panu; Allen, Katherine A; Auniņš, Ainārs; Bradshaw, Richard H W; Brūmelis, Guntis; Čada, Vojtěch; Clear, Jennifer L; Eriksson, Anna-Maria; Hannon, Gina; Hyvärinen, Esko; Ikauniece, Sandra; Iršėnaitė, Reda; Jonsson, Bengt Gunnar; Junninen, Kaisa; Kareksela, Santtu; Komonen, Atte; Kotiaho, Janne S; Kouki, Jari; Kuuluvainen, Timo; Mazziotta, Adriano; Mönkkönen, Mikko; Nyholm, Kristiina; Oldén, Anna; Shorohova, Ekaterina; Strange, Niels; Toivanen, Tero; Vanha-Majamaa, Ilkka; Wallenius, Tuomo; Ylisirniö, Anna-Liisa; Zin, Ewa&lt;/Author&gt;&lt;Year&gt;2013&lt;/Year&gt;&lt;Details&gt;&lt;_alternate_title&gt;Biological Conservation&lt;/_alternate_title&gt;&lt;_date_display&gt;2013&lt;/_date_display&gt;&lt;_date&gt;2013-01-01&lt;/_date&gt;&lt;_doi&gt;https://doi.org/10.1016/j.biocon.2013.08.029&lt;/_doi&gt;&lt;_isbn&gt;0006-3207&lt;/_isbn&gt;&lt;_journal&gt;Biological Conservation&lt;/_journal&gt;&lt;_keywords&gt;Boreal forest; Climate change; Dead wood; Disturbance dynamics; Ecosystem services; Fire regime; Forest management; Habitat loss; Monitoring; Reference ecosystems&lt;/_keywords&gt;&lt;_pages&gt;248-256&lt;/_pages&gt;&lt;_url&gt;https://www.sciencedirect.com/science/article/pii/S0006320713003030&lt;/_url&gt;&lt;_volume&gt;167&lt;/_volume&gt;&lt;_created&gt;64537359&lt;/_created&gt;&lt;_modified&gt;64537359&lt;/_modified&gt;&lt;_impact_factor&gt;   4.711&lt;/_impact_factor&gt;&lt;_collection_scope&gt;SCI;SCIE&lt;/_collection_scope&gt;&lt;/Details&gt;&lt;Extra&gt;&lt;DBUID&gt;{F96A950B-833F-4880-A151-76DA2D6A2879}&lt;/DBUID&gt;&lt;/Extra&gt;&lt;/Item&gt;&lt;/References&gt;&lt;/Group&gt;&lt;/Citation&gt;_x000a_"/>
    <w:docVar w:name="NE.Ref{FD3711C9-E5E9-4E1C-B8E4-A408151FBC07}" w:val=" ADDIN NE.Ref.{FD3711C9-E5E9-4E1C-B8E4-A408151FBC07}&lt;Citation&gt;&lt;Group&gt;&lt;References&gt;&lt;Item&gt;&lt;ID&gt;459&lt;/ID&gt;&lt;UID&gt;{4B63755C-EF70-4DDB-B069-334640EF0DBF}&lt;/UID&gt;&lt;Title&gt;Sustainable landscape pattern: a landscape approach to serving spatial planning&lt;/Title&gt;&lt;Template&gt;Journal Article&lt;/Template&gt;&lt;Star&gt;0&lt;/Star&gt;&lt;Tag&gt;0&lt;/Tag&gt;&lt;Author&gt;Dong, Jianquan; Jiang, Hong; Gu, Tianwei; Liu, Yanxu; Peng, Jian&lt;/Author&gt;&lt;Year&gt;2022&lt;/Year&gt;&lt;Details&gt;&lt;_alternate_title&gt;Landscape Ecology&lt;/_alternate_title&gt;&lt;_date_display&gt;2022&lt;/_date_display&gt;&lt;_date&gt;2022-01-01&lt;/_date&gt;&lt;_doi&gt;10.1007/s10980-021-01329-0&lt;/_doi&gt;&lt;_isbn&gt;1572-9761&lt;/_isbn&gt;&lt;_issue&gt;1&lt;/_issue&gt;&lt;_journal&gt;Landscape Ecology&lt;/_journal&gt;&lt;_number&gt;Dong2022&lt;/_number&gt;&lt;_pages&gt;31-42&lt;/_pages&gt;&lt;_url&gt;https://doi.org/10.1007/s10980-021-01329-0&lt;/_url&gt;&lt;_volume&gt;37&lt;/_volume&gt;&lt;_created&gt;64537358&lt;/_created&gt;&lt;_modified&gt;64537358&lt;/_modified&gt;&lt;_impact_factor&gt;   3.385&lt;/_impact_factor&gt;&lt;_collection_scope&gt;SCIE&lt;/_collection_scope&gt;&lt;/Details&gt;&lt;Extra&gt;&lt;DBUID&gt;{F96A950B-833F-4880-A151-76DA2D6A2879}&lt;/DBUID&gt;&lt;/Extra&gt;&lt;/Item&gt;&lt;/References&gt;&lt;/Group&gt;&lt;/Citation&gt;_x000a_"/>
    <w:docVar w:name="NE.Ref{FE63C530-14EE-497F-9BD3-91D21E5DE046}" w:val=" ADDIN NE.Ref.{FE63C530-14EE-497F-9BD3-91D21E5DE046}&lt;Citation&gt;&lt;Group&gt;&lt;References&gt;&lt;Item&gt;&lt;ID&gt;402&lt;/ID&gt;&lt;UID&gt;{A29F6B5F-44A2-4FC9-B5CF-540E821D7E77}&lt;/UID&gt;&lt;Title&gt;Simulating the potential for ecological restoration of dryland forests in Mexico under different disturbance regimes&lt;/Title&gt;&lt;Template&gt;Journal Article&lt;/Template&gt;&lt;Star&gt;0&lt;/Star&gt;&lt;Tag&gt;0&lt;/Tag&gt;&lt;Author&gt;Cantarello, Elena; Newton, Adrian C; Hill, Ross A; Tejedor-Garavito, Natalia; Williams-Linera, Guadalupe; López-Barrera, Fabiola; Manson, Robert H; Golicher, Duncan J&lt;/Author&gt;&lt;Year&gt;2011&lt;/Year&gt;&lt;Details&gt;&lt;_alternate_title&gt;Ecological Modelling&lt;/_alternate_title&gt;&lt;_collection_scope&gt;SCI;SCIE;EI&lt;/_collection_scope&gt;&lt;_created&gt;64537351&lt;/_created&gt;&lt;_date&gt;2011-01-01&lt;/_date&gt;&lt;_date_display&gt;2011&lt;/_date_display&gt;&lt;_doi&gt;https://doi.org/10.1016/j.ecolmodel.2010.12.019&lt;/_doi&gt;&lt;_impact_factor&gt;   2.497&lt;/_impact_factor&gt;&lt;_isbn&gt;0304-3800&lt;/_isbn&gt;&lt;_issue&gt;5&lt;/_issue&gt;&lt;_journal&gt;Ecological Modelling&lt;/_journal&gt;&lt;_keywords&gt;Landscape modelling; Tropical dry forest; Forest dynamics; Forest succession; Ecological restoration; Human disturbance; Fire and grazing regimes&lt;/_keywords&gt;&lt;_modified&gt;64537351&lt;/_modified&gt;&lt;_pages&gt;1112-1128&lt;/_pages&gt;&lt;_url&gt;https://www.sciencedirect.com/science/article/pii/S030438001000685X&lt;/_url&gt;&lt;_volume&gt;222&lt;/_volume&gt;&lt;/Details&gt;&lt;Extra&gt;&lt;DBUID&gt;{F96A950B-833F-4880-A151-76DA2D6A2879}&lt;/DBUID&gt;&lt;/Extra&gt;&lt;/Item&gt;&lt;/References&gt;&lt;/Group&gt;&lt;/Citation&gt;_x000a_"/>
    <w:docVar w:name="NE.Ref{FEDC8E73-8268-40D1-918D-7AEDB3836CC8}" w:val=" ADDIN NE.Ref.{FEDC8E73-8268-40D1-918D-7AEDB3836CC8}&lt;Citation&gt;&lt;Group&gt;&lt;References&gt;&lt;Item&gt;&lt;ID&gt;404&lt;/ID&gt;&lt;UID&gt;{64DFDDAA-E912-4306-8DB3-05DFF6C905F1}&lt;/UID&gt;&lt;Title&gt;Climate legacies drive the distribution and future restoration potential of dryland forests&lt;/Title&gt;&lt;Template&gt;Journal Article&lt;/Template&gt;&lt;Star&gt;0&lt;/Star&gt;&lt;Tag&gt;0&lt;/Tag&gt;&lt;Author&gt;Guirado, Emilio; Delgado-Baquerizo, Manuel; Martínez-Valderrama, Jaime; Tabik, Siham; Alcaraz-Segura, Domingo; Maestre, Fernando T&lt;/Author&gt;&lt;Year&gt;2022&lt;/Year&gt;&lt;Details&gt;&lt;_alternate_title&gt;Nature Plants&lt;/_alternate_title&gt;&lt;_date_display&gt;2022&lt;/_date_display&gt;&lt;_date&gt;2022-01-01&lt;/_date&gt;&lt;_doi&gt;10.1038/s41477-022-01198-8&lt;/_doi&gt;&lt;_isbn&gt;2055-0278&lt;/_isbn&gt;&lt;_issue&gt;8&lt;/_issue&gt;&lt;_journal&gt;Nature Plants&lt;/_journal&gt;&lt;_number&gt;Guirado2022&lt;/_number&gt;&lt;_pages&gt;879-886&lt;/_pages&gt;&lt;_url&gt;https://doi.org/10.1038/s41477-022-01198-8&lt;/_url&gt;&lt;_volume&gt;8&lt;/_volume&gt;&lt;_created&gt;64537351&lt;/_created&gt;&lt;_modified&gt;64537351&lt;/_modified&gt;&lt;_impact_factor&gt;  13.256&lt;/_impact_factor&gt;&lt;_collection_scope&gt;SCIE&lt;/_collection_scope&gt;&lt;/Details&gt;&lt;Extra&gt;&lt;DBUID&gt;{F96A950B-833F-4880-A151-76DA2D6A2879}&lt;/DBUID&gt;&lt;/Extra&gt;&lt;/Item&gt;&lt;/References&gt;&lt;/Group&gt;&lt;/Citation&gt;_x000a_"/>
    <w:docVar w:name="ne_docsoft" w:val="MSWord"/>
    <w:docVar w:name="ne_docversion" w:val="NoteExpress 2.0"/>
    <w:docVar w:name="ne_stylename" w:val="Author-Date(multilingual) New"/>
  </w:docVars>
  <w:rsids>
    <w:rsidRoot w:val="00C60376"/>
    <w:rsid w:val="00001B1A"/>
    <w:rsid w:val="0000525A"/>
    <w:rsid w:val="00020ADA"/>
    <w:rsid w:val="000219BB"/>
    <w:rsid w:val="00034B0B"/>
    <w:rsid w:val="0003601B"/>
    <w:rsid w:val="00040166"/>
    <w:rsid w:val="00051136"/>
    <w:rsid w:val="00074553"/>
    <w:rsid w:val="0008191C"/>
    <w:rsid w:val="00087D27"/>
    <w:rsid w:val="00096EE1"/>
    <w:rsid w:val="000A44D9"/>
    <w:rsid w:val="000B743F"/>
    <w:rsid w:val="000C3DF1"/>
    <w:rsid w:val="000C6537"/>
    <w:rsid w:val="000E06D8"/>
    <w:rsid w:val="000E4045"/>
    <w:rsid w:val="000F0CEE"/>
    <w:rsid w:val="000F6E5A"/>
    <w:rsid w:val="001013DA"/>
    <w:rsid w:val="001164A6"/>
    <w:rsid w:val="00122583"/>
    <w:rsid w:val="0012563D"/>
    <w:rsid w:val="00142B31"/>
    <w:rsid w:val="00144D86"/>
    <w:rsid w:val="00144F16"/>
    <w:rsid w:val="00162767"/>
    <w:rsid w:val="0016339E"/>
    <w:rsid w:val="00165DB5"/>
    <w:rsid w:val="001711AD"/>
    <w:rsid w:val="0018293A"/>
    <w:rsid w:val="0019324A"/>
    <w:rsid w:val="001B7626"/>
    <w:rsid w:val="001C5A59"/>
    <w:rsid w:val="001C7482"/>
    <w:rsid w:val="001D4A03"/>
    <w:rsid w:val="001D5070"/>
    <w:rsid w:val="001E0A41"/>
    <w:rsid w:val="00204573"/>
    <w:rsid w:val="0021412A"/>
    <w:rsid w:val="00221426"/>
    <w:rsid w:val="00225773"/>
    <w:rsid w:val="002310DD"/>
    <w:rsid w:val="00270824"/>
    <w:rsid w:val="00270B27"/>
    <w:rsid w:val="00274F66"/>
    <w:rsid w:val="00277A2F"/>
    <w:rsid w:val="00292722"/>
    <w:rsid w:val="00297E07"/>
    <w:rsid w:val="002A3D65"/>
    <w:rsid w:val="002A49DB"/>
    <w:rsid w:val="002B37AB"/>
    <w:rsid w:val="002C208F"/>
    <w:rsid w:val="002C47B1"/>
    <w:rsid w:val="002D6D4F"/>
    <w:rsid w:val="002E1FC7"/>
    <w:rsid w:val="002E2E11"/>
    <w:rsid w:val="002E3C81"/>
    <w:rsid w:val="002E77A5"/>
    <w:rsid w:val="002E7AD1"/>
    <w:rsid w:val="002F169B"/>
    <w:rsid w:val="002F1DEE"/>
    <w:rsid w:val="002F7E80"/>
    <w:rsid w:val="00301F4A"/>
    <w:rsid w:val="00302CB4"/>
    <w:rsid w:val="00302F7A"/>
    <w:rsid w:val="00305821"/>
    <w:rsid w:val="00307E0F"/>
    <w:rsid w:val="00337D8B"/>
    <w:rsid w:val="0034379A"/>
    <w:rsid w:val="00350CB2"/>
    <w:rsid w:val="00356BBA"/>
    <w:rsid w:val="0035773F"/>
    <w:rsid w:val="00360C93"/>
    <w:rsid w:val="003660BF"/>
    <w:rsid w:val="0036746E"/>
    <w:rsid w:val="00381133"/>
    <w:rsid w:val="0038743F"/>
    <w:rsid w:val="00392820"/>
    <w:rsid w:val="003B072E"/>
    <w:rsid w:val="003B7046"/>
    <w:rsid w:val="003D23FE"/>
    <w:rsid w:val="003D623D"/>
    <w:rsid w:val="003D64D6"/>
    <w:rsid w:val="003D676B"/>
    <w:rsid w:val="003D7FD1"/>
    <w:rsid w:val="003E0FE8"/>
    <w:rsid w:val="003E6298"/>
    <w:rsid w:val="003F77B1"/>
    <w:rsid w:val="00400095"/>
    <w:rsid w:val="00400B2D"/>
    <w:rsid w:val="00443F79"/>
    <w:rsid w:val="004640E1"/>
    <w:rsid w:val="0046663E"/>
    <w:rsid w:val="00473C47"/>
    <w:rsid w:val="00486285"/>
    <w:rsid w:val="004954FB"/>
    <w:rsid w:val="004B2A29"/>
    <w:rsid w:val="004C3571"/>
    <w:rsid w:val="004C5FA9"/>
    <w:rsid w:val="004D156E"/>
    <w:rsid w:val="004D6CF0"/>
    <w:rsid w:val="004F137E"/>
    <w:rsid w:val="004F6AAA"/>
    <w:rsid w:val="004F7903"/>
    <w:rsid w:val="005013E8"/>
    <w:rsid w:val="005034D7"/>
    <w:rsid w:val="00506016"/>
    <w:rsid w:val="00512B07"/>
    <w:rsid w:val="00521E04"/>
    <w:rsid w:val="005230FA"/>
    <w:rsid w:val="00534A34"/>
    <w:rsid w:val="00541B6A"/>
    <w:rsid w:val="00550677"/>
    <w:rsid w:val="00563E52"/>
    <w:rsid w:val="00563EA2"/>
    <w:rsid w:val="005729F5"/>
    <w:rsid w:val="00580699"/>
    <w:rsid w:val="005C51CD"/>
    <w:rsid w:val="005D0443"/>
    <w:rsid w:val="005D4FE5"/>
    <w:rsid w:val="005D748C"/>
    <w:rsid w:val="005E184E"/>
    <w:rsid w:val="005F3566"/>
    <w:rsid w:val="005F3ADE"/>
    <w:rsid w:val="006004F5"/>
    <w:rsid w:val="00601FAB"/>
    <w:rsid w:val="00604F4C"/>
    <w:rsid w:val="00617F41"/>
    <w:rsid w:val="0062231F"/>
    <w:rsid w:val="00626C07"/>
    <w:rsid w:val="00636AF2"/>
    <w:rsid w:val="0064323E"/>
    <w:rsid w:val="00645A69"/>
    <w:rsid w:val="0065583B"/>
    <w:rsid w:val="0065716F"/>
    <w:rsid w:val="006571CC"/>
    <w:rsid w:val="00663256"/>
    <w:rsid w:val="006938C5"/>
    <w:rsid w:val="006940CC"/>
    <w:rsid w:val="006942D5"/>
    <w:rsid w:val="006954AB"/>
    <w:rsid w:val="00695D65"/>
    <w:rsid w:val="006B029A"/>
    <w:rsid w:val="006D069A"/>
    <w:rsid w:val="006D239A"/>
    <w:rsid w:val="006E04E6"/>
    <w:rsid w:val="006F7235"/>
    <w:rsid w:val="006F73C5"/>
    <w:rsid w:val="007002AE"/>
    <w:rsid w:val="00713E19"/>
    <w:rsid w:val="00714EF2"/>
    <w:rsid w:val="007169F9"/>
    <w:rsid w:val="00720571"/>
    <w:rsid w:val="00734CB5"/>
    <w:rsid w:val="00734F4F"/>
    <w:rsid w:val="007353A8"/>
    <w:rsid w:val="00744CB8"/>
    <w:rsid w:val="007466B0"/>
    <w:rsid w:val="00746A6E"/>
    <w:rsid w:val="007628C8"/>
    <w:rsid w:val="00774697"/>
    <w:rsid w:val="0077490E"/>
    <w:rsid w:val="00776D31"/>
    <w:rsid w:val="00783F3E"/>
    <w:rsid w:val="0078511A"/>
    <w:rsid w:val="007A3352"/>
    <w:rsid w:val="007C0BB6"/>
    <w:rsid w:val="007D065F"/>
    <w:rsid w:val="007E1080"/>
    <w:rsid w:val="007E17B9"/>
    <w:rsid w:val="007F786D"/>
    <w:rsid w:val="007F7B12"/>
    <w:rsid w:val="008018E9"/>
    <w:rsid w:val="008026B6"/>
    <w:rsid w:val="00802E9A"/>
    <w:rsid w:val="008053F2"/>
    <w:rsid w:val="008066DB"/>
    <w:rsid w:val="00812DE8"/>
    <w:rsid w:val="00815017"/>
    <w:rsid w:val="008251E2"/>
    <w:rsid w:val="00826FE2"/>
    <w:rsid w:val="00835E11"/>
    <w:rsid w:val="00851A55"/>
    <w:rsid w:val="00852850"/>
    <w:rsid w:val="008721DF"/>
    <w:rsid w:val="00883813"/>
    <w:rsid w:val="008A7D53"/>
    <w:rsid w:val="008B2A7E"/>
    <w:rsid w:val="008B78CC"/>
    <w:rsid w:val="008C0598"/>
    <w:rsid w:val="008C2E58"/>
    <w:rsid w:val="008C6216"/>
    <w:rsid w:val="008E46F9"/>
    <w:rsid w:val="008E5A4C"/>
    <w:rsid w:val="008E6306"/>
    <w:rsid w:val="008E63EA"/>
    <w:rsid w:val="008F329E"/>
    <w:rsid w:val="00921658"/>
    <w:rsid w:val="0094294D"/>
    <w:rsid w:val="00961059"/>
    <w:rsid w:val="009621F2"/>
    <w:rsid w:val="00972CEF"/>
    <w:rsid w:val="0097533B"/>
    <w:rsid w:val="00976A99"/>
    <w:rsid w:val="009807E3"/>
    <w:rsid w:val="00984188"/>
    <w:rsid w:val="00992744"/>
    <w:rsid w:val="0099405D"/>
    <w:rsid w:val="0099790B"/>
    <w:rsid w:val="009B226E"/>
    <w:rsid w:val="009B712A"/>
    <w:rsid w:val="009C4C52"/>
    <w:rsid w:val="009D5192"/>
    <w:rsid w:val="009D61F7"/>
    <w:rsid w:val="009F293B"/>
    <w:rsid w:val="009F627D"/>
    <w:rsid w:val="00A03165"/>
    <w:rsid w:val="00A03233"/>
    <w:rsid w:val="00A04E66"/>
    <w:rsid w:val="00A158FD"/>
    <w:rsid w:val="00A15A24"/>
    <w:rsid w:val="00A1657E"/>
    <w:rsid w:val="00A176AC"/>
    <w:rsid w:val="00A22E06"/>
    <w:rsid w:val="00A25145"/>
    <w:rsid w:val="00A35A9B"/>
    <w:rsid w:val="00A40ED4"/>
    <w:rsid w:val="00A55548"/>
    <w:rsid w:val="00A61E94"/>
    <w:rsid w:val="00A766C1"/>
    <w:rsid w:val="00A92576"/>
    <w:rsid w:val="00A92ED3"/>
    <w:rsid w:val="00A970FC"/>
    <w:rsid w:val="00AA0BF7"/>
    <w:rsid w:val="00AA16C8"/>
    <w:rsid w:val="00AA5ED1"/>
    <w:rsid w:val="00AC658A"/>
    <w:rsid w:val="00AD0841"/>
    <w:rsid w:val="00AD1D57"/>
    <w:rsid w:val="00AE459D"/>
    <w:rsid w:val="00AF1929"/>
    <w:rsid w:val="00AF1E70"/>
    <w:rsid w:val="00B1247E"/>
    <w:rsid w:val="00B1340F"/>
    <w:rsid w:val="00B2223B"/>
    <w:rsid w:val="00B23D81"/>
    <w:rsid w:val="00B24CED"/>
    <w:rsid w:val="00B3137D"/>
    <w:rsid w:val="00B36C76"/>
    <w:rsid w:val="00B43C43"/>
    <w:rsid w:val="00B5432D"/>
    <w:rsid w:val="00B5504B"/>
    <w:rsid w:val="00B65B75"/>
    <w:rsid w:val="00B704F8"/>
    <w:rsid w:val="00B860AD"/>
    <w:rsid w:val="00B952EB"/>
    <w:rsid w:val="00BA00AE"/>
    <w:rsid w:val="00BB6B00"/>
    <w:rsid w:val="00BD5E78"/>
    <w:rsid w:val="00BD7443"/>
    <w:rsid w:val="00BF53EB"/>
    <w:rsid w:val="00BF5FC3"/>
    <w:rsid w:val="00BF7733"/>
    <w:rsid w:val="00C0222D"/>
    <w:rsid w:val="00C02961"/>
    <w:rsid w:val="00C1054D"/>
    <w:rsid w:val="00C10721"/>
    <w:rsid w:val="00C16D56"/>
    <w:rsid w:val="00C336CE"/>
    <w:rsid w:val="00C5128D"/>
    <w:rsid w:val="00C52C6F"/>
    <w:rsid w:val="00C60376"/>
    <w:rsid w:val="00C85275"/>
    <w:rsid w:val="00C96809"/>
    <w:rsid w:val="00C97AA5"/>
    <w:rsid w:val="00CB253A"/>
    <w:rsid w:val="00CB668C"/>
    <w:rsid w:val="00CD2589"/>
    <w:rsid w:val="00CD2936"/>
    <w:rsid w:val="00CE234A"/>
    <w:rsid w:val="00CE3CDB"/>
    <w:rsid w:val="00CE5690"/>
    <w:rsid w:val="00CE781D"/>
    <w:rsid w:val="00CF1770"/>
    <w:rsid w:val="00D03CBB"/>
    <w:rsid w:val="00D05F30"/>
    <w:rsid w:val="00D16383"/>
    <w:rsid w:val="00D233DF"/>
    <w:rsid w:val="00D23779"/>
    <w:rsid w:val="00D26AB6"/>
    <w:rsid w:val="00D338DB"/>
    <w:rsid w:val="00D4387C"/>
    <w:rsid w:val="00D5164D"/>
    <w:rsid w:val="00D51E86"/>
    <w:rsid w:val="00D56AB0"/>
    <w:rsid w:val="00D5785F"/>
    <w:rsid w:val="00D62FD1"/>
    <w:rsid w:val="00D6421A"/>
    <w:rsid w:val="00D90A47"/>
    <w:rsid w:val="00DA1FDB"/>
    <w:rsid w:val="00DA3AF6"/>
    <w:rsid w:val="00DB5A07"/>
    <w:rsid w:val="00DB6F52"/>
    <w:rsid w:val="00DC4611"/>
    <w:rsid w:val="00DE67AB"/>
    <w:rsid w:val="00E00DD3"/>
    <w:rsid w:val="00E300FE"/>
    <w:rsid w:val="00E358B9"/>
    <w:rsid w:val="00E36A28"/>
    <w:rsid w:val="00E428F9"/>
    <w:rsid w:val="00E450F2"/>
    <w:rsid w:val="00E4652B"/>
    <w:rsid w:val="00E519D3"/>
    <w:rsid w:val="00E51B2B"/>
    <w:rsid w:val="00E51D2D"/>
    <w:rsid w:val="00E64203"/>
    <w:rsid w:val="00E756F0"/>
    <w:rsid w:val="00EA654F"/>
    <w:rsid w:val="00EB192C"/>
    <w:rsid w:val="00EC381F"/>
    <w:rsid w:val="00EC47BB"/>
    <w:rsid w:val="00EC5D25"/>
    <w:rsid w:val="00ED1DF6"/>
    <w:rsid w:val="00EE1A2E"/>
    <w:rsid w:val="00EF6EE8"/>
    <w:rsid w:val="00EF7256"/>
    <w:rsid w:val="00F07CFD"/>
    <w:rsid w:val="00F17A8A"/>
    <w:rsid w:val="00F301F8"/>
    <w:rsid w:val="00F35FBD"/>
    <w:rsid w:val="00F37C90"/>
    <w:rsid w:val="00F37FC1"/>
    <w:rsid w:val="00F4016C"/>
    <w:rsid w:val="00F41EB8"/>
    <w:rsid w:val="00F44F36"/>
    <w:rsid w:val="00F46B48"/>
    <w:rsid w:val="00F507DA"/>
    <w:rsid w:val="00F6478F"/>
    <w:rsid w:val="00F66276"/>
    <w:rsid w:val="00F70E2B"/>
    <w:rsid w:val="00F71E13"/>
    <w:rsid w:val="00F72444"/>
    <w:rsid w:val="00F82EA9"/>
    <w:rsid w:val="00F90218"/>
    <w:rsid w:val="00F96D46"/>
    <w:rsid w:val="00F97A8C"/>
    <w:rsid w:val="00FB15B9"/>
    <w:rsid w:val="00FB473D"/>
    <w:rsid w:val="00FB6DE2"/>
    <w:rsid w:val="00FC1B35"/>
    <w:rsid w:val="00FD6B0E"/>
    <w:rsid w:val="00FE081C"/>
    <w:rsid w:val="00FE32A6"/>
    <w:rsid w:val="00FE4746"/>
    <w:rsid w:val="00FF5981"/>
    <w:rsid w:val="01753FC2"/>
    <w:rsid w:val="027F2F56"/>
    <w:rsid w:val="02D6110F"/>
    <w:rsid w:val="02DF2F4B"/>
    <w:rsid w:val="033A1041"/>
    <w:rsid w:val="03C06631"/>
    <w:rsid w:val="03C23E1A"/>
    <w:rsid w:val="03E07F46"/>
    <w:rsid w:val="041C451E"/>
    <w:rsid w:val="04A5466E"/>
    <w:rsid w:val="05772687"/>
    <w:rsid w:val="06715538"/>
    <w:rsid w:val="06E94E42"/>
    <w:rsid w:val="07106873"/>
    <w:rsid w:val="079E4219"/>
    <w:rsid w:val="07EA3068"/>
    <w:rsid w:val="07EB2955"/>
    <w:rsid w:val="082A4EA3"/>
    <w:rsid w:val="089C0E9F"/>
    <w:rsid w:val="08E51499"/>
    <w:rsid w:val="08FA3268"/>
    <w:rsid w:val="0A3B59B5"/>
    <w:rsid w:val="0A621723"/>
    <w:rsid w:val="0AC41A4A"/>
    <w:rsid w:val="0B46673F"/>
    <w:rsid w:val="0B54511B"/>
    <w:rsid w:val="0D4001A0"/>
    <w:rsid w:val="0D54763C"/>
    <w:rsid w:val="0E43174A"/>
    <w:rsid w:val="0E467F0E"/>
    <w:rsid w:val="0EEA79E2"/>
    <w:rsid w:val="0F053D4C"/>
    <w:rsid w:val="0F467D0E"/>
    <w:rsid w:val="0F8125AD"/>
    <w:rsid w:val="10481A6B"/>
    <w:rsid w:val="1101736A"/>
    <w:rsid w:val="110C1AB8"/>
    <w:rsid w:val="11523128"/>
    <w:rsid w:val="12721618"/>
    <w:rsid w:val="12841873"/>
    <w:rsid w:val="14180F5C"/>
    <w:rsid w:val="14D74F71"/>
    <w:rsid w:val="14EF1875"/>
    <w:rsid w:val="16500817"/>
    <w:rsid w:val="173C6BAF"/>
    <w:rsid w:val="17C32972"/>
    <w:rsid w:val="1807337A"/>
    <w:rsid w:val="182A6A70"/>
    <w:rsid w:val="18C222D5"/>
    <w:rsid w:val="192C719C"/>
    <w:rsid w:val="19563EE4"/>
    <w:rsid w:val="1A7F1833"/>
    <w:rsid w:val="1ACF6315"/>
    <w:rsid w:val="1B304ED2"/>
    <w:rsid w:val="1B8C418B"/>
    <w:rsid w:val="1B940777"/>
    <w:rsid w:val="1C4E2BE7"/>
    <w:rsid w:val="1CC41313"/>
    <w:rsid w:val="1CD754AB"/>
    <w:rsid w:val="1DB37872"/>
    <w:rsid w:val="1EC30585"/>
    <w:rsid w:val="1F64222A"/>
    <w:rsid w:val="20160684"/>
    <w:rsid w:val="20863156"/>
    <w:rsid w:val="20AA7ADA"/>
    <w:rsid w:val="21C617DA"/>
    <w:rsid w:val="232E1798"/>
    <w:rsid w:val="237A02A6"/>
    <w:rsid w:val="24147C38"/>
    <w:rsid w:val="2430402D"/>
    <w:rsid w:val="243D4BE4"/>
    <w:rsid w:val="24663882"/>
    <w:rsid w:val="24F44C86"/>
    <w:rsid w:val="251F3D2F"/>
    <w:rsid w:val="253244DB"/>
    <w:rsid w:val="256D4782"/>
    <w:rsid w:val="25C13402"/>
    <w:rsid w:val="25CC2ED1"/>
    <w:rsid w:val="25F65A44"/>
    <w:rsid w:val="263A2710"/>
    <w:rsid w:val="26451C3D"/>
    <w:rsid w:val="265D60C8"/>
    <w:rsid w:val="271D517C"/>
    <w:rsid w:val="272F7D38"/>
    <w:rsid w:val="27770951"/>
    <w:rsid w:val="280D1FFC"/>
    <w:rsid w:val="28AB2A6C"/>
    <w:rsid w:val="290C6161"/>
    <w:rsid w:val="2968126C"/>
    <w:rsid w:val="299F1664"/>
    <w:rsid w:val="29E030C0"/>
    <w:rsid w:val="29F44E83"/>
    <w:rsid w:val="2A8711DC"/>
    <w:rsid w:val="2AB573B1"/>
    <w:rsid w:val="2AE9487A"/>
    <w:rsid w:val="2B112524"/>
    <w:rsid w:val="2B7E7FAA"/>
    <w:rsid w:val="2B926570"/>
    <w:rsid w:val="2BAA0794"/>
    <w:rsid w:val="2BF732C2"/>
    <w:rsid w:val="2BFB5EDA"/>
    <w:rsid w:val="2CB74C96"/>
    <w:rsid w:val="2D135942"/>
    <w:rsid w:val="2DA37249"/>
    <w:rsid w:val="2DB22818"/>
    <w:rsid w:val="2F971437"/>
    <w:rsid w:val="2F9851F7"/>
    <w:rsid w:val="2FD26005"/>
    <w:rsid w:val="301E7EE8"/>
    <w:rsid w:val="304C23CE"/>
    <w:rsid w:val="311F4008"/>
    <w:rsid w:val="326134ED"/>
    <w:rsid w:val="327B6B43"/>
    <w:rsid w:val="331B01CC"/>
    <w:rsid w:val="335D7BAD"/>
    <w:rsid w:val="35900D07"/>
    <w:rsid w:val="35C5622C"/>
    <w:rsid w:val="35D85A6E"/>
    <w:rsid w:val="35EE6431"/>
    <w:rsid w:val="36584DB8"/>
    <w:rsid w:val="36B114F3"/>
    <w:rsid w:val="37313010"/>
    <w:rsid w:val="375D1369"/>
    <w:rsid w:val="376C3501"/>
    <w:rsid w:val="37B21C30"/>
    <w:rsid w:val="38165F6D"/>
    <w:rsid w:val="38174362"/>
    <w:rsid w:val="38C62374"/>
    <w:rsid w:val="399737F9"/>
    <w:rsid w:val="3BA24EAA"/>
    <w:rsid w:val="3BAD56B8"/>
    <w:rsid w:val="3CA160F0"/>
    <w:rsid w:val="3D296971"/>
    <w:rsid w:val="3D5574CE"/>
    <w:rsid w:val="3D6608B9"/>
    <w:rsid w:val="3E15135A"/>
    <w:rsid w:val="3E7532B0"/>
    <w:rsid w:val="3E913C62"/>
    <w:rsid w:val="3EAD7484"/>
    <w:rsid w:val="3F7A278E"/>
    <w:rsid w:val="40802B8B"/>
    <w:rsid w:val="41016DB5"/>
    <w:rsid w:val="411F60D6"/>
    <w:rsid w:val="41294F27"/>
    <w:rsid w:val="413A21BE"/>
    <w:rsid w:val="4161366B"/>
    <w:rsid w:val="41996DE9"/>
    <w:rsid w:val="419B0019"/>
    <w:rsid w:val="41ED3D92"/>
    <w:rsid w:val="420A3174"/>
    <w:rsid w:val="4263242D"/>
    <w:rsid w:val="43D75433"/>
    <w:rsid w:val="44280E93"/>
    <w:rsid w:val="44A84C2D"/>
    <w:rsid w:val="458E3488"/>
    <w:rsid w:val="45B778DE"/>
    <w:rsid w:val="45C869B8"/>
    <w:rsid w:val="45FF18AD"/>
    <w:rsid w:val="462C5BD6"/>
    <w:rsid w:val="46471596"/>
    <w:rsid w:val="46950364"/>
    <w:rsid w:val="4750383A"/>
    <w:rsid w:val="47A04CDC"/>
    <w:rsid w:val="4849468F"/>
    <w:rsid w:val="486A7D97"/>
    <w:rsid w:val="48AD11E7"/>
    <w:rsid w:val="4A48101C"/>
    <w:rsid w:val="4AB30D40"/>
    <w:rsid w:val="4AC83DF1"/>
    <w:rsid w:val="4AE002ED"/>
    <w:rsid w:val="4B8C11D6"/>
    <w:rsid w:val="4F426F18"/>
    <w:rsid w:val="4F4655D2"/>
    <w:rsid w:val="504274B6"/>
    <w:rsid w:val="50E24098"/>
    <w:rsid w:val="51026023"/>
    <w:rsid w:val="513A0CC5"/>
    <w:rsid w:val="51B92D3D"/>
    <w:rsid w:val="52227728"/>
    <w:rsid w:val="529570A5"/>
    <w:rsid w:val="536D7808"/>
    <w:rsid w:val="5388548F"/>
    <w:rsid w:val="53AC1861"/>
    <w:rsid w:val="53BD20B8"/>
    <w:rsid w:val="54086FEB"/>
    <w:rsid w:val="542E5387"/>
    <w:rsid w:val="54701C78"/>
    <w:rsid w:val="55427A15"/>
    <w:rsid w:val="55A3219C"/>
    <w:rsid w:val="55C2439D"/>
    <w:rsid w:val="56E2778F"/>
    <w:rsid w:val="56E70608"/>
    <w:rsid w:val="57CB1239"/>
    <w:rsid w:val="58200BDA"/>
    <w:rsid w:val="592B0283"/>
    <w:rsid w:val="593269BD"/>
    <w:rsid w:val="59F27C5D"/>
    <w:rsid w:val="59F45E29"/>
    <w:rsid w:val="59FE1781"/>
    <w:rsid w:val="5A0D5A49"/>
    <w:rsid w:val="5A9F1DF3"/>
    <w:rsid w:val="5AA247F3"/>
    <w:rsid w:val="5BC03CEF"/>
    <w:rsid w:val="5C083474"/>
    <w:rsid w:val="5C131067"/>
    <w:rsid w:val="5C2C2DB4"/>
    <w:rsid w:val="5C786458"/>
    <w:rsid w:val="5DCB2153"/>
    <w:rsid w:val="5DEC362A"/>
    <w:rsid w:val="5EBA0DC9"/>
    <w:rsid w:val="5F1E5126"/>
    <w:rsid w:val="5F661D01"/>
    <w:rsid w:val="5F7568D5"/>
    <w:rsid w:val="5FBE4952"/>
    <w:rsid w:val="603D5158"/>
    <w:rsid w:val="608A1065"/>
    <w:rsid w:val="616E7867"/>
    <w:rsid w:val="61AB053D"/>
    <w:rsid w:val="61EE55B8"/>
    <w:rsid w:val="632227E4"/>
    <w:rsid w:val="633C705B"/>
    <w:rsid w:val="63595F1A"/>
    <w:rsid w:val="635A421C"/>
    <w:rsid w:val="639A641D"/>
    <w:rsid w:val="6405376B"/>
    <w:rsid w:val="643B7D88"/>
    <w:rsid w:val="653F42C0"/>
    <w:rsid w:val="65F81C2B"/>
    <w:rsid w:val="6638201B"/>
    <w:rsid w:val="670D335C"/>
    <w:rsid w:val="67303E4E"/>
    <w:rsid w:val="67926F39"/>
    <w:rsid w:val="6800009B"/>
    <w:rsid w:val="68160C95"/>
    <w:rsid w:val="69415D9C"/>
    <w:rsid w:val="69601530"/>
    <w:rsid w:val="69D376C2"/>
    <w:rsid w:val="69D874D2"/>
    <w:rsid w:val="6A4A47F4"/>
    <w:rsid w:val="6A560911"/>
    <w:rsid w:val="6A6E3DD8"/>
    <w:rsid w:val="6ABC311D"/>
    <w:rsid w:val="6AD34E12"/>
    <w:rsid w:val="6BAA7D67"/>
    <w:rsid w:val="6D8638AF"/>
    <w:rsid w:val="6E4102E4"/>
    <w:rsid w:val="6EAC1F6A"/>
    <w:rsid w:val="6F332352"/>
    <w:rsid w:val="6F967FC2"/>
    <w:rsid w:val="6FE51580"/>
    <w:rsid w:val="70241858"/>
    <w:rsid w:val="707D6EAA"/>
    <w:rsid w:val="708C784F"/>
    <w:rsid w:val="70EE5064"/>
    <w:rsid w:val="711C6E1F"/>
    <w:rsid w:val="7139610E"/>
    <w:rsid w:val="71BF3B50"/>
    <w:rsid w:val="721F4292"/>
    <w:rsid w:val="724524A3"/>
    <w:rsid w:val="72AD4E86"/>
    <w:rsid w:val="733E3C30"/>
    <w:rsid w:val="73572957"/>
    <w:rsid w:val="74DD6E85"/>
    <w:rsid w:val="74DF0C92"/>
    <w:rsid w:val="74F75E16"/>
    <w:rsid w:val="755C6A29"/>
    <w:rsid w:val="76433CB8"/>
    <w:rsid w:val="76A43450"/>
    <w:rsid w:val="76A84372"/>
    <w:rsid w:val="78054355"/>
    <w:rsid w:val="780A64C2"/>
    <w:rsid w:val="78426DDB"/>
    <w:rsid w:val="784A54AB"/>
    <w:rsid w:val="78C0027C"/>
    <w:rsid w:val="7A323267"/>
    <w:rsid w:val="7B226222"/>
    <w:rsid w:val="7B2C6F7E"/>
    <w:rsid w:val="7B6C73F0"/>
    <w:rsid w:val="7C131762"/>
    <w:rsid w:val="7C226A1E"/>
    <w:rsid w:val="7C232FFC"/>
    <w:rsid w:val="7C6A676F"/>
    <w:rsid w:val="7D2051C3"/>
    <w:rsid w:val="7E765F82"/>
    <w:rsid w:val="7E8C5A00"/>
    <w:rsid w:val="7EC07399"/>
    <w:rsid w:val="7ECB4B20"/>
    <w:rsid w:val="7F2322AA"/>
    <w:rsid w:val="7F2D3510"/>
    <w:rsid w:val="7F9B160C"/>
    <w:rsid w:val="7FDB4172"/>
    <w:rsid w:val="7FE969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qFormat="1" w:unhideWhenUsed="0" w:uiPriority="0" w:semiHidden="0" w:name="index 2"/>
    <w:lsdException w:qFormat="1" w:unhideWhenUsed="0" w:uiPriority="0" w:semiHidden="0" w:name="index 3"/>
    <w:lsdException w:qFormat="1" w:unhideWhenUsed="0" w:uiPriority="0" w:semiHidden="0" w:name="index 4"/>
    <w:lsdException w:qFormat="1" w:unhideWhenUsed="0" w:uiPriority="0" w:semiHidden="0" w:name="index 5"/>
    <w:lsdException w:qFormat="1" w:unhideWhenUsed="0" w:uiPriority="0" w:semiHidden="0" w:name="index 6"/>
    <w:lsdException w:qFormat="1" w:unhideWhenUsed="0" w:uiPriority="0" w:semiHidden="0" w:name="index 7"/>
    <w:lsdException w:qFormat="1" w:unhideWhenUsed="0" w:uiPriority="0" w:semiHidden="0" w:name="index 8"/>
    <w:lsdException w:qFormat="1"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qFormat="1" w:unhideWhenUsed="0" w:uiPriority="0" w:semiHidden="0" w:name="toc 4"/>
    <w:lsdException w:qFormat="1" w:unhideWhenUsed="0" w:uiPriority="0" w:semiHidden="0" w:name="toc 5"/>
    <w:lsdException w:qFormat="1" w:unhideWhenUsed="0" w:uiPriority="0" w:semiHidden="0" w:name="toc 6"/>
    <w:lsdException w:unhideWhenUsed="0" w:uiPriority="0" w:semiHidden="0" w:name="toc 7"/>
    <w:lsdException w:qFormat="1" w:unhideWhenUsed="0" w:uiPriority="0" w:semiHidden="0" w:name="toc 8"/>
    <w:lsdException w:qFormat="1" w:unhideWhenUsed="0" w:uiPriority="0" w:semiHidden="0" w:name="toc 9"/>
    <w:lsdException w:qFormat="1" w:unhideWhenUsed="0" w:uiPriority="0" w:semiHidden="0" w:name="Normal Indent"/>
    <w:lsdException w:qFormat="1"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qFormat="1" w:unhideWhenUsed="0" w:uiPriority="0" w:semiHidden="0" w:name="index heading"/>
    <w:lsdException w:qFormat="1" w:uiPriority="0" w:name="caption"/>
    <w:lsdException w:qFormat="1" w:unhideWhenUsed="0" w:uiPriority="0" w:semiHidden="0" w:name="table of figures"/>
    <w:lsdException w:qFormat="1"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qFormat="1"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qFormat="1"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qFormat="1" w:unhideWhenUsed="0" w:uiPriority="0" w:semiHidden="0" w:name="List"/>
    <w:lsdException w:qFormat="1" w:unhideWhenUsed="0" w:uiPriority="0" w:semiHidden="0" w:name="List Bullet"/>
    <w:lsdException w:qFormat="1"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qFormat="1" w:unhideWhenUsed="0" w:uiPriority="0" w:semiHidden="0" w:name="List 5"/>
    <w:lsdException w:qFormat="1"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qFormat="1" w:unhideWhenUsed="0" w:uiPriority="0" w:semiHidden="0" w:name="List Number 2"/>
    <w:lsdException w:qFormat="1" w:unhideWhenUsed="0" w:uiPriority="0" w:semiHidden="0" w:name="List Number 3"/>
    <w:lsdException w:qFormat="1" w:unhideWhenUsed="0" w:uiPriority="0" w:semiHidden="0" w:name="List Number 4"/>
    <w:lsdException w:qFormat="1" w:unhideWhenUsed="0" w:uiPriority="0" w:semiHidden="0" w:name="List Number 5"/>
    <w:lsdException w:qFormat="1" w:unhideWhenUsed="0" w:uiPriority="0" w:semiHidden="0" w:name="Title"/>
    <w:lsdException w:qFormat="1" w:unhideWhenUsed="0" w:uiPriority="0" w:semiHidden="0" w:name="Closing"/>
    <w:lsdException w:qFormat="1"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qFormat="1" w:unhideWhenUsed="0" w:uiPriority="0" w:semiHidden="0" w:name="List Continue"/>
    <w:lsdException w:qFormat="1" w:unhideWhenUsed="0" w:uiPriority="0" w:semiHidden="0" w:name="List Continue 2"/>
    <w:lsdException w:unhideWhenUsed="0" w:uiPriority="0" w:semiHidden="0" w:name="List Continue 3"/>
    <w:lsdException w:qFormat="1" w:unhideWhenUsed="0" w:uiPriority="0" w:semiHidden="0" w:name="List Continue 4"/>
    <w:lsdException w:qFormat="1"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qFormat="1"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qFormat="1" w:unhideWhenUsed="0" w:uiPriority="0" w:semiHidden="0" w:name="Note Heading"/>
    <w:lsdException w:qFormat="1" w:unhideWhenUsed="0" w:uiPriority="0" w:semiHidden="0" w:name="Body Text 2"/>
    <w:lsdException w:qFormat="1"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qFormat="1"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qFormat="1"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qFormat="1"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iPriority="0" w:name="HTML Variable"/>
    <w:lsdException w:uiPriority="99" w:name="Normal Table"/>
    <w:lsdException w:qFormat="1" w:unhideWhenUsed="0" w:uiPriority="0" w:semiHidden="0" w:name="annotation subject"/>
    <w:lsdException w:qFormat="1" w:uiPriority="0" w:name="Table Simple 1"/>
    <w:lsdException w:uiPriority="0" w:name="Table Simple 2"/>
    <w:lsdException w:uiPriority="0" w:name="Table Simple 3"/>
    <w:lsdException w:qFormat="1" w:uiPriority="0" w:name="Table Classic 1"/>
    <w:lsdException w:uiPriority="0" w:name="Table Classic 2"/>
    <w:lsdException w:qFormat="1" w:uiPriority="0" w:name="Table Classic 3"/>
    <w:lsdException w:qFormat="1" w:uiPriority="0" w:name="Table Classic 4"/>
    <w:lsdException w:qFormat="1" w:uiPriority="0" w:name="Table Colorful 1"/>
    <w:lsdException w:qFormat="1" w:uiPriority="0" w:name="Table Colorful 2"/>
    <w:lsdException w:qFormat="1"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qFormat="1" w:uiPriority="0" w:name="Table 3D effects 1"/>
    <w:lsdException w:qFormat="1" w:uiPriority="0" w:name="Table 3D effects 2"/>
    <w:lsdException w:uiPriority="0" w:name="Table 3D effects 3"/>
    <w:lsdException w:uiPriority="0" w:name="Table Contemporary"/>
    <w:lsdException w:qFormat="1" w:uiPriority="0" w:name="Table Elegant"/>
    <w:lsdException w:uiPriority="0" w:name="Table Professional"/>
    <w:lsdException w:qFormat="1" w:uiPriority="0" w:name="Table Subtle 1"/>
    <w:lsdException w:qFormat="1" w:uiPriority="0" w:name="Table Subtle 2"/>
    <w:lsdException w:uiPriority="0" w:name="Table Web 1"/>
    <w:lsdException w:uiPriority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39" w:semiHidden="0" w:name="Table Grid"/>
    <w:lsdException w:qFormat="1" w:unhideWhenUsed="0" w:uiPriority="0" w:semiHidden="0" w:name="Table Theme"/>
    <w:lsdException w:unhideWhenUsed="0" w:uiPriority="99" w:name="Placeholder Text"/>
    <w:lsdException w:unhideWhenUsed="0" w:uiPriority="99" w:semiHidden="0" w:name="No Spacing"/>
    <w:lsdException w:uiPriority="60" w:name="Light Shading"/>
    <w:lsdException w:uiPriority="61" w:name="Light List"/>
    <w:lsdException w:uiPriority="62" w:name="Light Grid"/>
    <w:lsdException w:uiPriority="63" w:name="Medium Shading 1"/>
    <w:lsdException w:uiPriority="64" w:name="Medium Shading 2"/>
    <w:lsdException w:uiPriority="65" w:name="Medium List 1"/>
    <w:lsdException w:uiPriority="66" w:name="Medium List 2"/>
    <w:lsdException w:uiPriority="67" w:name="Medium Grid 1"/>
    <w:lsdException w:uiPriority="68" w:name="Medium Grid 2"/>
    <w:lsdException w:uiPriority="69" w:name="Medium Grid 3"/>
    <w:lsdException w:qFormat="1" w:uiPriority="70" w:name="Dark List"/>
    <w:lsdException w:qFormat="1" w:uiPriority="71" w:name="Colorful Shading"/>
    <w:lsdException w:qFormat="1" w:uiPriority="72" w:name="Colorful List"/>
    <w:lsdException w:qFormat="1" w:uiPriority="73" w:name="Colorful Grid"/>
    <w:lsdException w:uiPriority="60" w:name="Light Shading Accent 1"/>
    <w:lsdException w:uiPriority="61" w:name="Light List Accent 1"/>
    <w:lsdException w:uiPriority="62" w:name="Light Grid Accent 1"/>
    <w:lsdException w:uiPriority="63" w:name="Medium Shading 1 Accent 1"/>
    <w:lsdException w:uiPriority="64" w:name="Medium Shading 2 Accent 1"/>
    <w:lsdException w:unhideWhenUsed="0" w:uiPriority="65" w:semiHidden="0" w:name="Medium List 1 Accent 1"/>
    <w:lsdException w:unhideWhenUsed="0" w:uiPriority="99" w:semiHidden="0" w:name="List Paragraph"/>
    <w:lsdException w:unhideWhenUsed="0" w:uiPriority="99" w:semiHidden="0" w:name="Quote"/>
    <w:lsdException w:unhideWhenUsed="0" w:uiPriority="99" w:semiHidden="0" w:name="Intense Quote"/>
    <w:lsdException w:uiPriority="66" w:name="Medium List 2 Accent 1"/>
    <w:lsdException w:uiPriority="67" w:name="Medium Grid 1 Accent 1"/>
    <w:lsdException w:uiPriority="68" w:name="Medium Grid 2 Accent 1"/>
    <w:lsdException w:uiPriority="69" w:name="Medium Grid 3 Accent 1"/>
    <w:lsdException w:qFormat="1" w:uiPriority="70" w:name="Dark List Accent 1"/>
    <w:lsdException w:qFormat="1" w:uiPriority="71" w:name="Colorful Shading Accent 1"/>
    <w:lsdException w:qFormat="1" w:uiPriority="72" w:name="Colorful List Accent 1"/>
    <w:lsdException w:qFormat="1" w:uiPriority="73" w:name="Colorful Grid Accent 1"/>
    <w:lsdException w:uiPriority="60" w:name="Light Shading Accent 2"/>
    <w:lsdException w:uiPriority="61" w:name="Light List Accent 2"/>
    <w:lsdException w:uiPriority="62" w:name="Light Grid Accent 2"/>
    <w:lsdException w:uiPriority="63" w:name="Medium Shading 1 Accent 2"/>
    <w:lsdException w:uiPriority="64" w:name="Medium Shading 2 Accent 2"/>
    <w:lsdException w:uiPriority="65" w:name="Medium List 1 Accent 2"/>
    <w:lsdException w:uiPriority="66" w:name="Medium List 2 Accent 2"/>
    <w:lsdException w:uiPriority="67" w:name="Medium Grid 1 Accent 2"/>
    <w:lsdException w:uiPriority="68" w:name="Medium Grid 2 Accent 2"/>
    <w:lsdException w:uiPriority="69" w:name="Medium Grid 3 Accent 2"/>
    <w:lsdException w:uiPriority="70" w:name="Dark List Accent 2"/>
    <w:lsdException w:uiPriority="71" w:name="Colorful Shading Accent 2"/>
    <w:lsdException w:qFormat="1" w:uiPriority="72" w:name="Colorful List Accent 2"/>
    <w:lsdException w:uiPriority="73" w:name="Colorful Grid Accent 2"/>
    <w:lsdException w:uiPriority="60" w:name="Light Shading Accent 3"/>
    <w:lsdException w:uiPriority="61" w:name="Light List Accent 3"/>
    <w:lsdException w:uiPriority="62" w:name="Light Grid Accent 3"/>
    <w:lsdException w:uiPriority="63" w:name="Medium Shading 1 Accent 3"/>
    <w:lsdException w:uiPriority="64" w:name="Medium Shading 2 Accent 3"/>
    <w:lsdException w:uiPriority="65" w:name="Medium List 1 Accent 3"/>
    <w:lsdException w:uiPriority="66" w:name="Medium List 2 Accent 3"/>
    <w:lsdException w:uiPriority="67" w:name="Medium Grid 1 Accent 3"/>
    <w:lsdException w:uiPriority="68" w:name="Medium Grid 2 Accent 3"/>
    <w:lsdException w:uiPriority="69" w:name="Medium Grid 3 Accent 3"/>
    <w:lsdException w:uiPriority="70" w:name="Dark List Accent 3"/>
    <w:lsdException w:qFormat="1" w:uiPriority="71" w:name="Colorful Shading Accent 3"/>
    <w:lsdException w:qFormat="1" w:uiPriority="72" w:name="Colorful List Accent 3"/>
    <w:lsdException w:qFormat="1" w:uiPriority="73" w:name="Colorful Grid Accent 3"/>
    <w:lsdException w:uiPriority="60" w:name="Light Shading Accent 4"/>
    <w:lsdException w:uiPriority="61" w:name="Light List Accent 4"/>
    <w:lsdException w:uiPriority="62" w:name="Light Grid Accent 4"/>
    <w:lsdException w:uiPriority="63" w:name="Medium Shading 1 Accent 4"/>
    <w:lsdException w:uiPriority="64" w:name="Medium Shading 2 Accent 4"/>
    <w:lsdException w:uiPriority="65" w:name="Medium List 1 Accent 4"/>
    <w:lsdException w:uiPriority="66" w:name="Medium List 2 Accent 4"/>
    <w:lsdException w:uiPriority="67" w:name="Medium Grid 1 Accent 4"/>
    <w:lsdException w:uiPriority="68" w:name="Medium Grid 2 Accent 4"/>
    <w:lsdException w:uiPriority="69" w:name="Medium Grid 3 Accent 4"/>
    <w:lsdException w:uiPriority="70" w:name="Dark List Accent 4"/>
    <w:lsdException w:qFormat="1" w:uiPriority="71" w:name="Colorful Shading Accent 4"/>
    <w:lsdException w:uiPriority="72" w:name="Colorful List Accent 4"/>
    <w:lsdException w:qFormat="1" w:uiPriority="73" w:name="Colorful Grid Accent 4"/>
    <w:lsdException w:uiPriority="60" w:name="Light Shading Accent 5"/>
    <w:lsdException w:uiPriority="61" w:name="Light List Accent 5"/>
    <w:lsdException w:uiPriority="62" w:name="Light Grid Accent 5"/>
    <w:lsdException w:uiPriority="63" w:name="Medium Shading 1 Accent 5"/>
    <w:lsdException w:uiPriority="64" w:name="Medium Shading 2 Accent 5"/>
    <w:lsdException w:uiPriority="65" w:name="Medium List 1 Accent 5"/>
    <w:lsdException w:uiPriority="66" w:name="Medium List 2 Accent 5"/>
    <w:lsdException w:uiPriority="67" w:name="Medium Grid 1 Accent 5"/>
    <w:lsdException w:uiPriority="68" w:name="Medium Grid 2 Accent 5"/>
    <w:lsdException w:uiPriority="69" w:name="Medium Grid 3 Accent 5"/>
    <w:lsdException w:uiPriority="70" w:name="Dark List Accent 5"/>
    <w:lsdException w:qFormat="1" w:uiPriority="71" w:name="Colorful Shading Accent 5"/>
    <w:lsdException w:qFormat="1" w:uiPriority="72" w:name="Colorful List Accent 5"/>
    <w:lsdException w:qFormat="1" w:uiPriority="73" w:name="Colorful Grid Accent 5"/>
    <w:lsdException w:uiPriority="60" w:name="Light Shading Accent 6"/>
    <w:lsdException w:uiPriority="61" w:name="Light List Accent 6"/>
    <w:lsdException w:uiPriority="62" w:name="Light Grid Accent 6"/>
    <w:lsdException w:uiPriority="63" w:name="Medium Shading 1 Accent 6"/>
    <w:lsdException w:uiPriority="64" w:name="Medium Shading 2 Accent 6"/>
    <w:lsdException w:uiPriority="65" w:name="Medium List 1 Accent 6"/>
    <w:lsdException w:uiPriority="66" w:name="Medium List 2 Accent 6"/>
    <w:lsdException w:uiPriority="67" w:name="Medium Grid 1 Accent 6"/>
    <w:lsdException w:uiPriority="68" w:name="Medium Grid 2 Accent 6"/>
    <w:lsdException w:uiPriority="69" w:name="Medium Grid 3 Accent 6"/>
    <w:lsdException w:uiPriority="70" w:name="Dark List Accent 6"/>
    <w:lsdException w:qFormat="1" w:uiPriority="71" w:name="Colorful Shading Accent 6"/>
    <w:lsdException w:qFormat="1" w:uiPriority="72" w:name="Colorful List Accent 6"/>
    <w:lsdException w:qFormat="1"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link w:val="269"/>
    <w:semiHidden/>
    <w:unhideWhenUsed/>
    <w:qFormat/>
    <w:uiPriority w:val="0"/>
    <w:pPr>
      <w:keepNext/>
      <w:keepLines/>
      <w:spacing w:before="40"/>
      <w:outlineLvl w:val="1"/>
    </w:pPr>
    <w:rPr>
      <w:rFonts w:asciiTheme="majorHAnsi" w:hAnsiTheme="majorHAnsi" w:eastAsiaTheme="majorEastAsia" w:cstheme="majorBidi"/>
      <w:color w:val="2E75B6" w:themeColor="accent1" w:themeShade="BF"/>
      <w:sz w:val="26"/>
      <w:szCs w:val="26"/>
    </w:rPr>
  </w:style>
  <w:style w:type="paragraph" w:styleId="5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rFonts w:ascii="Calibri" w:hAnsi="Calibri" w:eastAsia="Calibri" w:cs="Calibri"/>
      <w:b/>
      <w:bCs/>
      <w:kern w:val="0"/>
      <w:sz w:val="32"/>
      <w:szCs w:val="32"/>
      <w:lang w:eastAsia="en-US"/>
    </w:rPr>
  </w:style>
  <w:style w:type="paragraph" w:styleId="6">
    <w:name w:val="heading 4"/>
    <w:basedOn w:val="1"/>
    <w:next w:val="1"/>
    <w:link w:val="270"/>
    <w:semiHidden/>
    <w:unhideWhenUsed/>
    <w:qFormat/>
    <w:uiPriority w:val="0"/>
    <w:pPr>
      <w:keepNext/>
      <w:keepLines/>
      <w:spacing w:before="40"/>
      <w:outlineLvl w:val="3"/>
    </w:pPr>
    <w:rPr>
      <w:rFonts w:asciiTheme="majorHAnsi" w:hAnsiTheme="majorHAnsi" w:eastAsiaTheme="majorEastAsia" w:cstheme="majorBidi"/>
      <w:i/>
      <w:iCs/>
      <w:color w:val="2E75B6" w:themeColor="accent1" w:themeShade="BF"/>
    </w:rPr>
  </w:style>
  <w:style w:type="paragraph" w:styleId="7">
    <w:name w:val="heading 5"/>
    <w:basedOn w:val="1"/>
    <w:next w:val="1"/>
    <w:link w:val="271"/>
    <w:semiHidden/>
    <w:unhideWhenUsed/>
    <w:qFormat/>
    <w:uiPriority w:val="0"/>
    <w:pPr>
      <w:keepNext/>
      <w:keepLines/>
      <w:spacing w:before="40"/>
      <w:outlineLvl w:val="4"/>
    </w:pPr>
    <w:rPr>
      <w:rFonts w:asciiTheme="majorHAnsi" w:hAnsiTheme="majorHAnsi" w:eastAsiaTheme="majorEastAsia" w:cstheme="majorBidi"/>
      <w:color w:val="2E75B6" w:themeColor="accent1" w:themeShade="BF"/>
    </w:rPr>
  </w:style>
  <w:style w:type="paragraph" w:styleId="8">
    <w:name w:val="heading 6"/>
    <w:basedOn w:val="1"/>
    <w:next w:val="1"/>
    <w:link w:val="272"/>
    <w:semiHidden/>
    <w:unhideWhenUsed/>
    <w:qFormat/>
    <w:uiPriority w:val="0"/>
    <w:pPr>
      <w:keepNext/>
      <w:keepLines/>
      <w:spacing w:before="40"/>
      <w:outlineLvl w:val="5"/>
    </w:pPr>
    <w:rPr>
      <w:rFonts w:asciiTheme="majorHAnsi" w:hAnsiTheme="majorHAnsi" w:eastAsiaTheme="majorEastAsia" w:cstheme="majorBidi"/>
      <w:color w:val="1F4E79" w:themeColor="accent1" w:themeShade="80"/>
    </w:rPr>
  </w:style>
  <w:style w:type="paragraph" w:styleId="9">
    <w:name w:val="heading 7"/>
    <w:basedOn w:val="1"/>
    <w:next w:val="1"/>
    <w:link w:val="273"/>
    <w:semiHidden/>
    <w:unhideWhenUsed/>
    <w:qFormat/>
    <w:uiPriority w:val="0"/>
    <w:pPr>
      <w:keepNext/>
      <w:keepLines/>
      <w:spacing w:before="40"/>
      <w:outlineLvl w:val="6"/>
    </w:pPr>
    <w:rPr>
      <w:rFonts w:asciiTheme="majorHAnsi" w:hAnsiTheme="majorHAnsi" w:eastAsiaTheme="majorEastAsia" w:cstheme="majorBidi"/>
      <w:i/>
      <w:iCs/>
      <w:color w:val="1F4E79" w:themeColor="accent1" w:themeShade="80"/>
    </w:rPr>
  </w:style>
  <w:style w:type="paragraph" w:styleId="10">
    <w:name w:val="heading 8"/>
    <w:basedOn w:val="1"/>
    <w:next w:val="1"/>
    <w:link w:val="274"/>
    <w:semiHidden/>
    <w:unhideWhenUsed/>
    <w:qFormat/>
    <w:uiPriority w:val="0"/>
    <w:pPr>
      <w:keepNext/>
      <w:keepLines/>
      <w:spacing w:before="40"/>
      <w:outlineLvl w:val="7"/>
    </w:pPr>
    <w:rPr>
      <w:rFonts w:asciiTheme="majorHAnsi" w:hAnsiTheme="majorHAnsi" w:eastAsiaTheme="majorEastAsia" w:cstheme="majorBidi"/>
      <w:color w:val="262626" w:themeColor="text1" w:themeTint="D9"/>
      <w:szCs w:val="21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paragraph" w:styleId="11">
    <w:name w:val="heading 9"/>
    <w:basedOn w:val="1"/>
    <w:next w:val="1"/>
    <w:link w:val="275"/>
    <w:semiHidden/>
    <w:unhideWhenUsed/>
    <w:qFormat/>
    <w:uiPriority w:val="0"/>
    <w:pPr>
      <w:keepNext/>
      <w:keepLines/>
      <w:spacing w:before="40"/>
      <w:outlineLvl w:val="8"/>
    </w:pPr>
    <w:rPr>
      <w:rFonts w:asciiTheme="majorHAnsi" w:hAnsiTheme="majorHAnsi" w:eastAsiaTheme="majorEastAsia" w:cstheme="majorBidi"/>
      <w:i/>
      <w:iCs/>
      <w:color w:val="262626" w:themeColor="text1" w:themeTint="D9"/>
      <w:szCs w:val="21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default="1" w:styleId="231">
    <w:name w:val="Default Paragraph Font"/>
    <w:semiHidden/>
    <w:unhideWhenUsed/>
    <w:uiPriority w:val="1"/>
  </w:style>
  <w:style w:type="table" w:default="1" w:styleId="8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acro"/>
    <w:link w:val="398"/>
    <w:uiPriority w:val="0"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jc w:val="both"/>
    </w:pPr>
    <w:rPr>
      <w:rFonts w:ascii="Consolas" w:hAnsi="Consolas" w:eastAsiaTheme="minorEastAsia" w:cstheme="minorBidi"/>
      <w:kern w:val="2"/>
      <w:lang w:val="en-US" w:eastAsia="zh-CN" w:bidi="ar-SA"/>
    </w:rPr>
  </w:style>
  <w:style w:type="paragraph" w:styleId="12">
    <w:name w:val="List 3"/>
    <w:basedOn w:val="1"/>
    <w:qFormat/>
    <w:uiPriority w:val="0"/>
    <w:pPr>
      <w:ind w:left="1080" w:hanging="360"/>
      <w:contextualSpacing/>
    </w:pPr>
  </w:style>
  <w:style w:type="paragraph" w:styleId="13">
    <w:name w:val="toc 7"/>
    <w:basedOn w:val="1"/>
    <w:next w:val="1"/>
    <w:uiPriority w:val="0"/>
    <w:pPr>
      <w:spacing w:after="100"/>
      <w:ind w:left="1260"/>
    </w:pPr>
  </w:style>
  <w:style w:type="paragraph" w:styleId="14">
    <w:name w:val="List Number 2"/>
    <w:basedOn w:val="1"/>
    <w:qFormat/>
    <w:uiPriority w:val="0"/>
    <w:pPr>
      <w:numPr>
        <w:ilvl w:val="0"/>
        <w:numId w:val="1"/>
      </w:numPr>
      <w:contextualSpacing/>
    </w:pPr>
  </w:style>
  <w:style w:type="paragraph" w:styleId="15">
    <w:name w:val="table of authorities"/>
    <w:basedOn w:val="1"/>
    <w:next w:val="1"/>
    <w:qFormat/>
    <w:uiPriority w:val="0"/>
    <w:pPr>
      <w:ind w:left="210" w:hanging="210"/>
    </w:pPr>
  </w:style>
  <w:style w:type="paragraph" w:styleId="16">
    <w:name w:val="Note Heading"/>
    <w:basedOn w:val="1"/>
    <w:next w:val="1"/>
    <w:link w:val="402"/>
    <w:qFormat/>
    <w:uiPriority w:val="0"/>
  </w:style>
  <w:style w:type="paragraph" w:styleId="17">
    <w:name w:val="List Bullet 4"/>
    <w:basedOn w:val="1"/>
    <w:uiPriority w:val="0"/>
    <w:pPr>
      <w:numPr>
        <w:ilvl w:val="0"/>
        <w:numId w:val="2"/>
      </w:numPr>
      <w:contextualSpacing/>
    </w:pPr>
  </w:style>
  <w:style w:type="paragraph" w:styleId="18">
    <w:name w:val="index 8"/>
    <w:basedOn w:val="1"/>
    <w:next w:val="1"/>
    <w:qFormat/>
    <w:uiPriority w:val="0"/>
    <w:pPr>
      <w:ind w:left="1680" w:hanging="210"/>
    </w:pPr>
  </w:style>
  <w:style w:type="paragraph" w:styleId="19">
    <w:name w:val="E-mail Signature"/>
    <w:basedOn w:val="1"/>
    <w:link w:val="289"/>
    <w:qFormat/>
    <w:uiPriority w:val="0"/>
  </w:style>
  <w:style w:type="paragraph" w:styleId="20">
    <w:name w:val="List Number"/>
    <w:basedOn w:val="1"/>
    <w:qFormat/>
    <w:uiPriority w:val="0"/>
    <w:pPr>
      <w:numPr>
        <w:ilvl w:val="0"/>
        <w:numId w:val="3"/>
      </w:numPr>
      <w:contextualSpacing/>
    </w:pPr>
  </w:style>
  <w:style w:type="paragraph" w:styleId="21">
    <w:name w:val="Normal Indent"/>
    <w:basedOn w:val="1"/>
    <w:qFormat/>
    <w:uiPriority w:val="0"/>
    <w:pPr>
      <w:ind w:left="720"/>
    </w:pPr>
  </w:style>
  <w:style w:type="paragraph" w:styleId="22">
    <w:name w:val="caption"/>
    <w:basedOn w:val="1"/>
    <w:next w:val="1"/>
    <w:semiHidden/>
    <w:unhideWhenUsed/>
    <w:qFormat/>
    <w:uiPriority w:val="0"/>
    <w:pPr>
      <w:spacing w:after="200"/>
    </w:pPr>
    <w:rPr>
      <w:i/>
      <w:iCs/>
      <w:color w:val="44546A" w:themeColor="text2"/>
      <w:sz w:val="18"/>
      <w:szCs w:val="18"/>
      <w14:textFill>
        <w14:solidFill>
          <w14:schemeClr w14:val="tx2"/>
        </w14:solidFill>
      </w14:textFill>
    </w:rPr>
  </w:style>
  <w:style w:type="paragraph" w:styleId="23">
    <w:name w:val="index 5"/>
    <w:basedOn w:val="1"/>
    <w:next w:val="1"/>
    <w:qFormat/>
    <w:uiPriority w:val="0"/>
    <w:pPr>
      <w:ind w:left="1050" w:hanging="210"/>
    </w:pPr>
  </w:style>
  <w:style w:type="paragraph" w:styleId="24">
    <w:name w:val="List Bullet"/>
    <w:basedOn w:val="1"/>
    <w:qFormat/>
    <w:uiPriority w:val="0"/>
    <w:pPr>
      <w:numPr>
        <w:ilvl w:val="0"/>
        <w:numId w:val="4"/>
      </w:numPr>
      <w:contextualSpacing/>
    </w:pPr>
  </w:style>
  <w:style w:type="paragraph" w:styleId="25">
    <w:name w:val="envelope address"/>
    <w:basedOn w:val="1"/>
    <w:qFormat/>
    <w:uiPriority w:val="0"/>
    <w:pPr>
      <w:framePr w:w="7920" w:h="1980" w:hRule="exact" w:hSpace="180" w:wrap="auto" w:vAnchor="margin" w:hAnchor="page" w:xAlign="center" w:yAlign="bottom"/>
      <w:ind w:left="2880"/>
    </w:pPr>
    <w:rPr>
      <w:rFonts w:asciiTheme="majorHAnsi" w:hAnsiTheme="majorHAnsi" w:eastAsiaTheme="majorEastAsia" w:cstheme="majorBidi"/>
      <w:sz w:val="24"/>
    </w:rPr>
  </w:style>
  <w:style w:type="paragraph" w:styleId="26">
    <w:name w:val="Document Map"/>
    <w:basedOn w:val="1"/>
    <w:link w:val="288"/>
    <w:qFormat/>
    <w:uiPriority w:val="0"/>
    <w:rPr>
      <w:rFonts w:ascii="Segoe UI" w:hAnsi="Segoe UI" w:cs="Segoe UI"/>
      <w:sz w:val="16"/>
      <w:szCs w:val="16"/>
    </w:rPr>
  </w:style>
  <w:style w:type="paragraph" w:styleId="27">
    <w:name w:val="toa heading"/>
    <w:basedOn w:val="1"/>
    <w:next w:val="1"/>
    <w:qFormat/>
    <w:uiPriority w:val="0"/>
    <w:pPr>
      <w:spacing w:before="120"/>
    </w:pPr>
    <w:rPr>
      <w:rFonts w:asciiTheme="majorHAnsi" w:hAnsiTheme="majorHAnsi" w:eastAsiaTheme="majorEastAsia" w:cstheme="majorBidi"/>
      <w:b/>
      <w:bCs/>
      <w:sz w:val="24"/>
    </w:rPr>
  </w:style>
  <w:style w:type="paragraph" w:styleId="28">
    <w:name w:val="annotation text"/>
    <w:basedOn w:val="1"/>
    <w:link w:val="257"/>
    <w:qFormat/>
    <w:uiPriority w:val="0"/>
    <w:pPr>
      <w:jc w:val="left"/>
    </w:pPr>
    <w:rPr>
      <w:rFonts w:ascii="Tahoma" w:hAnsi="Tahoma" w:cs="Tahoma"/>
      <w:sz w:val="16"/>
    </w:rPr>
  </w:style>
  <w:style w:type="paragraph" w:styleId="29">
    <w:name w:val="index 6"/>
    <w:basedOn w:val="1"/>
    <w:next w:val="1"/>
    <w:qFormat/>
    <w:uiPriority w:val="0"/>
    <w:pPr>
      <w:ind w:left="1260" w:hanging="210"/>
    </w:pPr>
  </w:style>
  <w:style w:type="paragraph" w:styleId="30">
    <w:name w:val="Salutation"/>
    <w:basedOn w:val="1"/>
    <w:next w:val="1"/>
    <w:link w:val="412"/>
    <w:qFormat/>
    <w:uiPriority w:val="0"/>
  </w:style>
  <w:style w:type="paragraph" w:styleId="31">
    <w:name w:val="Body Text 3"/>
    <w:basedOn w:val="1"/>
    <w:link w:val="279"/>
    <w:qFormat/>
    <w:uiPriority w:val="0"/>
    <w:pPr>
      <w:spacing w:after="120"/>
    </w:pPr>
    <w:rPr>
      <w:sz w:val="16"/>
      <w:szCs w:val="16"/>
    </w:rPr>
  </w:style>
  <w:style w:type="paragraph" w:styleId="32">
    <w:name w:val="Closing"/>
    <w:basedOn w:val="1"/>
    <w:link w:val="286"/>
    <w:qFormat/>
    <w:uiPriority w:val="0"/>
    <w:pPr>
      <w:ind w:left="4320"/>
    </w:pPr>
  </w:style>
  <w:style w:type="paragraph" w:styleId="33">
    <w:name w:val="List Bullet 3"/>
    <w:basedOn w:val="1"/>
    <w:uiPriority w:val="0"/>
    <w:pPr>
      <w:numPr>
        <w:ilvl w:val="0"/>
        <w:numId w:val="5"/>
      </w:numPr>
      <w:contextualSpacing/>
    </w:pPr>
  </w:style>
  <w:style w:type="paragraph" w:styleId="34">
    <w:name w:val="Body Text"/>
    <w:basedOn w:val="1"/>
    <w:link w:val="277"/>
    <w:qFormat/>
    <w:uiPriority w:val="0"/>
    <w:pPr>
      <w:spacing w:after="120"/>
    </w:pPr>
  </w:style>
  <w:style w:type="paragraph" w:styleId="35">
    <w:name w:val="Body Text Indent"/>
    <w:basedOn w:val="1"/>
    <w:link w:val="281"/>
    <w:qFormat/>
    <w:uiPriority w:val="0"/>
    <w:pPr>
      <w:spacing w:after="120"/>
      <w:ind w:left="360"/>
    </w:pPr>
  </w:style>
  <w:style w:type="paragraph" w:styleId="36">
    <w:name w:val="List Number 3"/>
    <w:basedOn w:val="1"/>
    <w:qFormat/>
    <w:uiPriority w:val="0"/>
    <w:pPr>
      <w:numPr>
        <w:ilvl w:val="0"/>
        <w:numId w:val="6"/>
      </w:numPr>
      <w:contextualSpacing/>
    </w:pPr>
  </w:style>
  <w:style w:type="paragraph" w:styleId="37">
    <w:name w:val="List 2"/>
    <w:basedOn w:val="1"/>
    <w:uiPriority w:val="0"/>
    <w:pPr>
      <w:ind w:left="720" w:hanging="360"/>
      <w:contextualSpacing/>
    </w:pPr>
  </w:style>
  <w:style w:type="paragraph" w:styleId="38">
    <w:name w:val="List Continue"/>
    <w:basedOn w:val="1"/>
    <w:qFormat/>
    <w:uiPriority w:val="0"/>
    <w:pPr>
      <w:spacing w:after="120"/>
      <w:ind w:left="360"/>
      <w:contextualSpacing/>
    </w:pPr>
  </w:style>
  <w:style w:type="paragraph" w:styleId="39">
    <w:name w:val="Block Text"/>
    <w:basedOn w:val="1"/>
    <w:qFormat/>
    <w:uiPriority w:val="0"/>
    <w:pPr>
      <w:pBdr>
        <w:top w:val="single" w:color="5B9BD5" w:themeColor="accent1" w:sz="2" w:space="10"/>
        <w:left w:val="single" w:color="5B9BD5" w:themeColor="accent1" w:sz="2" w:space="10"/>
        <w:bottom w:val="single" w:color="5B9BD5" w:themeColor="accent1" w:sz="2" w:space="10"/>
        <w:right w:val="single" w:color="5B9BD5" w:themeColor="accent1" w:sz="2" w:space="10"/>
      </w:pBdr>
      <w:ind w:left="1152" w:right="1152"/>
    </w:pPr>
    <w:rPr>
      <w:i/>
      <w:iCs/>
      <w:color w:val="5B9BD5" w:themeColor="accent1"/>
      <w14:textFill>
        <w14:solidFill>
          <w14:schemeClr w14:val="accent1"/>
        </w14:solidFill>
      </w14:textFill>
    </w:rPr>
  </w:style>
  <w:style w:type="paragraph" w:styleId="40">
    <w:name w:val="List Bullet 2"/>
    <w:basedOn w:val="1"/>
    <w:qFormat/>
    <w:uiPriority w:val="0"/>
    <w:pPr>
      <w:numPr>
        <w:ilvl w:val="0"/>
        <w:numId w:val="7"/>
      </w:numPr>
      <w:contextualSpacing/>
    </w:pPr>
  </w:style>
  <w:style w:type="paragraph" w:styleId="41">
    <w:name w:val="HTML Address"/>
    <w:basedOn w:val="1"/>
    <w:link w:val="342"/>
    <w:qFormat/>
    <w:uiPriority w:val="0"/>
    <w:rPr>
      <w:i/>
      <w:iCs/>
    </w:rPr>
  </w:style>
  <w:style w:type="paragraph" w:styleId="42">
    <w:name w:val="index 4"/>
    <w:basedOn w:val="1"/>
    <w:next w:val="1"/>
    <w:qFormat/>
    <w:uiPriority w:val="0"/>
    <w:pPr>
      <w:ind w:left="840" w:hanging="210"/>
    </w:pPr>
  </w:style>
  <w:style w:type="paragraph" w:styleId="43">
    <w:name w:val="toc 5"/>
    <w:basedOn w:val="1"/>
    <w:next w:val="1"/>
    <w:qFormat/>
    <w:uiPriority w:val="0"/>
    <w:pPr>
      <w:spacing w:after="100"/>
      <w:ind w:left="840"/>
    </w:pPr>
  </w:style>
  <w:style w:type="paragraph" w:styleId="44">
    <w:name w:val="toc 3"/>
    <w:basedOn w:val="1"/>
    <w:next w:val="1"/>
    <w:qFormat/>
    <w:uiPriority w:val="0"/>
    <w:pPr>
      <w:spacing w:after="100"/>
      <w:ind w:left="420"/>
    </w:pPr>
  </w:style>
  <w:style w:type="paragraph" w:styleId="45">
    <w:name w:val="Plain Text"/>
    <w:basedOn w:val="1"/>
    <w:link w:val="409"/>
    <w:qFormat/>
    <w:uiPriority w:val="0"/>
    <w:rPr>
      <w:rFonts w:ascii="Consolas" w:hAnsi="Consolas"/>
      <w:szCs w:val="21"/>
    </w:rPr>
  </w:style>
  <w:style w:type="paragraph" w:styleId="46">
    <w:name w:val="List Bullet 5"/>
    <w:basedOn w:val="1"/>
    <w:uiPriority w:val="0"/>
    <w:pPr>
      <w:numPr>
        <w:ilvl w:val="0"/>
        <w:numId w:val="8"/>
      </w:numPr>
      <w:contextualSpacing/>
    </w:pPr>
  </w:style>
  <w:style w:type="paragraph" w:styleId="47">
    <w:name w:val="List Number 4"/>
    <w:basedOn w:val="1"/>
    <w:qFormat/>
    <w:uiPriority w:val="0"/>
    <w:pPr>
      <w:numPr>
        <w:ilvl w:val="0"/>
        <w:numId w:val="9"/>
      </w:numPr>
      <w:contextualSpacing/>
    </w:pPr>
  </w:style>
  <w:style w:type="paragraph" w:styleId="48">
    <w:name w:val="toc 8"/>
    <w:basedOn w:val="1"/>
    <w:next w:val="1"/>
    <w:qFormat/>
    <w:uiPriority w:val="0"/>
    <w:pPr>
      <w:spacing w:after="100"/>
      <w:ind w:left="1470"/>
    </w:pPr>
  </w:style>
  <w:style w:type="paragraph" w:styleId="49">
    <w:name w:val="index 3"/>
    <w:basedOn w:val="1"/>
    <w:next w:val="1"/>
    <w:qFormat/>
    <w:uiPriority w:val="0"/>
    <w:pPr>
      <w:ind w:left="630" w:hanging="210"/>
    </w:pPr>
  </w:style>
  <w:style w:type="paragraph" w:styleId="50">
    <w:name w:val="Date"/>
    <w:basedOn w:val="1"/>
    <w:next w:val="1"/>
    <w:link w:val="287"/>
    <w:qFormat/>
    <w:uiPriority w:val="0"/>
  </w:style>
  <w:style w:type="paragraph" w:styleId="51">
    <w:name w:val="Body Text Indent 2"/>
    <w:basedOn w:val="1"/>
    <w:link w:val="283"/>
    <w:qFormat/>
    <w:uiPriority w:val="0"/>
    <w:pPr>
      <w:spacing w:after="120" w:line="480" w:lineRule="auto"/>
      <w:ind w:left="360"/>
    </w:pPr>
  </w:style>
  <w:style w:type="paragraph" w:styleId="52">
    <w:name w:val="endnote text"/>
    <w:basedOn w:val="1"/>
    <w:link w:val="290"/>
    <w:qFormat/>
    <w:uiPriority w:val="0"/>
    <w:rPr>
      <w:sz w:val="20"/>
      <w:szCs w:val="20"/>
    </w:rPr>
  </w:style>
  <w:style w:type="paragraph" w:styleId="53">
    <w:name w:val="List Continue 5"/>
    <w:basedOn w:val="1"/>
    <w:qFormat/>
    <w:uiPriority w:val="0"/>
    <w:pPr>
      <w:spacing w:after="120"/>
      <w:ind w:left="1800"/>
      <w:contextualSpacing/>
    </w:pPr>
  </w:style>
  <w:style w:type="paragraph" w:styleId="54">
    <w:name w:val="Balloon Text"/>
    <w:basedOn w:val="1"/>
    <w:link w:val="259"/>
    <w:qFormat/>
    <w:uiPriority w:val="0"/>
    <w:rPr>
      <w:rFonts w:ascii="Tahoma" w:hAnsi="Tahoma" w:cs="Tahoma"/>
      <w:sz w:val="16"/>
      <w:szCs w:val="18"/>
    </w:rPr>
  </w:style>
  <w:style w:type="paragraph" w:styleId="55">
    <w:name w:val="footer"/>
    <w:basedOn w:val="1"/>
    <w:link w:val="26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6">
    <w:name w:val="envelope return"/>
    <w:basedOn w:val="1"/>
    <w:qFormat/>
    <w:uiPriority w:val="0"/>
    <w:rPr>
      <w:rFonts w:asciiTheme="majorHAnsi" w:hAnsiTheme="majorHAnsi" w:eastAsiaTheme="majorEastAsia" w:cstheme="majorBidi"/>
      <w:sz w:val="20"/>
      <w:szCs w:val="20"/>
    </w:rPr>
  </w:style>
  <w:style w:type="paragraph" w:styleId="57">
    <w:name w:val="header"/>
    <w:basedOn w:val="1"/>
    <w:link w:val="26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8">
    <w:name w:val="Signature"/>
    <w:basedOn w:val="1"/>
    <w:link w:val="413"/>
    <w:qFormat/>
    <w:uiPriority w:val="0"/>
    <w:pPr>
      <w:ind w:left="4320"/>
    </w:pPr>
  </w:style>
  <w:style w:type="paragraph" w:styleId="59">
    <w:name w:val="toc 1"/>
    <w:basedOn w:val="1"/>
    <w:next w:val="1"/>
    <w:qFormat/>
    <w:uiPriority w:val="0"/>
    <w:pPr>
      <w:spacing w:after="100"/>
    </w:pPr>
  </w:style>
  <w:style w:type="paragraph" w:styleId="60">
    <w:name w:val="List Continue 4"/>
    <w:basedOn w:val="1"/>
    <w:qFormat/>
    <w:uiPriority w:val="0"/>
    <w:pPr>
      <w:spacing w:after="120"/>
      <w:ind w:left="1440"/>
      <w:contextualSpacing/>
    </w:pPr>
  </w:style>
  <w:style w:type="paragraph" w:styleId="61">
    <w:name w:val="toc 4"/>
    <w:basedOn w:val="1"/>
    <w:next w:val="1"/>
    <w:qFormat/>
    <w:uiPriority w:val="0"/>
    <w:pPr>
      <w:spacing w:after="100"/>
      <w:ind w:left="630"/>
    </w:pPr>
  </w:style>
  <w:style w:type="paragraph" w:styleId="62">
    <w:name w:val="index heading"/>
    <w:basedOn w:val="1"/>
    <w:next w:val="63"/>
    <w:qFormat/>
    <w:uiPriority w:val="0"/>
    <w:rPr>
      <w:rFonts w:asciiTheme="majorHAnsi" w:hAnsiTheme="majorHAnsi" w:eastAsiaTheme="majorEastAsia" w:cstheme="majorBidi"/>
      <w:b/>
      <w:bCs/>
    </w:rPr>
  </w:style>
  <w:style w:type="paragraph" w:styleId="63">
    <w:name w:val="index 1"/>
    <w:basedOn w:val="1"/>
    <w:next w:val="1"/>
    <w:uiPriority w:val="0"/>
    <w:pPr>
      <w:ind w:left="210" w:hanging="210"/>
    </w:pPr>
  </w:style>
  <w:style w:type="paragraph" w:styleId="64">
    <w:name w:val="Subtitle"/>
    <w:basedOn w:val="1"/>
    <w:next w:val="1"/>
    <w:link w:val="416"/>
    <w:qFormat/>
    <w:uiPriority w:val="0"/>
    <w:pPr>
      <w:spacing w:after="160"/>
    </w:pPr>
    <w:rPr>
      <w:color w:val="595959" w:themeColor="text1" w:themeTint="A6"/>
      <w:spacing w:val="15"/>
      <w:sz w:val="22"/>
      <w:szCs w:val="22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65">
    <w:name w:val="List Number 5"/>
    <w:basedOn w:val="1"/>
    <w:qFormat/>
    <w:uiPriority w:val="0"/>
    <w:pPr>
      <w:numPr>
        <w:ilvl w:val="0"/>
        <w:numId w:val="10"/>
      </w:numPr>
      <w:contextualSpacing/>
    </w:pPr>
  </w:style>
  <w:style w:type="paragraph" w:styleId="66">
    <w:name w:val="List"/>
    <w:basedOn w:val="1"/>
    <w:qFormat/>
    <w:uiPriority w:val="0"/>
    <w:pPr>
      <w:ind w:left="360" w:hanging="360"/>
      <w:contextualSpacing/>
    </w:pPr>
  </w:style>
  <w:style w:type="paragraph" w:styleId="67">
    <w:name w:val="footnote text"/>
    <w:basedOn w:val="1"/>
    <w:link w:val="291"/>
    <w:qFormat/>
    <w:uiPriority w:val="0"/>
    <w:rPr>
      <w:sz w:val="20"/>
      <w:szCs w:val="20"/>
    </w:rPr>
  </w:style>
  <w:style w:type="paragraph" w:styleId="68">
    <w:name w:val="toc 6"/>
    <w:basedOn w:val="1"/>
    <w:next w:val="1"/>
    <w:qFormat/>
    <w:uiPriority w:val="0"/>
    <w:pPr>
      <w:spacing w:after="100"/>
      <w:ind w:left="1050"/>
    </w:pPr>
  </w:style>
  <w:style w:type="paragraph" w:styleId="69">
    <w:name w:val="List 5"/>
    <w:basedOn w:val="1"/>
    <w:qFormat/>
    <w:uiPriority w:val="0"/>
    <w:pPr>
      <w:ind w:left="1800" w:hanging="360"/>
      <w:contextualSpacing/>
    </w:pPr>
  </w:style>
  <w:style w:type="paragraph" w:styleId="70">
    <w:name w:val="Body Text Indent 3"/>
    <w:basedOn w:val="1"/>
    <w:link w:val="284"/>
    <w:qFormat/>
    <w:uiPriority w:val="0"/>
    <w:pPr>
      <w:spacing w:after="120"/>
      <w:ind w:left="360"/>
    </w:pPr>
    <w:rPr>
      <w:sz w:val="16"/>
      <w:szCs w:val="16"/>
    </w:rPr>
  </w:style>
  <w:style w:type="paragraph" w:styleId="71">
    <w:name w:val="index 7"/>
    <w:basedOn w:val="1"/>
    <w:next w:val="1"/>
    <w:qFormat/>
    <w:uiPriority w:val="0"/>
    <w:pPr>
      <w:ind w:left="1470" w:hanging="210"/>
    </w:pPr>
  </w:style>
  <w:style w:type="paragraph" w:styleId="72">
    <w:name w:val="index 9"/>
    <w:basedOn w:val="1"/>
    <w:next w:val="1"/>
    <w:qFormat/>
    <w:uiPriority w:val="0"/>
    <w:pPr>
      <w:ind w:left="1890" w:hanging="210"/>
    </w:pPr>
  </w:style>
  <w:style w:type="paragraph" w:styleId="73">
    <w:name w:val="table of figures"/>
    <w:basedOn w:val="1"/>
    <w:next w:val="1"/>
    <w:qFormat/>
    <w:uiPriority w:val="0"/>
  </w:style>
  <w:style w:type="paragraph" w:styleId="74">
    <w:name w:val="toc 2"/>
    <w:basedOn w:val="1"/>
    <w:next w:val="1"/>
    <w:qFormat/>
    <w:uiPriority w:val="0"/>
    <w:pPr>
      <w:spacing w:after="100"/>
      <w:ind w:left="210"/>
    </w:pPr>
  </w:style>
  <w:style w:type="paragraph" w:styleId="75">
    <w:name w:val="toc 9"/>
    <w:basedOn w:val="1"/>
    <w:next w:val="1"/>
    <w:qFormat/>
    <w:uiPriority w:val="0"/>
    <w:pPr>
      <w:spacing w:after="100"/>
      <w:ind w:left="1680"/>
    </w:pPr>
  </w:style>
  <w:style w:type="paragraph" w:styleId="76">
    <w:name w:val="Body Text 2"/>
    <w:basedOn w:val="1"/>
    <w:link w:val="278"/>
    <w:qFormat/>
    <w:uiPriority w:val="0"/>
    <w:pPr>
      <w:spacing w:after="120" w:line="480" w:lineRule="auto"/>
    </w:pPr>
  </w:style>
  <w:style w:type="paragraph" w:styleId="77">
    <w:name w:val="List 4"/>
    <w:basedOn w:val="1"/>
    <w:uiPriority w:val="0"/>
    <w:pPr>
      <w:ind w:left="1440" w:hanging="360"/>
      <w:contextualSpacing/>
    </w:pPr>
  </w:style>
  <w:style w:type="paragraph" w:styleId="78">
    <w:name w:val="List Continue 2"/>
    <w:basedOn w:val="1"/>
    <w:qFormat/>
    <w:uiPriority w:val="0"/>
    <w:pPr>
      <w:spacing w:after="120"/>
      <w:ind w:left="720"/>
      <w:contextualSpacing/>
    </w:pPr>
  </w:style>
  <w:style w:type="paragraph" w:styleId="79">
    <w:name w:val="Message Header"/>
    <w:basedOn w:val="1"/>
    <w:link w:val="400"/>
    <w:uiPriority w:val="0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hanging="1080"/>
    </w:pPr>
    <w:rPr>
      <w:rFonts w:asciiTheme="majorHAnsi" w:hAnsiTheme="majorHAnsi" w:eastAsiaTheme="majorEastAsia" w:cstheme="majorBidi"/>
      <w:sz w:val="24"/>
    </w:rPr>
  </w:style>
  <w:style w:type="paragraph" w:styleId="80">
    <w:name w:val="HTML Preformatted"/>
    <w:basedOn w:val="1"/>
    <w:link w:val="343"/>
    <w:qFormat/>
    <w:uiPriority w:val="0"/>
    <w:rPr>
      <w:rFonts w:ascii="Consolas" w:hAnsi="Consolas"/>
      <w:sz w:val="20"/>
      <w:szCs w:val="20"/>
    </w:rPr>
  </w:style>
  <w:style w:type="paragraph" w:styleId="81">
    <w:name w:val="Normal (Web)"/>
    <w:basedOn w:val="1"/>
    <w:qFormat/>
    <w:uiPriority w:val="0"/>
    <w:rPr>
      <w:rFonts w:ascii="Times New Roman" w:hAnsi="Times New Roman" w:cs="Times New Roman"/>
      <w:sz w:val="24"/>
    </w:rPr>
  </w:style>
  <w:style w:type="paragraph" w:styleId="82">
    <w:name w:val="List Continue 3"/>
    <w:basedOn w:val="1"/>
    <w:uiPriority w:val="0"/>
    <w:pPr>
      <w:spacing w:after="120"/>
      <w:ind w:left="1080"/>
      <w:contextualSpacing/>
    </w:pPr>
  </w:style>
  <w:style w:type="paragraph" w:styleId="83">
    <w:name w:val="index 2"/>
    <w:basedOn w:val="1"/>
    <w:next w:val="1"/>
    <w:qFormat/>
    <w:uiPriority w:val="0"/>
    <w:pPr>
      <w:ind w:left="420" w:hanging="210"/>
    </w:pPr>
  </w:style>
  <w:style w:type="paragraph" w:styleId="84">
    <w:name w:val="Title"/>
    <w:basedOn w:val="1"/>
    <w:next w:val="1"/>
    <w:link w:val="420"/>
    <w:qFormat/>
    <w:uiPriority w:val="0"/>
    <w:pPr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85">
    <w:name w:val="annotation subject"/>
    <w:basedOn w:val="28"/>
    <w:next w:val="28"/>
    <w:link w:val="258"/>
    <w:qFormat/>
    <w:uiPriority w:val="0"/>
    <w:rPr>
      <w:b/>
      <w:bCs/>
    </w:rPr>
  </w:style>
  <w:style w:type="paragraph" w:styleId="86">
    <w:name w:val="Body Text First Indent"/>
    <w:basedOn w:val="34"/>
    <w:link w:val="280"/>
    <w:qFormat/>
    <w:uiPriority w:val="0"/>
    <w:pPr>
      <w:spacing w:after="0"/>
      <w:ind w:firstLine="360"/>
    </w:pPr>
  </w:style>
  <w:style w:type="paragraph" w:styleId="87">
    <w:name w:val="Body Text First Indent 2"/>
    <w:basedOn w:val="35"/>
    <w:link w:val="282"/>
    <w:qFormat/>
    <w:uiPriority w:val="0"/>
    <w:pPr>
      <w:spacing w:after="0"/>
      <w:ind w:firstLine="360"/>
    </w:pPr>
  </w:style>
  <w:style w:type="table" w:styleId="89">
    <w:name w:val="Table Grid"/>
    <w:basedOn w:val="88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90">
    <w:name w:val="Table Theme"/>
    <w:basedOn w:val="8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91">
    <w:name w:val="Table Colorful 1"/>
    <w:basedOn w:val="88"/>
    <w:semiHidden/>
    <w:unhideWhenUsed/>
    <w:qFormat/>
    <w:uiPriority w:val="0"/>
    <w:pPr>
      <w:widowControl w:val="0"/>
      <w:jc w:val="both"/>
    </w:pPr>
    <w:rPr>
      <w:color w:val="FFFFFF"/>
    </w:rPr>
    <w:tblPr>
      <w:tblBorders>
        <w:top w:val="single" w:color="008080" w:sz="12" w:space="0"/>
        <w:left w:val="single" w:color="008080" w:sz="12" w:space="0"/>
        <w:bottom w:val="single" w:color="008080" w:sz="12" w:space="0"/>
        <w:right w:val="single" w:color="008080" w:sz="12" w:space="0"/>
        <w:insideH w:val="single" w:color="00FFFF" w:sz="6" w:space="0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92">
    <w:name w:val="Table Colorful 2"/>
    <w:basedOn w:val="88"/>
    <w:semiHidden/>
    <w:unhideWhenUsed/>
    <w:qFormat/>
    <w:uiPriority w:val="0"/>
    <w:pPr>
      <w:widowControl w:val="0"/>
      <w:jc w:val="both"/>
    </w:p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93">
    <w:name w:val="Table Colorful 3"/>
    <w:basedOn w:val="88"/>
    <w:semiHidden/>
    <w:unhideWhenUsed/>
    <w:qFormat/>
    <w:uiPriority w:val="0"/>
    <w:pPr>
      <w:widowControl w:val="0"/>
      <w:jc w:val="both"/>
    </w:pPr>
    <w:tblPr>
      <w:tblBorders>
        <w:top w:val="single" w:color="000000" w:sz="18" w:space="0"/>
        <w:left w:val="single" w:color="000000" w:sz="18" w:space="0"/>
        <w:bottom w:val="single" w:color="000000" w:sz="18" w:space="0"/>
        <w:right w:val="single" w:color="000000" w:sz="18" w:space="0"/>
        <w:insideH w:val="single" w:color="C0C0C0" w:sz="6" w:space="0"/>
      </w:tblBorders>
    </w:tblPr>
    <w:tcPr>
      <w:shd w:val="pct25" w:color="008080" w:fill="FFFFFF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color="000000" w:sz="36" w:space="0"/>
          <w:right w:val="single" w:color="000000" w:sz="6" w:space="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94">
    <w:name w:val="Table Elegant"/>
    <w:basedOn w:val="88"/>
    <w:semiHidden/>
    <w:unhideWhenUsed/>
    <w:qFormat/>
    <w:uiPriority w:val="0"/>
    <w:pPr>
      <w:widowControl w:val="0"/>
      <w:jc w:val="both"/>
    </w:pPr>
    <w:tblPr>
      <w:tblBorders>
        <w:top w:val="double" w:color="000000" w:sz="6" w:space="0"/>
        <w:left w:val="double" w:color="000000" w:sz="6" w:space="0"/>
        <w:bottom w:val="double" w:color="000000" w:sz="6" w:space="0"/>
        <w:right w:val="double" w:color="000000" w:sz="6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95">
    <w:name w:val="Table Classic 1"/>
    <w:basedOn w:val="88"/>
    <w:semiHidden/>
    <w:unhideWhenUsed/>
    <w:qFormat/>
    <w:uiPriority w:val="0"/>
    <w:pPr>
      <w:widowControl w:val="0"/>
      <w:jc w:val="both"/>
    </w:p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96">
    <w:name w:val="Table Classic 2"/>
    <w:basedOn w:val="88"/>
    <w:semiHidden/>
    <w:unhideWhenUsed/>
    <w:uiPriority w:val="0"/>
    <w:pPr>
      <w:widowControl w:val="0"/>
      <w:jc w:val="both"/>
    </w:p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color="000000" w:sz="6" w:space="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97">
    <w:name w:val="Table Classic 3"/>
    <w:basedOn w:val="88"/>
    <w:semiHidden/>
    <w:unhideWhenUsed/>
    <w:qFormat/>
    <w:uiPriority w:val="0"/>
    <w:pPr>
      <w:widowControl w:val="0"/>
      <w:jc w:val="both"/>
    </w:pPr>
    <w:rPr>
      <w:color w:val="000080"/>
    </w:r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6" w:space="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color="000000" w:sz="12" w:space="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98">
    <w:name w:val="Table Classic 4"/>
    <w:basedOn w:val="88"/>
    <w:semiHidden/>
    <w:unhideWhenUsed/>
    <w:qFormat/>
    <w:uiPriority w:val="0"/>
    <w:pPr>
      <w:widowControl w:val="0"/>
      <w:jc w:val="both"/>
    </w:pPr>
    <w:tblPr>
      <w:tblBorders>
        <w:top w:val="single" w:color="000000" w:sz="12" w:space="0"/>
        <w:left w:val="single" w:color="000000" w:sz="6" w:space="0"/>
        <w:bottom w:val="single" w:color="000000" w:sz="12" w:space="0"/>
        <w:right w:val="single" w:color="000000" w:sz="6" w:space="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6" w:space="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color="000000" w:sz="6" w:space="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99">
    <w:name w:val="Table Simple 1"/>
    <w:basedOn w:val="88"/>
    <w:semiHidden/>
    <w:unhideWhenUsed/>
    <w:qFormat/>
    <w:uiPriority w:val="0"/>
    <w:pPr>
      <w:widowControl w:val="0"/>
      <w:jc w:val="both"/>
    </w:pPr>
    <w:tblPr>
      <w:tblBorders>
        <w:top w:val="single" w:color="008000" w:sz="12" w:space="0"/>
        <w:bottom w:val="single" w:color="008000" w:sz="12" w:space="0"/>
      </w:tblBorders>
    </w:tblPr>
    <w:tcPr>
      <w:shd w:val="clear" w:color="auto" w:fill="auto"/>
    </w:tcPr>
    <w:tblStylePr w:type="firstRow">
      <w:tblPr/>
      <w:tcPr>
        <w:tcBorders>
          <w:bottom w:val="single" w:color="008000" w:sz="6" w:space="0"/>
          <w:tl2br w:val="nil"/>
          <w:tr2bl w:val="nil"/>
        </w:tcBorders>
      </w:tcPr>
    </w:tblStylePr>
    <w:tblStylePr w:type="lastRow">
      <w:tblPr/>
      <w:tcPr>
        <w:tcBorders>
          <w:top w:val="single" w:color="008000" w:sz="6" w:space="0"/>
          <w:tl2br w:val="nil"/>
          <w:tr2bl w:val="nil"/>
        </w:tcBorders>
      </w:tcPr>
    </w:tblStylePr>
  </w:style>
  <w:style w:type="table" w:styleId="100">
    <w:name w:val="Table Simple 2"/>
    <w:basedOn w:val="88"/>
    <w:semiHidden/>
    <w:unhideWhenUsed/>
    <w:uiPriority w:val="0"/>
    <w:pPr>
      <w:widowControl w:val="0"/>
      <w:jc w:val="both"/>
    </w:pPr>
    <w:tblPr/>
    <w:tblStylePr w:type="firstRow">
      <w:rPr>
        <w:b/>
        <w:bCs/>
      </w:rPr>
      <w:tblPr/>
      <w:tcPr>
        <w:tcBorders>
          <w:bottom w:val="single" w:color="000000" w:sz="12" w:space="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color="000000" w:sz="12" w:space="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color="000000" w:sz="6" w:space="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101">
    <w:name w:val="Table Simple 3"/>
    <w:basedOn w:val="88"/>
    <w:semiHidden/>
    <w:unhideWhenUsed/>
    <w:uiPriority w:val="0"/>
    <w:pPr>
      <w:widowControl w:val="0"/>
      <w:jc w:val="both"/>
    </w:p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102">
    <w:name w:val="Table Subtle 1"/>
    <w:basedOn w:val="88"/>
    <w:semiHidden/>
    <w:unhideWhenUsed/>
    <w:qFormat/>
    <w:uiPriority w:val="0"/>
    <w:pPr>
      <w:widowControl w:val="0"/>
      <w:jc w:val="both"/>
    </w:pPr>
    <w:tblPr>
      <w:tblStyleRowBandSize w:val="1"/>
    </w:tblPr>
    <w:tblStylePr w:type="firstRow">
      <w:tblPr/>
      <w:tcPr>
        <w:tcBorders>
          <w:top w:val="single" w:color="000000" w:sz="6" w:space="0"/>
          <w:bottom w:val="single" w:color="000000" w:sz="12" w:space="0"/>
          <w:tl2br w:val="nil"/>
          <w:tr2bl w:val="nil"/>
        </w:tcBorders>
      </w:tcPr>
    </w:tblStylePr>
    <w:tblStylePr w:type="lastRow">
      <w:tblPr/>
      <w:tcPr>
        <w:tcBorders>
          <w:top w:val="single" w:color="000000" w:sz="12" w:space="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color="000000" w:sz="12" w:space="0"/>
          <w:tl2br w:val="nil"/>
          <w:tr2bl w:val="nil"/>
        </w:tcBorders>
      </w:tcPr>
    </w:tblStylePr>
    <w:tblStylePr w:type="lastCol">
      <w:tblPr/>
      <w:tcPr>
        <w:tcBorders>
          <w:left w:val="single" w:color="000000" w:sz="12" w:space="0"/>
          <w:tl2br w:val="nil"/>
          <w:tr2bl w:val="nil"/>
        </w:tcBorders>
      </w:tcPr>
    </w:tblStylePr>
    <w:tblStylePr w:type="band1Horz">
      <w:tblPr/>
      <w:tcPr>
        <w:tcBorders>
          <w:bottom w:val="single" w:color="000000" w:sz="6" w:space="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03">
    <w:name w:val="Table Subtle 2"/>
    <w:basedOn w:val="88"/>
    <w:semiHidden/>
    <w:unhideWhenUsed/>
    <w:qFormat/>
    <w:uiPriority w:val="0"/>
    <w:pPr>
      <w:widowControl w:val="0"/>
      <w:jc w:val="both"/>
    </w:pPr>
    <w:tblPr>
      <w:tblBorders>
        <w:left w:val="single" w:color="000000" w:sz="6" w:space="0"/>
        <w:right w:val="single" w:color="000000" w:sz="6" w:space="0"/>
      </w:tblBorders>
    </w:tblPr>
    <w:tblStylePr w:type="firstRow">
      <w:tblPr/>
      <w:tcPr>
        <w:tcBorders>
          <w:bottom w:val="single" w:color="000000" w:sz="12" w:space="0"/>
          <w:tl2br w:val="nil"/>
          <w:tr2bl w:val="nil"/>
        </w:tcBorders>
      </w:tcPr>
    </w:tblStylePr>
    <w:tblStylePr w:type="lastRow">
      <w:tblPr/>
      <w:tcPr>
        <w:tcBorders>
          <w:top w:val="single" w:color="000000" w:sz="12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12" w:space="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color="000000" w:sz="12" w:space="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04">
    <w:name w:val="Table 3D effects 1"/>
    <w:basedOn w:val="88"/>
    <w:semiHidden/>
    <w:unhideWhenUsed/>
    <w:qFormat/>
    <w:uiPriority w:val="0"/>
    <w:pPr>
      <w:widowControl w:val="0"/>
      <w:jc w:val="both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tblPr/>
      <w:tcPr>
        <w:tcBorders>
          <w:top w:val="single" w:color="FFFFFF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color="808080" w:sz="6" w:space="0"/>
          <w:tl2br w:val="nil"/>
          <w:tr2bl w:val="nil"/>
        </w:tcBorders>
      </w:tcPr>
    </w:tblStylePr>
    <w:tblStylePr w:type="lastCol">
      <w:tblPr/>
      <w:tcPr>
        <w:tcBorders>
          <w:left w:val="single" w:color="FFFFFF" w:sz="6" w:space="0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105">
    <w:name w:val="Table 3D effects 2"/>
    <w:basedOn w:val="88"/>
    <w:semiHidden/>
    <w:unhideWhenUsed/>
    <w:qFormat/>
    <w:uiPriority w:val="0"/>
    <w:pPr>
      <w:widowControl w:val="0"/>
      <w:jc w:val="both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color="808080" w:sz="6" w:space="0"/>
          <w:tl2br w:val="nil"/>
          <w:tr2bl w:val="nil"/>
        </w:tcBorders>
      </w:tcPr>
    </w:tblStylePr>
    <w:tblStylePr w:type="lastCol">
      <w:tblPr/>
      <w:tcPr>
        <w:tcBorders>
          <w:right w:val="single" w:color="FFFFFF" w:sz="6" w:space="0"/>
          <w:tl2br w:val="nil"/>
          <w:tr2bl w:val="nil"/>
        </w:tcBorders>
      </w:tcPr>
    </w:tblStylePr>
    <w:tblStylePr w:type="band1Horz">
      <w:tblPr/>
      <w:tcPr>
        <w:tcBorders>
          <w:top w:val="single" w:color="808080" w:sz="6" w:space="0"/>
          <w:bottom w:val="single" w:color="FFFFFF" w:sz="6" w:space="0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06">
    <w:name w:val="Table 3D effects 3"/>
    <w:basedOn w:val="88"/>
    <w:semiHidden/>
    <w:unhideWhenUsed/>
    <w:uiPriority w:val="0"/>
    <w:pPr>
      <w:widowControl w:val="0"/>
      <w:jc w:val="both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color="808080" w:sz="6" w:space="0"/>
          <w:tl2br w:val="nil"/>
          <w:tr2bl w:val="nil"/>
        </w:tcBorders>
      </w:tcPr>
    </w:tblStylePr>
    <w:tblStylePr w:type="lastCol">
      <w:tblPr/>
      <w:tcPr>
        <w:tcBorders>
          <w:right w:val="single" w:color="FFFFFF" w:sz="6" w:space="0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color="808080" w:sz="6" w:space="0"/>
          <w:bottom w:val="single" w:color="FFFFFF" w:sz="6" w:space="0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07">
    <w:name w:val="Table List 1"/>
    <w:basedOn w:val="88"/>
    <w:semiHidden/>
    <w:unhideWhenUsed/>
    <w:uiPriority w:val="0"/>
    <w:pPr>
      <w:widowControl w:val="0"/>
      <w:jc w:val="both"/>
    </w:pPr>
    <w:tblPr>
      <w:tblBorders>
        <w:top w:val="single" w:color="008080" w:sz="12" w:space="0"/>
        <w:left w:val="single" w:color="008080" w:sz="6" w:space="0"/>
        <w:bottom w:val="single" w:color="008080" w:sz="12" w:space="0"/>
        <w:right w:val="single" w:color="008080" w:sz="6" w:space="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color="000000" w:sz="6" w:space="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color="000000" w:sz="6" w:space="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08">
    <w:name w:val="Table List 2"/>
    <w:basedOn w:val="88"/>
    <w:semiHidden/>
    <w:unhideWhenUsed/>
    <w:uiPriority w:val="0"/>
    <w:pPr>
      <w:widowControl w:val="0"/>
      <w:jc w:val="both"/>
    </w:pPr>
    <w:tblPr>
      <w:tblBorders>
        <w:bottom w:val="single" w:color="808080" w:sz="12" w:space="0"/>
      </w:tblBorders>
    </w:tblPr>
    <w:tblStylePr w:type="firstRow">
      <w:rPr>
        <w:b/>
        <w:bCs/>
        <w:color w:val="FFFFFF"/>
      </w:rPr>
      <w:tblPr/>
      <w:tcPr>
        <w:tcBorders>
          <w:bottom w:val="single" w:color="000000" w:sz="6" w:space="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color="000000" w:sz="6" w:space="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09">
    <w:name w:val="Table List 3"/>
    <w:basedOn w:val="88"/>
    <w:semiHidden/>
    <w:unhideWhenUsed/>
    <w:uiPriority w:val="0"/>
    <w:pPr>
      <w:widowControl w:val="0"/>
      <w:jc w:val="both"/>
    </w:pPr>
    <w:tblPr>
      <w:tblBorders>
        <w:top w:val="single" w:color="000000" w:sz="12" w:space="0"/>
        <w:bottom w:val="single" w:color="000000" w:sz="12" w:space="0"/>
        <w:insideH w:val="single" w:color="000000" w:sz="6" w:space="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color="000000" w:sz="12" w:space="0"/>
          <w:tl2br w:val="nil"/>
          <w:tr2bl w:val="nil"/>
        </w:tcBorders>
      </w:tcPr>
    </w:tblStylePr>
    <w:tblStylePr w:type="lastRow">
      <w:tblPr/>
      <w:tcPr>
        <w:tcBorders>
          <w:top w:val="single" w:color="000000" w:sz="12" w:space="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110">
    <w:name w:val="Table List 4"/>
    <w:basedOn w:val="88"/>
    <w:semiHidden/>
    <w:unhideWhenUsed/>
    <w:uiPriority w:val="0"/>
    <w:pPr>
      <w:widowControl w:val="0"/>
      <w:jc w:val="both"/>
    </w:p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H w:val="single" w:color="000000" w:sz="6" w:space="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8080" w:fill="FFFFFF"/>
      </w:tcPr>
    </w:tblStylePr>
  </w:style>
  <w:style w:type="table" w:styleId="111">
    <w:name w:val="Table List 5"/>
    <w:basedOn w:val="88"/>
    <w:semiHidden/>
    <w:unhideWhenUsed/>
    <w:uiPriority w:val="0"/>
    <w:pPr>
      <w:widowControl w:val="0"/>
      <w:jc w:val="both"/>
    </w:pPr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color="000000" w:sz="12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12">
    <w:name w:val="Table List 6"/>
    <w:basedOn w:val="88"/>
    <w:semiHidden/>
    <w:unhideWhenUsed/>
    <w:uiPriority w:val="0"/>
    <w:pPr>
      <w:widowControl w:val="0"/>
      <w:jc w:val="both"/>
    </w:pPr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color="000000" w:sz="12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color="000000" w:sz="12" w:space="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113">
    <w:name w:val="Table List 7"/>
    <w:basedOn w:val="88"/>
    <w:semiHidden/>
    <w:unhideWhenUsed/>
    <w:uiPriority w:val="0"/>
    <w:pPr>
      <w:widowControl w:val="0"/>
      <w:jc w:val="both"/>
    </w:pPr>
    <w:tblPr>
      <w:tblBorders>
        <w:top w:val="single" w:color="008000" w:sz="12" w:space="0"/>
        <w:left w:val="single" w:color="008000" w:sz="6" w:space="0"/>
        <w:bottom w:val="single" w:color="008000" w:sz="12" w:space="0"/>
        <w:right w:val="single" w:color="008000" w:sz="6" w:space="0"/>
        <w:insideH w:val="single" w:color="000000" w:sz="6" w:space="0"/>
      </w:tblBorders>
    </w:tblPr>
    <w:tblStylePr w:type="firstRow">
      <w:rPr>
        <w:b/>
        <w:bCs/>
      </w:rPr>
      <w:tblPr/>
      <w:tcPr>
        <w:tcBorders>
          <w:bottom w:val="single" w:color="008000" w:sz="12" w:space="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color="008000" w:sz="12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114">
    <w:name w:val="Table List 8"/>
    <w:basedOn w:val="88"/>
    <w:semiHidden/>
    <w:unhideWhenUsed/>
    <w:uiPriority w:val="0"/>
    <w:pPr>
      <w:widowControl w:val="0"/>
      <w:jc w:val="both"/>
    </w:pPr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V w:val="single" w:color="00000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000000" w:sz="6" w:space="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color="auto" w:sz="6" w:space="0"/>
          <w:tr2bl w:val="nil"/>
        </w:tcBorders>
      </w:tcPr>
    </w:tblStylePr>
  </w:style>
  <w:style w:type="table" w:styleId="115">
    <w:name w:val="Table Contemporary"/>
    <w:basedOn w:val="88"/>
    <w:semiHidden/>
    <w:unhideWhenUsed/>
    <w:uiPriority w:val="0"/>
    <w:pPr>
      <w:widowControl w:val="0"/>
      <w:jc w:val="both"/>
    </w:pPr>
    <w:tblPr>
      <w:tblBorders>
        <w:insideH w:val="single" w:color="FFFFFF" w:sz="18" w:space="0"/>
        <w:insideV w:val="single" w:color="FFFFFF" w:sz="18" w:space="0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116">
    <w:name w:val="Table Columns 1"/>
    <w:basedOn w:val="88"/>
    <w:semiHidden/>
    <w:unhideWhenUsed/>
    <w:uiPriority w:val="0"/>
    <w:pPr>
      <w:widowControl w:val="0"/>
      <w:jc w:val="both"/>
    </w:pPr>
    <w:rPr>
      <w:b/>
      <w:bCs/>
    </w:r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</w:tblBorders>
    </w:tblPr>
    <w:tblStylePr w:type="firstRow">
      <w:rPr>
        <w:b w:val="0"/>
        <w:bCs w:val="0"/>
      </w:rPr>
      <w:tblPr/>
      <w:tcPr>
        <w:tcBorders>
          <w:bottom w:val="double" w:color="000000" w:sz="6" w:space="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17">
    <w:name w:val="Table Columns 2"/>
    <w:basedOn w:val="88"/>
    <w:semiHidden/>
    <w:unhideWhenUsed/>
    <w:uiPriority w:val="0"/>
    <w:pPr>
      <w:widowControl w:val="0"/>
      <w:jc w:val="both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18">
    <w:name w:val="Table Columns 3"/>
    <w:basedOn w:val="88"/>
    <w:semiHidden/>
    <w:unhideWhenUsed/>
    <w:uiPriority w:val="0"/>
    <w:pPr>
      <w:widowControl w:val="0"/>
      <w:jc w:val="both"/>
    </w:pPr>
    <w:rPr>
      <w:b/>
      <w:bCs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19">
    <w:name w:val="Table Columns 4"/>
    <w:basedOn w:val="88"/>
    <w:semiHidden/>
    <w:unhideWhenUsed/>
    <w:uiPriority w:val="0"/>
    <w:pPr>
      <w:widowControl w:val="0"/>
      <w:jc w:val="both"/>
    </w:p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120">
    <w:name w:val="Table Columns 5"/>
    <w:basedOn w:val="88"/>
    <w:semiHidden/>
    <w:unhideWhenUsed/>
    <w:uiPriority w:val="0"/>
    <w:pPr>
      <w:widowControl w:val="0"/>
      <w:jc w:val="both"/>
    </w:p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121">
    <w:name w:val="Table Grid 1"/>
    <w:basedOn w:val="88"/>
    <w:semiHidden/>
    <w:unhideWhenUsed/>
    <w:uiPriority w:val="0"/>
    <w:pPr>
      <w:widowControl w:val="0"/>
      <w:jc w:val="both"/>
    </w:pPr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122">
    <w:name w:val="Table Grid 2"/>
    <w:basedOn w:val="88"/>
    <w:semiHidden/>
    <w:unhideWhenUsed/>
    <w:uiPriority w:val="0"/>
    <w:pPr>
      <w:widowControl w:val="0"/>
      <w:jc w:val="both"/>
    </w:pPr>
    <w:tblPr>
      <w:tblBorders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23">
    <w:name w:val="Table Grid 3"/>
    <w:basedOn w:val="88"/>
    <w:semiHidden/>
    <w:unhideWhenUsed/>
    <w:uiPriority w:val="0"/>
    <w:pPr>
      <w:widowControl w:val="0"/>
      <w:jc w:val="both"/>
    </w:p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124">
    <w:name w:val="Table Grid 4"/>
    <w:basedOn w:val="88"/>
    <w:semiHidden/>
    <w:unhideWhenUsed/>
    <w:uiPriority w:val="0"/>
    <w:pPr>
      <w:widowControl w:val="0"/>
      <w:jc w:val="both"/>
    </w:p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125">
    <w:name w:val="Table Grid 5"/>
    <w:basedOn w:val="88"/>
    <w:semiHidden/>
    <w:unhideWhenUsed/>
    <w:uiPriority w:val="0"/>
    <w:pPr>
      <w:widowControl w:val="0"/>
      <w:jc w:val="both"/>
    </w:p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12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126">
    <w:name w:val="Table Grid 6"/>
    <w:basedOn w:val="88"/>
    <w:semiHidden/>
    <w:unhideWhenUsed/>
    <w:uiPriority w:val="0"/>
    <w:pPr>
      <w:widowControl w:val="0"/>
      <w:jc w:val="both"/>
    </w:p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127">
    <w:name w:val="Table Grid 7"/>
    <w:basedOn w:val="88"/>
    <w:semiHidden/>
    <w:unhideWhenUsed/>
    <w:uiPriority w:val="0"/>
    <w:pPr>
      <w:widowControl w:val="0"/>
      <w:jc w:val="both"/>
    </w:pPr>
    <w:rPr>
      <w:b/>
      <w:bCs/>
    </w:r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color="000000" w:sz="12" w:space="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128">
    <w:name w:val="Table Grid 8"/>
    <w:basedOn w:val="88"/>
    <w:semiHidden/>
    <w:unhideWhenUsed/>
    <w:uiPriority w:val="0"/>
    <w:pPr>
      <w:widowControl w:val="0"/>
      <w:jc w:val="both"/>
    </w:p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129">
    <w:name w:val="Table Web 1"/>
    <w:basedOn w:val="88"/>
    <w:semiHidden/>
    <w:unhideWhenUsed/>
    <w:uiPriority w:val="0"/>
    <w:pPr>
      <w:widowControl w:val="0"/>
      <w:jc w:val="both"/>
    </w:pPr>
    <w:tblPr>
      <w:tblCellSpacing w:w="20" w:type="dxa"/>
      <w:tblBorders>
        <w:top w:val="outset" w:color="auto" w:sz="6" w:space="0"/>
        <w:left w:val="outset" w:color="auto" w:sz="6" w:space="0"/>
        <w:bottom w:val="outset" w:color="auto" w:sz="6" w:space="0"/>
        <w:right w:val="outset" w:color="auto" w:sz="6" w:space="0"/>
        <w:insideH w:val="outset" w:color="auto" w:sz="6" w:space="0"/>
        <w:insideV w:val="outset" w:color="auto" w:sz="6" w:space="0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130">
    <w:name w:val="Table Web 2"/>
    <w:basedOn w:val="88"/>
    <w:semiHidden/>
    <w:unhideWhenUsed/>
    <w:uiPriority w:val="0"/>
    <w:pPr>
      <w:widowControl w:val="0"/>
      <w:jc w:val="both"/>
    </w:pPr>
    <w:tblPr>
      <w:tblCellSpacing w:w="20" w:type="dxa"/>
      <w:tblBorders>
        <w:top w:val="inset" w:color="auto" w:sz="6" w:space="0"/>
        <w:left w:val="inset" w:color="auto" w:sz="6" w:space="0"/>
        <w:bottom w:val="inset" w:color="auto" w:sz="6" w:space="0"/>
        <w:right w:val="inset" w:color="auto" w:sz="6" w:space="0"/>
        <w:insideH w:val="inset" w:color="auto" w:sz="6" w:space="0"/>
        <w:insideV w:val="inset" w:color="auto" w:sz="6" w:space="0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131">
    <w:name w:val="Table Web 3"/>
    <w:basedOn w:val="88"/>
    <w:uiPriority w:val="0"/>
    <w:pPr>
      <w:widowControl w:val="0"/>
      <w:jc w:val="both"/>
    </w:pPr>
    <w:tblPr>
      <w:tblCellSpacing w:w="20" w:type="dxa"/>
      <w:tblBorders>
        <w:top w:val="outset" w:color="auto" w:sz="24" w:space="0"/>
        <w:left w:val="outset" w:color="auto" w:sz="24" w:space="0"/>
        <w:bottom w:val="outset" w:color="auto" w:sz="24" w:space="0"/>
        <w:right w:val="outset" w:color="auto" w:sz="24" w:space="0"/>
        <w:insideH w:val="outset" w:color="auto" w:sz="6" w:space="0"/>
        <w:insideV w:val="outset" w:color="auto" w:sz="6" w:space="0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132">
    <w:name w:val="Table Professional"/>
    <w:basedOn w:val="88"/>
    <w:semiHidden/>
    <w:unhideWhenUsed/>
    <w:uiPriority w:val="0"/>
    <w:pPr>
      <w:widowControl w:val="0"/>
      <w:jc w:val="both"/>
    </w:pPr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133">
    <w:name w:val="Light Shading"/>
    <w:basedOn w:val="88"/>
    <w:semiHidden/>
    <w:unhideWhenUsed/>
    <w:uiPriority w:val="60"/>
    <w:rPr>
      <w:color w:val="000000" w:themeColor="text1" w:themeShade="BF"/>
    </w:rPr>
    <w:tblPr>
      <w:tblBorders>
        <w:top w:val="single" w:color="000000" w:themeColor="text1" w:sz="8" w:space="0"/>
        <w:bottom w:val="single" w:color="000000" w:themeColor="text1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</w:style>
  <w:style w:type="table" w:styleId="134">
    <w:name w:val="Light Shading Accent 1"/>
    <w:basedOn w:val="88"/>
    <w:semiHidden/>
    <w:unhideWhenUsed/>
    <w:uiPriority w:val="60"/>
    <w:rPr>
      <w:color w:val="2E75B6" w:themeColor="accent1" w:themeShade="BF"/>
    </w:rPr>
    <w:tblPr>
      <w:tblBorders>
        <w:top w:val="single" w:color="5B9BD5" w:themeColor="accent1" w:sz="8" w:space="0"/>
        <w:bottom w:val="single" w:color="5B9BD5" w:themeColor="accent1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5B9BD5" w:themeColor="accent1" w:sz="8" w:space="0"/>
          <w:left w:val="nil"/>
          <w:bottom w:val="single" w:color="5B9BD5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5B9BD5" w:themeColor="accent1" w:sz="8" w:space="0"/>
          <w:left w:val="nil"/>
          <w:bottom w:val="single" w:color="5B9BD5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</w:style>
  <w:style w:type="table" w:styleId="135">
    <w:name w:val="Light Shading Accent 2"/>
    <w:basedOn w:val="88"/>
    <w:semiHidden/>
    <w:unhideWhenUsed/>
    <w:uiPriority w:val="60"/>
    <w:rPr>
      <w:color w:val="C55A11" w:themeColor="accent2" w:themeShade="BF"/>
    </w:rPr>
    <w:tblPr>
      <w:tblBorders>
        <w:top w:val="single" w:color="ED7D31" w:themeColor="accent2" w:sz="8" w:space="0"/>
        <w:bottom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ED7D31" w:themeColor="accent2" w:sz="8" w:space="0"/>
          <w:left w:val="nil"/>
          <w:bottom w:val="single" w:color="ED7D31" w:themeColor="accent2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ED7D31" w:themeColor="accent2" w:sz="8" w:space="0"/>
          <w:left w:val="nil"/>
          <w:bottom w:val="single" w:color="ED7D31" w:themeColor="accent2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C" w:themeFill="accent2" w:themeFillTint="3F"/>
      </w:tcPr>
    </w:tblStylePr>
  </w:style>
  <w:style w:type="table" w:styleId="136">
    <w:name w:val="Light Shading Accent 3"/>
    <w:basedOn w:val="88"/>
    <w:semiHidden/>
    <w:unhideWhenUsed/>
    <w:uiPriority w:val="60"/>
    <w:rPr>
      <w:color w:val="7C7C7C" w:themeColor="accent3" w:themeShade="BF"/>
    </w:rPr>
    <w:tblPr>
      <w:tblBorders>
        <w:top w:val="single" w:color="A5A5A5" w:themeColor="accent3" w:sz="8" w:space="0"/>
        <w:bottom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A5A5A5" w:themeColor="accent3" w:sz="8" w:space="0"/>
          <w:left w:val="nil"/>
          <w:bottom w:val="single" w:color="A5A5A5" w:themeColor="accent3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A5A5A5" w:themeColor="accent3" w:sz="8" w:space="0"/>
          <w:left w:val="nil"/>
          <w:bottom w:val="single" w:color="A5A5A5" w:themeColor="accent3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137">
    <w:name w:val="Light Shading Accent 4"/>
    <w:basedOn w:val="88"/>
    <w:semiHidden/>
    <w:unhideWhenUsed/>
    <w:uiPriority w:val="60"/>
    <w:rPr>
      <w:color w:val="BF9000" w:themeColor="accent4" w:themeShade="BF"/>
    </w:rPr>
    <w:tblPr>
      <w:tblBorders>
        <w:top w:val="single" w:color="FFC000" w:themeColor="accent4" w:sz="8" w:space="0"/>
        <w:bottom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FFC000" w:themeColor="accent4" w:sz="8" w:space="0"/>
          <w:left w:val="nil"/>
          <w:bottom w:val="single" w:color="FFC000" w:themeColor="accent4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FFC000" w:themeColor="accent4" w:sz="8" w:space="0"/>
          <w:left w:val="nil"/>
          <w:bottom w:val="single" w:color="FFC000" w:themeColor="accent4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BF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BF" w:themeFill="accent4" w:themeFillTint="3F"/>
      </w:tcPr>
    </w:tblStylePr>
  </w:style>
  <w:style w:type="table" w:styleId="138">
    <w:name w:val="Light Shading Accent 5"/>
    <w:basedOn w:val="88"/>
    <w:semiHidden/>
    <w:unhideWhenUsed/>
    <w:uiPriority w:val="60"/>
    <w:rPr>
      <w:color w:val="2F5597" w:themeColor="accent5" w:themeShade="BF"/>
    </w:rPr>
    <w:tblPr>
      <w:tblBorders>
        <w:top w:val="single" w:color="4472C4" w:themeColor="accent5" w:sz="8" w:space="0"/>
        <w:bottom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472C4" w:themeColor="accent5" w:sz="8" w:space="0"/>
          <w:left w:val="nil"/>
          <w:bottom w:val="single" w:color="4472C4" w:themeColor="accent5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472C4" w:themeColor="accent5" w:sz="8" w:space="0"/>
          <w:left w:val="nil"/>
          <w:bottom w:val="single" w:color="4472C4" w:themeColor="accent5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C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CF0" w:themeFill="accent5" w:themeFillTint="3F"/>
      </w:tcPr>
    </w:tblStylePr>
  </w:style>
  <w:style w:type="table" w:styleId="139">
    <w:name w:val="Light Shading Accent 6"/>
    <w:basedOn w:val="88"/>
    <w:semiHidden/>
    <w:unhideWhenUsed/>
    <w:uiPriority w:val="60"/>
    <w:rPr>
      <w:color w:val="548235" w:themeColor="accent6" w:themeShade="BF"/>
    </w:rPr>
    <w:tblPr>
      <w:tblBorders>
        <w:top w:val="single" w:color="70AD47" w:themeColor="accent6" w:sz="8" w:space="0"/>
        <w:bottom w:val="single" w:color="70AD47" w:themeColor="accent6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70AD47" w:themeColor="accent6" w:sz="8" w:space="0"/>
          <w:left w:val="nil"/>
          <w:bottom w:val="single" w:color="70AD47" w:themeColor="accent6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70AD47" w:themeColor="accent6" w:sz="8" w:space="0"/>
          <w:left w:val="nil"/>
          <w:bottom w:val="single" w:color="70AD47" w:themeColor="accent6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  <w:style w:type="table" w:styleId="140">
    <w:name w:val="Light List"/>
    <w:basedOn w:val="88"/>
    <w:semiHidden/>
    <w:unhideWhenUsed/>
    <w:uiPriority w:val="61"/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</w:style>
  <w:style w:type="table" w:styleId="141">
    <w:name w:val="Light List Accent 1"/>
    <w:basedOn w:val="88"/>
    <w:semiHidden/>
    <w:unhideWhenUsed/>
    <w:uiPriority w:val="61"/>
    <w:tblPr>
      <w:tblBorders>
        <w:top w:val="single" w:color="5B9BD5" w:themeColor="accent1" w:sz="8" w:space="0"/>
        <w:left w:val="single" w:color="5B9BD5" w:themeColor="accent1" w:sz="8" w:space="0"/>
        <w:bottom w:val="single" w:color="5B9BD5" w:themeColor="accent1" w:sz="8" w:space="0"/>
        <w:right w:val="single" w:color="5B9BD5" w:themeColor="accent1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5B9BD5" w:themeColor="accent1" w:sz="6" w:space="0"/>
          <w:left w:val="single" w:color="5B9BD5" w:themeColor="accent1" w:sz="8" w:space="0"/>
          <w:bottom w:val="single" w:color="5B9BD5" w:themeColor="accent1" w:sz="8" w:space="0"/>
          <w:right w:val="single" w:color="5B9BD5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5B9BD5" w:themeColor="accent1" w:sz="8" w:space="0"/>
          <w:left w:val="single" w:color="5B9BD5" w:themeColor="accent1" w:sz="8" w:space="0"/>
          <w:bottom w:val="single" w:color="5B9BD5" w:themeColor="accent1" w:sz="8" w:space="0"/>
          <w:right w:val="single" w:color="5B9BD5" w:themeColor="accent1" w:sz="8" w:space="0"/>
        </w:tcBorders>
      </w:tcPr>
    </w:tblStylePr>
    <w:tblStylePr w:type="band1Horz">
      <w:tblPr/>
      <w:tcPr>
        <w:tcBorders>
          <w:top w:val="single" w:color="5B9BD5" w:themeColor="accent1" w:sz="8" w:space="0"/>
          <w:left w:val="single" w:color="5B9BD5" w:themeColor="accent1" w:sz="8" w:space="0"/>
          <w:bottom w:val="single" w:color="5B9BD5" w:themeColor="accent1" w:sz="8" w:space="0"/>
          <w:right w:val="single" w:color="5B9BD5" w:themeColor="accent1" w:sz="8" w:space="0"/>
        </w:tcBorders>
      </w:tcPr>
    </w:tblStylePr>
  </w:style>
  <w:style w:type="table" w:styleId="142">
    <w:name w:val="Light List Accent 2"/>
    <w:basedOn w:val="88"/>
    <w:semiHidden/>
    <w:unhideWhenUsed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143">
    <w:name w:val="Light List Accent 3"/>
    <w:basedOn w:val="88"/>
    <w:semiHidden/>
    <w:unhideWhenUsed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144">
    <w:name w:val="Light List Accent 4"/>
    <w:basedOn w:val="88"/>
    <w:semiHidden/>
    <w:unhideWhenUsed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145">
    <w:name w:val="Light List Accent 5"/>
    <w:basedOn w:val="88"/>
    <w:semiHidden/>
    <w:unhideWhenUsed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146">
    <w:name w:val="Light List Accent 6"/>
    <w:basedOn w:val="88"/>
    <w:semiHidden/>
    <w:unhideWhenUsed/>
    <w:uiPriority w:val="61"/>
    <w:tblPr>
      <w:tblBorders>
        <w:top w:val="single" w:color="70AD47" w:themeColor="accent6" w:sz="8" w:space="0"/>
        <w:left w:val="single" w:color="70AD47" w:themeColor="accent6" w:sz="8" w:space="0"/>
        <w:bottom w:val="single" w:color="70AD47" w:themeColor="accent6" w:sz="8" w:space="0"/>
        <w:right w:val="single" w:color="70AD47" w:themeColor="accent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0AD47" w:themeColor="accent6" w:sz="6" w:space="0"/>
          <w:left w:val="single" w:color="70AD47" w:themeColor="accent6" w:sz="8" w:space="0"/>
          <w:bottom w:val="single" w:color="70AD47" w:themeColor="accent6" w:sz="8" w:space="0"/>
          <w:right w:val="single" w:color="70AD47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70AD47" w:themeColor="accent6" w:sz="8" w:space="0"/>
          <w:left w:val="single" w:color="70AD47" w:themeColor="accent6" w:sz="8" w:space="0"/>
          <w:bottom w:val="single" w:color="70AD47" w:themeColor="accent6" w:sz="8" w:space="0"/>
          <w:right w:val="single" w:color="70AD47" w:themeColor="accent6" w:sz="8" w:space="0"/>
        </w:tcBorders>
      </w:tcPr>
    </w:tblStylePr>
    <w:tblStylePr w:type="band1Horz">
      <w:tblPr/>
      <w:tcPr>
        <w:tcBorders>
          <w:top w:val="single" w:color="70AD47" w:themeColor="accent6" w:sz="8" w:space="0"/>
          <w:left w:val="single" w:color="70AD47" w:themeColor="accent6" w:sz="8" w:space="0"/>
          <w:bottom w:val="single" w:color="70AD47" w:themeColor="accent6" w:sz="8" w:space="0"/>
          <w:right w:val="single" w:color="70AD47" w:themeColor="accent6" w:sz="8" w:space="0"/>
        </w:tcBorders>
      </w:tcPr>
    </w:tblStylePr>
  </w:style>
  <w:style w:type="table" w:styleId="147">
    <w:name w:val="Light Grid"/>
    <w:basedOn w:val="88"/>
    <w:semiHidden/>
    <w:unhideWhenUsed/>
    <w:uiPriority w:val="62"/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1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  <w:shd w:val="clear" w:color="auto" w:fill="BFBFBF" w:themeFill="text1" w:themeFillTint="3F"/>
      </w:tcPr>
    </w:tblStylePr>
    <w:tblStylePr w:type="band2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</w:tcPr>
    </w:tblStylePr>
  </w:style>
  <w:style w:type="table" w:styleId="148">
    <w:name w:val="Light Grid Accent 1"/>
    <w:basedOn w:val="88"/>
    <w:semiHidden/>
    <w:unhideWhenUsed/>
    <w:uiPriority w:val="62"/>
    <w:tblPr>
      <w:tblBorders>
        <w:top w:val="single" w:color="5B9BD5" w:themeColor="accent1" w:sz="8" w:space="0"/>
        <w:left w:val="single" w:color="5B9BD5" w:themeColor="accent1" w:sz="8" w:space="0"/>
        <w:bottom w:val="single" w:color="5B9BD5" w:themeColor="accent1" w:sz="8" w:space="0"/>
        <w:right w:val="single" w:color="5B9BD5" w:themeColor="accent1" w:sz="8" w:space="0"/>
        <w:insideH w:val="single" w:color="5B9BD5" w:themeColor="accent1" w:sz="8" w:space="0"/>
        <w:insideV w:val="single" w:color="5B9BD5" w:themeColor="accent1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5B9BD5" w:themeColor="accent1" w:sz="8" w:space="0"/>
          <w:left w:val="single" w:color="5B9BD5" w:themeColor="accent1" w:sz="8" w:space="0"/>
          <w:bottom w:val="single" w:color="5B9BD5" w:themeColor="accent1" w:sz="18" w:space="0"/>
          <w:right w:val="single" w:color="5B9BD5" w:themeColor="accen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5B9BD5" w:themeColor="accent1" w:sz="6" w:space="0"/>
          <w:left w:val="single" w:color="5B9BD5" w:themeColor="accent1" w:sz="8" w:space="0"/>
          <w:bottom w:val="single" w:color="5B9BD5" w:themeColor="accent1" w:sz="8" w:space="0"/>
          <w:right w:val="single" w:color="5B9BD5" w:themeColor="accen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5B9BD5" w:themeColor="accent1" w:sz="8" w:space="0"/>
          <w:left w:val="single" w:color="5B9BD5" w:themeColor="accent1" w:sz="8" w:space="0"/>
          <w:bottom w:val="single" w:color="5B9BD5" w:themeColor="accent1" w:sz="8" w:space="0"/>
          <w:right w:val="single" w:color="5B9BD5" w:themeColor="accent1" w:sz="8" w:space="0"/>
        </w:tcBorders>
      </w:tcPr>
    </w:tblStylePr>
    <w:tblStylePr w:type="band1Vert">
      <w:tblPr/>
      <w:tcPr>
        <w:tcBorders>
          <w:top w:val="single" w:color="5B9BD5" w:themeColor="accent1" w:sz="8" w:space="0"/>
          <w:left w:val="single" w:color="5B9BD5" w:themeColor="accent1" w:sz="8" w:space="0"/>
          <w:bottom w:val="single" w:color="5B9BD5" w:themeColor="accent1" w:sz="8" w:space="0"/>
          <w:right w:val="single" w:color="5B9BD5" w:themeColor="accent1" w:sz="8" w:space="0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single" w:color="5B9BD5" w:themeColor="accent1" w:sz="8" w:space="0"/>
          <w:left w:val="single" w:color="5B9BD5" w:themeColor="accent1" w:sz="8" w:space="0"/>
          <w:bottom w:val="single" w:color="5B9BD5" w:themeColor="accent1" w:sz="8" w:space="0"/>
          <w:right w:val="single" w:color="5B9BD5" w:themeColor="accent1" w:sz="8" w:space="0"/>
          <w:insideV w:val="single" w:sz="8" w:space="0"/>
        </w:tcBorders>
        <w:shd w:val="clear" w:color="auto" w:fill="D6E6F4" w:themeFill="accent1" w:themeFillTint="3F"/>
      </w:tcPr>
    </w:tblStylePr>
    <w:tblStylePr w:type="band2Horz">
      <w:tblPr/>
      <w:tcPr>
        <w:tcBorders>
          <w:top w:val="single" w:color="5B9BD5" w:themeColor="accent1" w:sz="8" w:space="0"/>
          <w:left w:val="single" w:color="5B9BD5" w:themeColor="accent1" w:sz="8" w:space="0"/>
          <w:bottom w:val="single" w:color="5B9BD5" w:themeColor="accent1" w:sz="8" w:space="0"/>
          <w:right w:val="single" w:color="5B9BD5" w:themeColor="accent1" w:sz="8" w:space="0"/>
          <w:insideV w:val="single" w:sz="8" w:space="0"/>
        </w:tcBorders>
      </w:tcPr>
    </w:tblStylePr>
  </w:style>
  <w:style w:type="table" w:styleId="149">
    <w:name w:val="Light Grid Accent 2"/>
    <w:basedOn w:val="88"/>
    <w:semiHidden/>
    <w:unhideWhenUsed/>
    <w:uiPriority w:val="62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  <w:insideH w:val="single" w:color="ED7D31" w:themeColor="accent2" w:sz="8" w:space="0"/>
        <w:insideV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18" w:space="0"/>
          <w:right w:val="single" w:color="ED7D31" w:themeColor="accent2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  <w:shd w:val="clear" w:color="auto" w:fill="FADECC" w:themeFill="accent2" w:themeFillTint="3F"/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  <w:insideV w:val="single" w:sz="8" w:space="0"/>
        </w:tcBorders>
        <w:shd w:val="clear" w:color="auto" w:fill="FADECC" w:themeFill="accent2" w:themeFillTint="3F"/>
      </w:tcPr>
    </w:tblStylePr>
    <w:tblStylePr w:type="band2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  <w:insideV w:val="single" w:sz="8" w:space="0"/>
        </w:tcBorders>
      </w:tcPr>
    </w:tblStylePr>
  </w:style>
  <w:style w:type="table" w:styleId="150">
    <w:name w:val="Light Grid Accent 3"/>
    <w:basedOn w:val="88"/>
    <w:semiHidden/>
    <w:unhideWhenUsed/>
    <w:uiPriority w:val="62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  <w:insideH w:val="single" w:color="A5A5A5" w:themeColor="accent3" w:sz="8" w:space="0"/>
        <w:insideV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18" w:space="0"/>
          <w:right w:val="single" w:color="A5A5A5" w:themeColor="accent3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  <w:insideV w:val="single" w:sz="8" w:space="0"/>
        </w:tcBorders>
        <w:shd w:val="clear" w:color="auto" w:fill="E8E8E8" w:themeFill="accent3" w:themeFillTint="3F"/>
      </w:tcPr>
    </w:tblStylePr>
    <w:tblStylePr w:type="band2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  <w:insideV w:val="single" w:sz="8" w:space="0"/>
        </w:tcBorders>
      </w:tcPr>
    </w:tblStylePr>
  </w:style>
  <w:style w:type="table" w:styleId="151">
    <w:name w:val="Light Grid Accent 4"/>
    <w:basedOn w:val="88"/>
    <w:semiHidden/>
    <w:unhideWhenUsed/>
    <w:uiPriority w:val="62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  <w:insideH w:val="single" w:color="FFC000" w:themeColor="accent4" w:sz="8" w:space="0"/>
        <w:insideV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18" w:space="0"/>
          <w:right w:val="single" w:color="FFC000" w:themeColor="accent4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  <w:shd w:val="clear" w:color="auto" w:fill="FFEFBF" w:themeFill="accent4" w:themeFillTint="3F"/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  <w:insideV w:val="single" w:sz="8" w:space="0"/>
        </w:tcBorders>
        <w:shd w:val="clear" w:color="auto" w:fill="FFEFBF" w:themeFill="accent4" w:themeFillTint="3F"/>
      </w:tcPr>
    </w:tblStylePr>
    <w:tblStylePr w:type="band2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  <w:insideV w:val="single" w:sz="8" w:space="0"/>
        </w:tcBorders>
      </w:tcPr>
    </w:tblStylePr>
  </w:style>
  <w:style w:type="table" w:styleId="152">
    <w:name w:val="Light Grid Accent 5"/>
    <w:basedOn w:val="88"/>
    <w:semiHidden/>
    <w:unhideWhenUsed/>
    <w:uiPriority w:val="62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  <w:insideH w:val="single" w:color="4472C4" w:themeColor="accent5" w:sz="8" w:space="0"/>
        <w:insideV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18" w:space="0"/>
          <w:right w:val="single" w:color="4472C4" w:themeColor="accent5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  <w:shd w:val="clear" w:color="auto" w:fill="D0DCF0" w:themeFill="accent5" w:themeFillTint="3F"/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  <w:insideV w:val="single" w:sz="8" w:space="0"/>
        </w:tcBorders>
        <w:shd w:val="clear" w:color="auto" w:fill="D0DCF0" w:themeFill="accent5" w:themeFillTint="3F"/>
      </w:tcPr>
    </w:tblStylePr>
    <w:tblStylePr w:type="band2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  <w:insideV w:val="single" w:sz="8" w:space="0"/>
        </w:tcBorders>
      </w:tcPr>
    </w:tblStylePr>
  </w:style>
  <w:style w:type="table" w:styleId="153">
    <w:name w:val="Light Grid Accent 6"/>
    <w:basedOn w:val="88"/>
    <w:semiHidden/>
    <w:unhideWhenUsed/>
    <w:uiPriority w:val="62"/>
    <w:tblPr>
      <w:tblBorders>
        <w:top w:val="single" w:color="70AD47" w:themeColor="accent6" w:sz="8" w:space="0"/>
        <w:left w:val="single" w:color="70AD47" w:themeColor="accent6" w:sz="8" w:space="0"/>
        <w:bottom w:val="single" w:color="70AD47" w:themeColor="accent6" w:sz="8" w:space="0"/>
        <w:right w:val="single" w:color="70AD47" w:themeColor="accent6" w:sz="8" w:space="0"/>
        <w:insideH w:val="single" w:color="70AD47" w:themeColor="accent6" w:sz="8" w:space="0"/>
        <w:insideV w:val="single" w:color="70AD47" w:themeColor="accent6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70AD47" w:themeColor="accent6" w:sz="8" w:space="0"/>
          <w:left w:val="single" w:color="70AD47" w:themeColor="accent6" w:sz="8" w:space="0"/>
          <w:bottom w:val="single" w:color="70AD47" w:themeColor="accent6" w:sz="18" w:space="0"/>
          <w:right w:val="single" w:color="70AD47" w:themeColor="accent6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70AD47" w:themeColor="accent6" w:sz="6" w:space="0"/>
          <w:left w:val="single" w:color="70AD47" w:themeColor="accent6" w:sz="8" w:space="0"/>
          <w:bottom w:val="single" w:color="70AD47" w:themeColor="accent6" w:sz="8" w:space="0"/>
          <w:right w:val="single" w:color="70AD47" w:themeColor="accent6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70AD47" w:themeColor="accent6" w:sz="8" w:space="0"/>
          <w:left w:val="single" w:color="70AD47" w:themeColor="accent6" w:sz="8" w:space="0"/>
          <w:bottom w:val="single" w:color="70AD47" w:themeColor="accent6" w:sz="8" w:space="0"/>
          <w:right w:val="single" w:color="70AD47" w:themeColor="accent6" w:sz="8" w:space="0"/>
        </w:tcBorders>
      </w:tcPr>
    </w:tblStylePr>
    <w:tblStylePr w:type="band1Vert">
      <w:tblPr/>
      <w:tcPr>
        <w:tcBorders>
          <w:top w:val="single" w:color="70AD47" w:themeColor="accent6" w:sz="8" w:space="0"/>
          <w:left w:val="single" w:color="70AD47" w:themeColor="accent6" w:sz="8" w:space="0"/>
          <w:bottom w:val="single" w:color="70AD47" w:themeColor="accent6" w:sz="8" w:space="0"/>
          <w:right w:val="single" w:color="70AD47" w:themeColor="accent6" w:sz="8" w:space="0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single" w:color="70AD47" w:themeColor="accent6" w:sz="8" w:space="0"/>
          <w:left w:val="single" w:color="70AD47" w:themeColor="accent6" w:sz="8" w:space="0"/>
          <w:bottom w:val="single" w:color="70AD47" w:themeColor="accent6" w:sz="8" w:space="0"/>
          <w:right w:val="single" w:color="70AD47" w:themeColor="accent6" w:sz="8" w:space="0"/>
          <w:insideV w:val="single" w:sz="8" w:space="0"/>
        </w:tcBorders>
        <w:shd w:val="clear" w:color="auto" w:fill="DBEBD0" w:themeFill="accent6" w:themeFillTint="3F"/>
      </w:tcPr>
    </w:tblStylePr>
    <w:tblStylePr w:type="band2Horz">
      <w:tblPr/>
      <w:tcPr>
        <w:tcBorders>
          <w:top w:val="single" w:color="70AD47" w:themeColor="accent6" w:sz="8" w:space="0"/>
          <w:left w:val="single" w:color="70AD47" w:themeColor="accent6" w:sz="8" w:space="0"/>
          <w:bottom w:val="single" w:color="70AD47" w:themeColor="accent6" w:sz="8" w:space="0"/>
          <w:right w:val="single" w:color="70AD47" w:themeColor="accent6" w:sz="8" w:space="0"/>
          <w:insideV w:val="single" w:sz="8" w:space="0"/>
        </w:tcBorders>
      </w:tcPr>
    </w:tblStylePr>
  </w:style>
  <w:style w:type="table" w:styleId="154">
    <w:name w:val="Medium Shading 1"/>
    <w:basedOn w:val="88"/>
    <w:semiHidden/>
    <w:unhideWhenUsed/>
    <w:uiPriority w:val="63"/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3F3F3F" w:themeColor="text1" w:themeTint="BF" w:sz="8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3F3F3F" w:themeColor="text1" w:themeTint="BF" w:sz="6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FBFBF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55">
    <w:name w:val="Medium Shading 1 Accent 1"/>
    <w:basedOn w:val="88"/>
    <w:semiHidden/>
    <w:unhideWhenUsed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56">
    <w:name w:val="Medium Shading 1 Accent 2"/>
    <w:basedOn w:val="88"/>
    <w:semiHidden/>
    <w:unhideWhenUsed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57">
    <w:name w:val="Medium Shading 1 Accent 3"/>
    <w:basedOn w:val="88"/>
    <w:semiHidden/>
    <w:unhideWhenUsed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58">
    <w:name w:val="Medium Shading 1 Accent 4"/>
    <w:basedOn w:val="88"/>
    <w:semiHidden/>
    <w:unhideWhenUsed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59">
    <w:name w:val="Medium Shading 1 Accent 5"/>
    <w:basedOn w:val="88"/>
    <w:semiHidden/>
    <w:unhideWhenUsed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60">
    <w:name w:val="Medium Shading 1 Accent 6"/>
    <w:basedOn w:val="88"/>
    <w:semiHidden/>
    <w:unhideWhenUsed/>
    <w:uiPriority w:val="63"/>
    <w:tblPr>
      <w:tblBorders>
        <w:top w:val="single" w:color="93C571" w:themeColor="accent6" w:themeTint="BF" w:sz="8" w:space="0"/>
        <w:left w:val="single" w:color="93C571" w:themeColor="accent6" w:themeTint="BF" w:sz="8" w:space="0"/>
        <w:bottom w:val="single" w:color="93C571" w:themeColor="accent6" w:themeTint="BF" w:sz="8" w:space="0"/>
        <w:right w:val="single" w:color="93C571" w:themeColor="accent6" w:themeTint="BF" w:sz="8" w:space="0"/>
        <w:insideH w:val="single" w:color="93C571" w:themeColor="accent6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93C571" w:themeColor="accent6" w:themeTint="BF" w:sz="8" w:space="0"/>
          <w:left w:val="single" w:color="93C571" w:themeColor="accent6" w:themeTint="BF" w:sz="8" w:space="0"/>
          <w:bottom w:val="single" w:color="93C571" w:themeColor="accent6" w:themeTint="BF" w:sz="8" w:space="0"/>
          <w:right w:val="single" w:color="93C571" w:themeColor="accent6" w:themeTint="BF" w:sz="8" w:space="0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3C571" w:themeColor="accent6" w:themeTint="BF" w:sz="6" w:space="0"/>
          <w:left w:val="single" w:color="93C571" w:themeColor="accent6" w:themeTint="BF" w:sz="8" w:space="0"/>
          <w:bottom w:val="single" w:color="93C571" w:themeColor="accent6" w:themeTint="BF" w:sz="8" w:space="0"/>
          <w:right w:val="single" w:color="93C571" w:themeColor="accent6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B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61">
    <w:name w:val="Medium Shading 2"/>
    <w:basedOn w:val="88"/>
    <w:semiHidden/>
    <w:unhideWhenUsed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162">
    <w:name w:val="Medium Shading 2 Accent 1"/>
    <w:basedOn w:val="88"/>
    <w:semiHidden/>
    <w:unhideWhenUsed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163">
    <w:name w:val="Medium Shading 2 Accent 2"/>
    <w:basedOn w:val="88"/>
    <w:semiHidden/>
    <w:unhideWhenUsed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164">
    <w:name w:val="Medium Shading 2 Accent 3"/>
    <w:basedOn w:val="88"/>
    <w:semiHidden/>
    <w:unhideWhenUsed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165">
    <w:name w:val="Medium Shading 2 Accent 4"/>
    <w:basedOn w:val="88"/>
    <w:semiHidden/>
    <w:unhideWhenUsed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166">
    <w:name w:val="Medium Shading 2 Accent 5"/>
    <w:basedOn w:val="88"/>
    <w:semiHidden/>
    <w:unhideWhenUsed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167">
    <w:name w:val="Medium Shading 2 Accent 6"/>
    <w:basedOn w:val="88"/>
    <w:semiHidden/>
    <w:unhideWhenUsed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168">
    <w:name w:val="Medium List 1"/>
    <w:basedOn w:val="88"/>
    <w:semiHidden/>
    <w:unhideWhenUsed/>
    <w:uiPriority w:val="65"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bottom w:val="single" w:color="000000" w:themeColor="text1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000000" w:themeColor="text1" w:sz="8" w:space="0"/>
        </w:tcBorders>
      </w:tcPr>
    </w:tblStylePr>
    <w:tblStylePr w:type="lastRow">
      <w:rPr>
        <w:b/>
        <w:bCs/>
        <w:color w:val="44546A" w:themeColor="text2"/>
        <w14:textFill>
          <w14:solidFill>
            <w14:schemeClr w14:val="tx2"/>
          </w14:solidFill>
        </w14:textFill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shd w:val="clear" w:color="auto" w:fill="BFBFBF" w:themeFill="text1" w:themeFillTint="3F"/>
      </w:tcPr>
    </w:tblStylePr>
  </w:style>
  <w:style w:type="table" w:styleId="169">
    <w:name w:val="Medium List 1 Accent 1"/>
    <w:basedOn w:val="88"/>
    <w:uiPriority w:val="65"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5B9BD5" w:themeColor="accent1" w:sz="8" w:space="0"/>
        <w:bottom w:val="single" w:color="5B9BD5" w:themeColor="accent1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5B9BD5" w:themeColor="accent1" w:sz="8" w:space="0"/>
        </w:tcBorders>
      </w:tcPr>
    </w:tblStylePr>
    <w:tblStylePr w:type="lastRow">
      <w:rPr>
        <w:b/>
        <w:bCs/>
        <w:color w:val="44546A" w:themeColor="text2"/>
        <w14:textFill>
          <w14:solidFill>
            <w14:schemeClr w14:val="tx2"/>
          </w14:solidFill>
        </w14:textFill>
      </w:rPr>
      <w:tblPr/>
      <w:tcPr>
        <w:tcBorders>
          <w:top w:val="single" w:color="5B9BD5" w:themeColor="accent1" w:sz="8" w:space="0"/>
          <w:bottom w:val="single" w:color="5B9BD5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5B9BD5" w:themeColor="accent1" w:sz="8" w:space="0"/>
          <w:bottom w:val="single" w:color="5B9BD5" w:themeColor="accent1" w:sz="8" w:space="0"/>
        </w:tcBorders>
      </w:tc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shd w:val="clear" w:color="auto" w:fill="D6E6F4" w:themeFill="accent1" w:themeFillTint="3F"/>
      </w:tcPr>
    </w:tblStylePr>
  </w:style>
  <w:style w:type="table" w:styleId="170">
    <w:name w:val="Medium List 1 Accent 2"/>
    <w:basedOn w:val="88"/>
    <w:semiHidden/>
    <w:unhideWhenUsed/>
    <w:uiPriority w:val="65"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ED7D31" w:themeColor="accent2" w:sz="8" w:space="0"/>
        <w:bottom w:val="single" w:color="ED7D31" w:themeColor="accent2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ED7D31" w:themeColor="accent2" w:sz="8" w:space="0"/>
        </w:tcBorders>
      </w:tcPr>
    </w:tblStylePr>
    <w:tblStylePr w:type="lastRow">
      <w:rPr>
        <w:b/>
        <w:bCs/>
        <w:color w:val="44546A" w:themeColor="text2"/>
        <w14:textFill>
          <w14:solidFill>
            <w14:schemeClr w14:val="tx2"/>
          </w14:solidFill>
        </w14:textFill>
      </w:rPr>
      <w:tblPr/>
      <w:tcPr>
        <w:tcBorders>
          <w:top w:val="single" w:color="ED7D31" w:themeColor="accent2" w:sz="8" w:space="0"/>
          <w:bottom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ED7D31" w:themeColor="accent2" w:sz="8" w:space="0"/>
          <w:bottom w:val="single" w:color="ED7D31" w:themeColor="accent2" w:sz="8" w:space="0"/>
        </w:tcBorders>
      </w:tc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shd w:val="clear" w:color="auto" w:fill="FADECC" w:themeFill="accent2" w:themeFillTint="3F"/>
      </w:tcPr>
    </w:tblStylePr>
  </w:style>
  <w:style w:type="table" w:styleId="171">
    <w:name w:val="Medium List 1 Accent 3"/>
    <w:basedOn w:val="88"/>
    <w:semiHidden/>
    <w:unhideWhenUsed/>
    <w:uiPriority w:val="65"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A5A5A5" w:themeColor="accent3" w:sz="8" w:space="0"/>
        <w:bottom w:val="single" w:color="A5A5A5" w:themeColor="accent3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A5A5A5" w:themeColor="accent3" w:sz="8" w:space="0"/>
        </w:tcBorders>
      </w:tcPr>
    </w:tblStylePr>
    <w:tblStylePr w:type="lastRow">
      <w:rPr>
        <w:b/>
        <w:bCs/>
        <w:color w:val="44546A" w:themeColor="text2"/>
        <w14:textFill>
          <w14:solidFill>
            <w14:schemeClr w14:val="tx2"/>
          </w14:solidFill>
        </w14:textFill>
      </w:rPr>
      <w:tblPr/>
      <w:tcPr>
        <w:tcBorders>
          <w:top w:val="single" w:color="A5A5A5" w:themeColor="accent3" w:sz="8" w:space="0"/>
          <w:bottom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A5A5A5" w:themeColor="accent3" w:sz="8" w:space="0"/>
          <w:bottom w:val="single" w:color="A5A5A5" w:themeColor="accent3" w:sz="8" w:space="0"/>
        </w:tcBorders>
      </w:tc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shd w:val="clear" w:color="auto" w:fill="E8E8E8" w:themeFill="accent3" w:themeFillTint="3F"/>
      </w:tcPr>
    </w:tblStylePr>
  </w:style>
  <w:style w:type="table" w:styleId="172">
    <w:name w:val="Medium List 1 Accent 4"/>
    <w:basedOn w:val="88"/>
    <w:semiHidden/>
    <w:unhideWhenUsed/>
    <w:uiPriority w:val="65"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FC000" w:themeColor="accent4" w:sz="8" w:space="0"/>
        <w:bottom w:val="single" w:color="FFC000" w:themeColor="accent4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FFC000" w:themeColor="accent4" w:sz="8" w:space="0"/>
        </w:tcBorders>
      </w:tcPr>
    </w:tblStylePr>
    <w:tblStylePr w:type="lastRow">
      <w:rPr>
        <w:b/>
        <w:bCs/>
        <w:color w:val="44546A" w:themeColor="text2"/>
        <w14:textFill>
          <w14:solidFill>
            <w14:schemeClr w14:val="tx2"/>
          </w14:solidFill>
        </w14:textFill>
      </w:rPr>
      <w:tblPr/>
      <w:tcPr>
        <w:tcBorders>
          <w:top w:val="single" w:color="FFC000" w:themeColor="accent4" w:sz="8" w:space="0"/>
          <w:bottom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FFC000" w:themeColor="accent4" w:sz="8" w:space="0"/>
          <w:bottom w:val="single" w:color="FFC000" w:themeColor="accent4" w:sz="8" w:space="0"/>
        </w:tcBorders>
      </w:tc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shd w:val="clear" w:color="auto" w:fill="FFEFBF" w:themeFill="accent4" w:themeFillTint="3F"/>
      </w:tcPr>
    </w:tblStylePr>
  </w:style>
  <w:style w:type="table" w:styleId="173">
    <w:name w:val="Medium List 1 Accent 5"/>
    <w:basedOn w:val="88"/>
    <w:semiHidden/>
    <w:unhideWhenUsed/>
    <w:uiPriority w:val="65"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472C4" w:themeColor="accent5" w:sz="8" w:space="0"/>
        <w:bottom w:val="single" w:color="4472C4" w:themeColor="accent5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472C4" w:themeColor="accent5" w:sz="8" w:space="0"/>
        </w:tcBorders>
      </w:tcPr>
    </w:tblStylePr>
    <w:tblStylePr w:type="lastRow">
      <w:rPr>
        <w:b/>
        <w:bCs/>
        <w:color w:val="44546A" w:themeColor="text2"/>
        <w14:textFill>
          <w14:solidFill>
            <w14:schemeClr w14:val="tx2"/>
          </w14:solidFill>
        </w14:textFill>
      </w:rPr>
      <w:tblPr/>
      <w:tcPr>
        <w:tcBorders>
          <w:top w:val="single" w:color="4472C4" w:themeColor="accent5" w:sz="8" w:space="0"/>
          <w:bottom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472C4" w:themeColor="accent5" w:sz="8" w:space="0"/>
          <w:bottom w:val="single" w:color="4472C4" w:themeColor="accent5" w:sz="8" w:space="0"/>
        </w:tcBorders>
      </w:tc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shd w:val="clear" w:color="auto" w:fill="D0DCF0" w:themeFill="accent5" w:themeFillTint="3F"/>
      </w:tcPr>
    </w:tblStylePr>
  </w:style>
  <w:style w:type="table" w:styleId="174">
    <w:name w:val="Medium List 1 Accent 6"/>
    <w:basedOn w:val="88"/>
    <w:semiHidden/>
    <w:unhideWhenUsed/>
    <w:uiPriority w:val="65"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70AD47" w:themeColor="accent6" w:sz="8" w:space="0"/>
        <w:bottom w:val="single" w:color="70AD47" w:themeColor="accent6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70AD47" w:themeColor="accent6" w:sz="8" w:space="0"/>
        </w:tcBorders>
      </w:tcPr>
    </w:tblStylePr>
    <w:tblStylePr w:type="lastRow">
      <w:rPr>
        <w:b/>
        <w:bCs/>
        <w:color w:val="44546A" w:themeColor="text2"/>
        <w14:textFill>
          <w14:solidFill>
            <w14:schemeClr w14:val="tx2"/>
          </w14:solidFill>
        </w14:textFill>
      </w:rPr>
      <w:tblPr/>
      <w:tcPr>
        <w:tcBorders>
          <w:top w:val="single" w:color="70AD47" w:themeColor="accent6" w:sz="8" w:space="0"/>
          <w:bottom w:val="single" w:color="70AD47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70AD47" w:themeColor="accent6" w:sz="8" w:space="0"/>
          <w:bottom w:val="single" w:color="70AD47" w:themeColor="accent6" w:sz="8" w:space="0"/>
        </w:tcBorders>
      </w:tc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shd w:val="clear" w:color="auto" w:fill="DBEBD0" w:themeFill="accent6" w:themeFillTint="3F"/>
      </w:tcPr>
    </w:tblStylePr>
  </w:style>
  <w:style w:type="table" w:styleId="175">
    <w:name w:val="Medium List 2"/>
    <w:basedOn w:val="88"/>
    <w:semiHidden/>
    <w:unhideWhenUsed/>
    <w:uiPriority w:val="66"/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000000" w:themeColor="tex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000000" w:themeColor="tex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000000" w:themeColor="tex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000000" w:themeColor="tex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FBFBF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76">
    <w:name w:val="Medium List 2 Accent 1"/>
    <w:basedOn w:val="88"/>
    <w:semiHidden/>
    <w:unhideWhenUsed/>
    <w:uiPriority w:val="66"/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5B9BD5" w:themeColor="accent1" w:sz="8" w:space="0"/>
        <w:left w:val="single" w:color="5B9BD5" w:themeColor="accent1" w:sz="8" w:space="0"/>
        <w:bottom w:val="single" w:color="5B9BD5" w:themeColor="accent1" w:sz="8" w:space="0"/>
        <w:right w:val="single" w:color="5B9BD5" w:themeColor="accent1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5B9BD5" w:themeColor="accen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5B9BD5" w:themeColor="accen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5B9BD5" w:themeColor="accen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5B9BD5" w:themeColor="accen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E6F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77">
    <w:name w:val="Medium List 2 Accent 2"/>
    <w:basedOn w:val="88"/>
    <w:semiHidden/>
    <w:unhideWhenUsed/>
    <w:uiPriority w:val="66"/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ED7D31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ED7D31" w:themeColor="accent2" w:sz="8" w:space="0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ED7D31" w:themeColor="accent2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ED7D31" w:themeColor="accent2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C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DECC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78">
    <w:name w:val="Medium List 2 Accent 3"/>
    <w:basedOn w:val="88"/>
    <w:semiHidden/>
    <w:unhideWhenUsed/>
    <w:uiPriority w:val="66"/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A5A5A5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A5A5A5" w:themeColor="accent3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A5A5A5" w:themeColor="accent3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A5A5A5" w:themeColor="accent3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8E8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79">
    <w:name w:val="Medium List 2 Accent 4"/>
    <w:basedOn w:val="88"/>
    <w:semiHidden/>
    <w:unhideWhenUsed/>
    <w:uiPriority w:val="66"/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FFC000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FFC000" w:themeColor="accent4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FFC000" w:themeColor="accent4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FFC000" w:themeColor="accent4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BF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FBF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80">
    <w:name w:val="Medium List 2 Accent 5"/>
    <w:basedOn w:val="88"/>
    <w:semiHidden/>
    <w:unhideWhenUsed/>
    <w:uiPriority w:val="66"/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472C4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472C4" w:themeColor="accent5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472C4" w:themeColor="accent5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472C4" w:themeColor="accent5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CF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DCF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81">
    <w:name w:val="Medium List 2 Accent 6"/>
    <w:basedOn w:val="88"/>
    <w:semiHidden/>
    <w:unhideWhenUsed/>
    <w:uiPriority w:val="66"/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70AD47" w:themeColor="accent6" w:sz="8" w:space="0"/>
        <w:left w:val="single" w:color="70AD47" w:themeColor="accent6" w:sz="8" w:space="0"/>
        <w:bottom w:val="single" w:color="70AD47" w:themeColor="accent6" w:sz="8" w:space="0"/>
        <w:right w:val="single" w:color="70AD47" w:themeColor="accent6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70AD47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70AD47" w:themeColor="accent6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70AD47" w:themeColor="accent6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70AD47" w:themeColor="accent6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B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82">
    <w:name w:val="Medium Grid 1"/>
    <w:basedOn w:val="88"/>
    <w:semiHidden/>
    <w:unhideWhenUsed/>
    <w:uiPriority w:val="67"/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  <w:insideV w:val="single" w:color="3F3F3F" w:themeColor="text1" w:themeTint="BF" w:sz="8" w:space="0"/>
      </w:tblBorders>
    </w:tblPr>
    <w:tcPr>
      <w:shd w:val="clear" w:color="auto" w:fill="BFBFBF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3F3F3F" w:themeColor="tex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183">
    <w:name w:val="Medium Grid 1 Accent 1"/>
    <w:basedOn w:val="88"/>
    <w:semiHidden/>
    <w:unhideWhenUsed/>
    <w:uiPriority w:val="67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  <w:insideV w:val="single" w:color="84B4DF" w:themeColor="accent1" w:themeTint="BF" w:sz="8" w:space="0"/>
      </w:tblBorders>
    </w:tblPr>
    <w:tcPr>
      <w:shd w:val="clear" w:color="auto" w:fill="D6E6F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84B4DF" w:themeColor="accen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CDEA" w:themeFill="accent1" w:themeFillTint="7F"/>
      </w:tcPr>
    </w:tblStylePr>
    <w:tblStylePr w:type="band1Horz">
      <w:tblPr/>
      <w:tcPr>
        <w:shd w:val="clear" w:color="auto" w:fill="ADCDEA" w:themeFill="accent1" w:themeFillTint="7F"/>
      </w:tcPr>
    </w:tblStylePr>
  </w:style>
  <w:style w:type="table" w:styleId="184">
    <w:name w:val="Medium Grid 1 Accent 2"/>
    <w:basedOn w:val="88"/>
    <w:semiHidden/>
    <w:unhideWhenUsed/>
    <w:uiPriority w:val="67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  <w:insideV w:val="single" w:color="F19D64" w:themeColor="accent2" w:themeTint="BF" w:sz="8" w:space="0"/>
      </w:tblBorders>
    </w:tblPr>
    <w:tcPr>
      <w:shd w:val="clear" w:color="auto" w:fill="FADECC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F19D64" w:themeColor="accent2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185">
    <w:name w:val="Medium Grid 1 Accent 3"/>
    <w:basedOn w:val="88"/>
    <w:semiHidden/>
    <w:unhideWhenUsed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86">
    <w:name w:val="Medium Grid 1 Accent 4"/>
    <w:basedOn w:val="88"/>
    <w:semiHidden/>
    <w:unhideWhenUsed/>
    <w:uiPriority w:val="67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  <w:insideV w:val="single" w:color="FFCF3F" w:themeColor="accent4" w:themeTint="BF" w:sz="8" w:space="0"/>
      </w:tblBorders>
    </w:tblPr>
    <w:tcPr>
      <w:shd w:val="clear" w:color="auto" w:fill="FFEFBF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FFCF3F" w:themeColor="accent4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F7F" w:themeFill="accent4" w:themeFillTint="7F"/>
      </w:tcPr>
    </w:tblStylePr>
    <w:tblStylePr w:type="band1Horz">
      <w:tblPr/>
      <w:tcPr>
        <w:shd w:val="clear" w:color="auto" w:fill="FFDF7F" w:themeFill="accent4" w:themeFillTint="7F"/>
      </w:tcPr>
    </w:tblStylePr>
  </w:style>
  <w:style w:type="table" w:styleId="187">
    <w:name w:val="Medium Grid 1 Accent 5"/>
    <w:basedOn w:val="88"/>
    <w:semiHidden/>
    <w:unhideWhenUsed/>
    <w:uiPriority w:val="67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  <w:insideV w:val="single" w:color="7295D2" w:themeColor="accent5" w:themeTint="BF" w:sz="8" w:space="0"/>
      </w:tblBorders>
    </w:tblPr>
    <w:tcPr>
      <w:shd w:val="clear" w:color="auto" w:fill="D0DCF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295D2" w:themeColor="accent5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188">
    <w:name w:val="Medium Grid 1 Accent 6"/>
    <w:basedOn w:val="88"/>
    <w:semiHidden/>
    <w:unhideWhenUsed/>
    <w:uiPriority w:val="67"/>
    <w:tblPr>
      <w:tblBorders>
        <w:top w:val="single" w:color="93C571" w:themeColor="accent6" w:themeTint="BF" w:sz="8" w:space="0"/>
        <w:left w:val="single" w:color="93C571" w:themeColor="accent6" w:themeTint="BF" w:sz="8" w:space="0"/>
        <w:bottom w:val="single" w:color="93C571" w:themeColor="accent6" w:themeTint="BF" w:sz="8" w:space="0"/>
        <w:right w:val="single" w:color="93C571" w:themeColor="accent6" w:themeTint="BF" w:sz="8" w:space="0"/>
        <w:insideH w:val="single" w:color="93C571" w:themeColor="accent6" w:themeTint="BF" w:sz="8" w:space="0"/>
        <w:insideV w:val="single" w:color="93C571" w:themeColor="accent6" w:themeTint="BF" w:sz="8" w:space="0"/>
      </w:tblBorders>
    </w:tblPr>
    <w:tcPr>
      <w:shd w:val="clear" w:color="auto" w:fill="DBEB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93C571" w:themeColor="accent6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D8A1" w:themeFill="accent6" w:themeFillTint="7F"/>
      </w:tcPr>
    </w:tblStylePr>
    <w:tblStylePr w:type="band1Horz">
      <w:tblPr/>
      <w:tcPr>
        <w:shd w:val="clear" w:color="auto" w:fill="B7D8A1" w:themeFill="accent6" w:themeFillTint="7F"/>
      </w:tcPr>
    </w:tblStylePr>
  </w:style>
  <w:style w:type="table" w:styleId="189">
    <w:name w:val="Medium Grid 2"/>
    <w:basedOn w:val="88"/>
    <w:semiHidden/>
    <w:unhideWhenUsed/>
    <w:uiPriority w:val="68"/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</w:tblPr>
    <w:tcPr>
      <w:shd w:val="clear" w:color="auto" w:fill="BFBFBF" w:themeFill="tex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5E5E5" w:themeFill="tex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7F7F7F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90">
    <w:name w:val="Medium Grid 2 Accent 1"/>
    <w:basedOn w:val="88"/>
    <w:semiHidden/>
    <w:unhideWhenUsed/>
    <w:uiPriority w:val="68"/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5B9BD5" w:themeColor="accent1" w:sz="8" w:space="0"/>
        <w:left w:val="single" w:color="5B9BD5" w:themeColor="accent1" w:sz="8" w:space="0"/>
        <w:bottom w:val="single" w:color="5B9BD5" w:themeColor="accent1" w:sz="8" w:space="0"/>
        <w:right w:val="single" w:color="5B9BD5" w:themeColor="accent1" w:sz="8" w:space="0"/>
        <w:insideH w:val="single" w:color="5B9BD5" w:themeColor="accent1" w:sz="8" w:space="0"/>
        <w:insideV w:val="single" w:color="5B9BD5" w:themeColor="accent1" w:sz="8" w:space="0"/>
      </w:tblBorders>
    </w:tblPr>
    <w:tcPr>
      <w:shd w:val="clear" w:color="auto" w:fill="D6E6F4" w:themeFill="accen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EF5FA" w:themeFill="accen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AF6" w:themeFill="accent1" w:themeFillTint="33"/>
      </w:tcPr>
    </w:tblStylePr>
    <w:tblStylePr w:type="band1Vert">
      <w:tblPr/>
      <w:tcPr>
        <w:shd w:val="clear" w:color="auto" w:fill="ADCDEA" w:themeFill="accen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DCDEA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91">
    <w:name w:val="Medium Grid 2 Accent 2"/>
    <w:basedOn w:val="88"/>
    <w:semiHidden/>
    <w:unhideWhenUsed/>
    <w:uiPriority w:val="68"/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  <w:insideH w:val="single" w:color="ED7D31" w:themeColor="accent2" w:sz="8" w:space="0"/>
        <w:insideV w:val="single" w:color="ED7D31" w:themeColor="accent2" w:sz="8" w:space="0"/>
      </w:tblBorders>
    </w:tblPr>
    <w:tcPr>
      <w:shd w:val="clear" w:color="auto" w:fill="FADECC" w:themeFill="accent2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DF2EA" w:themeFill="accent2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4D5" w:themeFill="accent2" w:themeFillTint="33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F6BE9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92">
    <w:name w:val="Medium Grid 2 Accent 3"/>
    <w:basedOn w:val="88"/>
    <w:semiHidden/>
    <w:unhideWhenUsed/>
    <w:uiPriority w:val="68"/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  <w:insideH w:val="single" w:color="A5A5A5" w:themeColor="accent3" w:sz="8" w:space="0"/>
        <w:insideV w:val="single" w:color="A5A5A5" w:themeColor="accent3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6F6F6" w:themeFill="accent3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ECEC" w:themeFill="accent3" w:themeFillTint="33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D2D2D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93">
    <w:name w:val="Medium Grid 2 Accent 4"/>
    <w:basedOn w:val="88"/>
    <w:semiHidden/>
    <w:unhideWhenUsed/>
    <w:uiPriority w:val="68"/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  <w:insideH w:val="single" w:color="FFC000" w:themeColor="accent4" w:sz="8" w:space="0"/>
        <w:insideV w:val="single" w:color="FFC000" w:themeColor="accent4" w:sz="8" w:space="0"/>
      </w:tblBorders>
    </w:tblPr>
    <w:tcPr>
      <w:shd w:val="clear" w:color="auto" w:fill="FFEFBF" w:themeFill="accent4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FF8E5" w:themeFill="accent4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EF2CC" w:themeFill="accent4" w:themeFillTint="33"/>
      </w:tcPr>
    </w:tblStylePr>
    <w:tblStylePr w:type="band1Vert">
      <w:tblPr/>
      <w:tcPr>
        <w:shd w:val="clear" w:color="auto" w:fill="FFDF7F" w:themeFill="accent4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FFDF7F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94">
    <w:name w:val="Medium Grid 2 Accent 5"/>
    <w:basedOn w:val="88"/>
    <w:semiHidden/>
    <w:unhideWhenUsed/>
    <w:uiPriority w:val="68"/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  <w:insideH w:val="single" w:color="4472C4" w:themeColor="accent5" w:sz="8" w:space="0"/>
        <w:insideV w:val="single" w:color="4472C4" w:themeColor="accent5" w:sz="8" w:space="0"/>
      </w:tblBorders>
    </w:tblPr>
    <w:tcPr>
      <w:shd w:val="clear" w:color="auto" w:fill="D0DCF0" w:themeFill="accent5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CF1F9" w:themeFill="accent5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2F3" w:themeFill="accent5" w:themeFillTint="33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1B8E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95">
    <w:name w:val="Medium Grid 2 Accent 6"/>
    <w:basedOn w:val="88"/>
    <w:semiHidden/>
    <w:unhideWhenUsed/>
    <w:uiPriority w:val="68"/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70AD47" w:themeColor="accent6" w:sz="8" w:space="0"/>
        <w:left w:val="single" w:color="70AD47" w:themeColor="accent6" w:sz="8" w:space="0"/>
        <w:bottom w:val="single" w:color="70AD47" w:themeColor="accent6" w:sz="8" w:space="0"/>
        <w:right w:val="single" w:color="70AD47" w:themeColor="accent6" w:sz="8" w:space="0"/>
        <w:insideH w:val="single" w:color="70AD47" w:themeColor="accent6" w:sz="8" w:space="0"/>
        <w:insideV w:val="single" w:color="70AD47" w:themeColor="accent6" w:sz="8" w:space="0"/>
      </w:tblBorders>
    </w:tblPr>
    <w:tcPr>
      <w:shd w:val="clear" w:color="auto" w:fill="DBEBD0" w:themeFill="accent6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0F7EC" w:themeFill="accent6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FD9" w:themeFill="accent6" w:themeFillTint="33"/>
      </w:tcPr>
    </w:tblStylePr>
    <w:tblStylePr w:type="band1Vert">
      <w:tblPr/>
      <w:tcPr>
        <w:shd w:val="clear" w:color="auto" w:fill="B7D8A1" w:themeFill="accent6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B7D8A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96">
    <w:name w:val="Medium Grid 3"/>
    <w:basedOn w:val="88"/>
    <w:semiHidden/>
    <w:unhideWhenUsed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BFBFBF" w:themeFill="tex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7F7F7F" w:themeFill="tex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7F7F7F" w:themeFill="text1" w:themeFillTint="7F"/>
      </w:tcPr>
    </w:tblStylePr>
  </w:style>
  <w:style w:type="table" w:styleId="197">
    <w:name w:val="Medium Grid 3 Accent 1"/>
    <w:basedOn w:val="88"/>
    <w:semiHidden/>
    <w:unhideWhenUsed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198">
    <w:name w:val="Medium Grid 3 Accent 2"/>
    <w:basedOn w:val="88"/>
    <w:semiHidden/>
    <w:unhideWhenUsed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FADECC" w:themeFill="accent2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ED7D31" w:themeFill="accent2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ED7D31" w:themeFill="accent2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F6BE98" w:themeFill="accent2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F6BE98" w:themeFill="accent2" w:themeFillTint="7F"/>
      </w:tcPr>
    </w:tblStylePr>
  </w:style>
  <w:style w:type="table" w:styleId="199">
    <w:name w:val="Medium Grid 3 Accent 3"/>
    <w:basedOn w:val="88"/>
    <w:semiHidden/>
    <w:unhideWhenUsed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200">
    <w:name w:val="Medium Grid 3 Accent 4"/>
    <w:basedOn w:val="88"/>
    <w:semiHidden/>
    <w:unhideWhenUsed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FFEFBF" w:themeFill="accent4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FC000" w:themeFill="accent4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FC000" w:themeFill="accent4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FFDF7F" w:themeFill="accent4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FFDF7F" w:themeFill="accent4" w:themeFillTint="7F"/>
      </w:tcPr>
    </w:tblStylePr>
  </w:style>
  <w:style w:type="table" w:styleId="201">
    <w:name w:val="Medium Grid 3 Accent 5"/>
    <w:basedOn w:val="88"/>
    <w:semiHidden/>
    <w:unhideWhenUsed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0DCF0" w:themeFill="accent5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472C4" w:themeFill="accent5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472C4" w:themeFill="accent5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1B8E1" w:themeFill="accent5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1B8E1" w:themeFill="accent5" w:themeFillTint="7F"/>
      </w:tcPr>
    </w:tblStylePr>
  </w:style>
  <w:style w:type="table" w:styleId="202">
    <w:name w:val="Medium Grid 3 Accent 6"/>
    <w:basedOn w:val="88"/>
    <w:semiHidden/>
    <w:unhideWhenUsed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BEBD0" w:themeFill="accent6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70AD47" w:themeFill="accent6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70AD47" w:themeFill="accent6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B7D8A1" w:themeFill="accent6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B7D8A1" w:themeFill="accent6" w:themeFillTint="7F"/>
      </w:tcPr>
    </w:tblStylePr>
  </w:style>
  <w:style w:type="table" w:styleId="203">
    <w:name w:val="Dark List"/>
    <w:basedOn w:val="88"/>
    <w:semiHidden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204">
    <w:name w:val="Dark List Accent 1"/>
    <w:basedOn w:val="88"/>
    <w:semiHidden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5B9BD5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E4D78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E75B5" w:themeFill="accen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E75B5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5B5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5B5" w:themeFill="accent1" w:themeFillShade="BF"/>
      </w:tcPr>
    </w:tblStylePr>
  </w:style>
  <w:style w:type="table" w:styleId="205">
    <w:name w:val="Dark List Accent 2"/>
    <w:basedOn w:val="88"/>
    <w:semiHidden/>
    <w:unhideWhenUsed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823B0B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C55911" w:themeFill="accent2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C55911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55911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55911" w:themeFill="accent2" w:themeFillShade="BF"/>
      </w:tcPr>
    </w:tblStylePr>
  </w:style>
  <w:style w:type="table" w:styleId="206">
    <w:name w:val="Dark List Accent 3"/>
    <w:basedOn w:val="88"/>
    <w:semiHidden/>
    <w:unhideWhenUsed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207">
    <w:name w:val="Dark List Accent 4"/>
    <w:basedOn w:val="88"/>
    <w:semiHidden/>
    <w:unhideWhenUsed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208">
    <w:name w:val="Dark List Accent 5"/>
    <w:basedOn w:val="88"/>
    <w:semiHidden/>
    <w:unhideWhenUsed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209">
    <w:name w:val="Dark List Accent 6"/>
    <w:basedOn w:val="88"/>
    <w:semiHidden/>
    <w:unhideWhenUsed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375623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538135" w:themeFill="accent6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</w:style>
  <w:style w:type="table" w:styleId="210">
    <w:name w:val="Colorful Shading"/>
    <w:basedOn w:val="88"/>
    <w:semiHidden/>
    <w:unhideWhenUsed/>
    <w:qFormat/>
    <w:uiPriority w:val="71"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ED7D31" w:themeColor="accent2" w:sz="2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E5E5E5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ED7D31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7F7F7F" w:themeFill="tex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211">
    <w:name w:val="Colorful Shading Accent 1"/>
    <w:basedOn w:val="88"/>
    <w:semiHidden/>
    <w:unhideWhenUsed/>
    <w:qFormat/>
    <w:uiPriority w:val="71"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ED7D31" w:themeColor="accent2" w:sz="24" w:space="0"/>
        <w:left w:val="single" w:color="5B9BD5" w:themeColor="accent1" w:sz="4" w:space="0"/>
        <w:bottom w:val="single" w:color="5B9BD5" w:themeColor="accent1" w:sz="4" w:space="0"/>
        <w:right w:val="single" w:color="5B9BD5" w:themeColor="accent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EEF5FA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ED7D31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255D91" w:themeFill="accen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55D91" w:themeFill="accen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55D91" w:themeFill="accent1" w:themeFillShade="99"/>
      </w:tcPr>
    </w:tblStylePr>
    <w:tblStylePr w:type="band1Vert">
      <w:tblPr/>
      <w:tcPr>
        <w:shd w:val="clear" w:color="auto" w:fill="BDD6EE" w:themeFill="accent1" w:themeFillTint="66"/>
      </w:tcPr>
    </w:tblStylePr>
    <w:tblStylePr w:type="band1Horz">
      <w:tblPr/>
      <w:tcPr>
        <w:shd w:val="clear" w:color="auto" w:fill="ADCDEA" w:themeFill="accen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212">
    <w:name w:val="Colorful Shading Accent 2"/>
    <w:basedOn w:val="88"/>
    <w:semiHidden/>
    <w:unhideWhenUsed/>
    <w:uiPriority w:val="71"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ED7D31" w:themeColor="accent2" w:sz="24" w:space="0"/>
        <w:left w:val="single" w:color="ED7D31" w:themeColor="accent2" w:sz="4" w:space="0"/>
        <w:bottom w:val="single" w:color="ED7D31" w:themeColor="accent2" w:sz="4" w:space="0"/>
        <w:right w:val="single" w:color="ED7D31" w:themeColor="accent2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DF2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ED7D31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9D480D" w:themeFill="accent2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9D480D" w:themeFill="accent2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480D" w:themeFill="accent2" w:themeFillShade="99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6BE98" w:themeFill="accent2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213">
    <w:name w:val="Colorful Shading Accent 3"/>
    <w:basedOn w:val="88"/>
    <w:semiHidden/>
    <w:unhideWhenUsed/>
    <w:qFormat/>
    <w:uiPriority w:val="71"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FC000" w:themeColor="accent4" w:sz="24" w:space="0"/>
        <w:left w:val="single" w:color="A5A5A5" w:themeColor="accent3" w:sz="4" w:space="0"/>
        <w:bottom w:val="single" w:color="A5A5A5" w:themeColor="accent3" w:sz="4" w:space="0"/>
        <w:right w:val="single" w:color="A5A5A5" w:themeColor="accent3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6F6F6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FFC000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626262" w:themeFill="accent3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626262" w:themeFill="accent3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6262" w:themeFill="accent3" w:themeFillShade="99"/>
      </w:tcPr>
    </w:tblStylePr>
    <w:tblStylePr w:type="band1Vert">
      <w:tblPr/>
      <w:tcPr>
        <w:shd w:val="clear" w:color="auto" w:fill="DADADA" w:themeFill="accent3" w:themeFillTint="66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214">
    <w:name w:val="Colorful Shading Accent 4"/>
    <w:basedOn w:val="88"/>
    <w:semiHidden/>
    <w:unhideWhenUsed/>
    <w:qFormat/>
    <w:uiPriority w:val="71"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A5A5A5" w:themeColor="accent3" w:sz="24" w:space="0"/>
        <w:left w:val="single" w:color="FFC000" w:themeColor="accent4" w:sz="4" w:space="0"/>
        <w:bottom w:val="single" w:color="FFC000" w:themeColor="accent4" w:sz="4" w:space="0"/>
        <w:right w:val="single" w:color="FFC000" w:themeColor="accent4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FF8E5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A5A5A5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997300" w:themeFill="accent4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997300" w:themeFill="accent4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7300" w:themeFill="accent4" w:themeFillShade="99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DF7F" w:themeFill="accent4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215">
    <w:name w:val="Colorful Shading Accent 5"/>
    <w:basedOn w:val="88"/>
    <w:semiHidden/>
    <w:unhideWhenUsed/>
    <w:qFormat/>
    <w:uiPriority w:val="71"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70AD47" w:themeColor="accent6" w:sz="24" w:space="0"/>
        <w:left w:val="single" w:color="4472C4" w:themeColor="accent5" w:sz="4" w:space="0"/>
        <w:bottom w:val="single" w:color="4472C4" w:themeColor="accent5" w:sz="4" w:space="0"/>
        <w:right w:val="single" w:color="4472C4" w:themeColor="accent5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ECF1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70AD47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254378" w:themeFill="accent5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54378" w:themeFill="accent5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54378" w:themeFill="accent5" w:themeFillShade="99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A1B8E1" w:themeFill="accent5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216">
    <w:name w:val="Colorful Shading Accent 6"/>
    <w:basedOn w:val="88"/>
    <w:semiHidden/>
    <w:unhideWhenUsed/>
    <w:qFormat/>
    <w:uiPriority w:val="71"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472C4" w:themeColor="accent5" w:sz="24" w:space="0"/>
        <w:left w:val="single" w:color="70AD47" w:themeColor="accent6" w:sz="4" w:space="0"/>
        <w:bottom w:val="single" w:color="70AD47" w:themeColor="accent6" w:sz="4" w:space="0"/>
        <w:right w:val="single" w:color="70AD47" w:themeColor="accent6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0F7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4472C4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43672A" w:themeFill="accent6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43672A" w:themeFill="accent6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3672A" w:themeFill="accent6" w:themeFillShade="99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B7D8A1" w:themeFill="accent6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217">
    <w:name w:val="Colorful List"/>
    <w:basedOn w:val="88"/>
    <w:semiHidden/>
    <w:unhideWhenUsed/>
    <w:qFormat/>
    <w:uiPriority w:val="72"/>
    <w:rPr>
      <w:color w:val="000000" w:themeColor="text1"/>
      <w14:textFill>
        <w14:solidFill>
          <w14:schemeClr w14:val="tx1"/>
        </w14:solidFill>
      </w14:textFill>
    </w:rPr>
    <w:tblPr>
      <w:tblStyleRowBandSize w:val="1"/>
      <w:tblStyleColBandSize w:val="1"/>
    </w:tblPr>
    <w:tcPr>
      <w:shd w:val="clear" w:color="auto" w:fill="E5E5E5" w:themeFill="tex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D26012" w:themeFill="accent2" w:themeFillShade="CC"/>
      </w:tcPr>
    </w:tblStylePr>
    <w:tblStylePr w:type="lastRow">
      <w:rPr>
        <w:b/>
        <w:bCs/>
        <w:color w:val="D26012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18">
    <w:name w:val="Colorful List Accent 1"/>
    <w:basedOn w:val="88"/>
    <w:semiHidden/>
    <w:unhideWhenUsed/>
    <w:qFormat/>
    <w:uiPriority w:val="72"/>
    <w:rPr>
      <w:color w:val="000000" w:themeColor="text1"/>
      <w14:textFill>
        <w14:solidFill>
          <w14:schemeClr w14:val="tx1"/>
        </w14:solidFill>
      </w14:textFill>
    </w:rPr>
    <w:tblPr>
      <w:tblStyleRowBandSize w:val="1"/>
      <w:tblStyleColBandSize w:val="1"/>
    </w:tblPr>
    <w:tcPr>
      <w:shd w:val="clear" w:color="auto" w:fill="EEF5FA" w:themeFill="accen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D26012" w:themeFill="accent2" w:themeFillShade="CC"/>
      </w:tcPr>
    </w:tblStylePr>
    <w:tblStylePr w:type="lastRow">
      <w:rPr>
        <w:b/>
        <w:bCs/>
        <w:color w:val="D26012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219">
    <w:name w:val="Colorful List Accent 2"/>
    <w:basedOn w:val="88"/>
    <w:semiHidden/>
    <w:unhideWhenUsed/>
    <w:qFormat/>
    <w:uiPriority w:val="72"/>
    <w:rPr>
      <w:color w:val="000000" w:themeColor="text1"/>
      <w14:textFill>
        <w14:solidFill>
          <w14:schemeClr w14:val="tx1"/>
        </w14:solidFill>
      </w14:textFill>
    </w:rPr>
    <w:tblPr>
      <w:tblStyleRowBandSize w:val="1"/>
      <w:tblStyleColBandSize w:val="1"/>
    </w:tblPr>
    <w:tcPr>
      <w:shd w:val="clear" w:color="auto" w:fill="FDF2EA" w:themeFill="accent2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D26012" w:themeFill="accent2" w:themeFillShade="CC"/>
      </w:tcPr>
    </w:tblStylePr>
    <w:tblStylePr w:type="lastRow">
      <w:rPr>
        <w:b/>
        <w:bCs/>
        <w:color w:val="D26012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ECC" w:themeFill="accent2" w:themeFillTint="3F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220">
    <w:name w:val="Colorful List Accent 3"/>
    <w:basedOn w:val="88"/>
    <w:semiHidden/>
    <w:unhideWhenUsed/>
    <w:qFormat/>
    <w:uiPriority w:val="72"/>
    <w:rPr>
      <w:color w:val="000000" w:themeColor="text1"/>
      <w14:textFill>
        <w14:solidFill>
          <w14:schemeClr w14:val="tx1"/>
        </w14:solidFill>
      </w14:textFill>
    </w:rPr>
    <w:tblPr>
      <w:tblStyleRowBandSize w:val="1"/>
      <w:tblStyleColBandSize w:val="1"/>
    </w:tblPr>
    <w:tcPr>
      <w:shd w:val="clear" w:color="auto" w:fill="F6F6F6" w:themeFill="accent3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CC9900" w:themeFill="accent4" w:themeFillShade="CC"/>
      </w:tcPr>
    </w:tblStylePr>
    <w:tblStylePr w:type="lastRow">
      <w:rPr>
        <w:b/>
        <w:bCs/>
        <w:color w:val="CC9A00" w:themeColor="accent4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shd w:val="clear" w:color="auto" w:fill="ECECEC" w:themeFill="accent3" w:themeFillTint="33"/>
      </w:tcPr>
    </w:tblStylePr>
  </w:style>
  <w:style w:type="table" w:styleId="221">
    <w:name w:val="Colorful List Accent 4"/>
    <w:basedOn w:val="88"/>
    <w:semiHidden/>
    <w:unhideWhenUsed/>
    <w:uiPriority w:val="72"/>
    <w:rPr>
      <w:color w:val="000000" w:themeColor="text1"/>
      <w14:textFill>
        <w14:solidFill>
          <w14:schemeClr w14:val="tx1"/>
        </w14:solidFill>
      </w14:textFill>
    </w:rPr>
    <w:tblPr>
      <w:tblStyleRowBandSize w:val="1"/>
      <w:tblStyleColBandSize w:val="1"/>
    </w:tblPr>
    <w:tcPr>
      <w:shd w:val="clear" w:color="auto" w:fill="FFF8E5" w:themeFill="accent4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838383" w:themeFill="accent3" w:themeFillShade="CC"/>
      </w:tcPr>
    </w:tblStylePr>
    <w:tblStylePr w:type="lastRow">
      <w:rPr>
        <w:b/>
        <w:bCs/>
        <w:color w:val="848484" w:themeColor="accent3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FBF" w:themeFill="accent4" w:themeFillTint="3F"/>
      </w:tcPr>
    </w:tblStylePr>
    <w:tblStylePr w:type="band1Horz">
      <w:tblPr/>
      <w:tcPr>
        <w:shd w:val="clear" w:color="auto" w:fill="FEF2CC" w:themeFill="accent4" w:themeFillTint="33"/>
      </w:tcPr>
    </w:tblStylePr>
  </w:style>
  <w:style w:type="table" w:styleId="222">
    <w:name w:val="Colorful List Accent 5"/>
    <w:basedOn w:val="88"/>
    <w:semiHidden/>
    <w:unhideWhenUsed/>
    <w:qFormat/>
    <w:uiPriority w:val="72"/>
    <w:rPr>
      <w:color w:val="000000" w:themeColor="text1"/>
      <w14:textFill>
        <w14:solidFill>
          <w14:schemeClr w14:val="tx1"/>
        </w14:solidFill>
      </w14:textFill>
    </w:rPr>
    <w:tblPr>
      <w:tblStyleRowBandSize w:val="1"/>
      <w:tblStyleColBandSize w:val="1"/>
    </w:tblPr>
    <w:tcPr>
      <w:shd w:val="clear" w:color="auto" w:fill="ECF1F9" w:themeFill="accent5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598A38" w:themeFill="accent6" w:themeFillShade="CC"/>
      </w:tcPr>
    </w:tblStylePr>
    <w:tblStylePr w:type="lastRow">
      <w:rPr>
        <w:b/>
        <w:bCs/>
        <w:color w:val="5A8A39" w:themeColor="accent6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CF0" w:themeFill="accent5" w:themeFillTint="3F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223">
    <w:name w:val="Colorful List Accent 6"/>
    <w:basedOn w:val="88"/>
    <w:semiHidden/>
    <w:unhideWhenUsed/>
    <w:qFormat/>
    <w:uiPriority w:val="72"/>
    <w:rPr>
      <w:color w:val="000000" w:themeColor="text1"/>
      <w14:textFill>
        <w14:solidFill>
          <w14:schemeClr w14:val="tx1"/>
        </w14:solidFill>
      </w14:textFill>
    </w:rPr>
    <w:tblPr>
      <w:tblStyleRowBandSize w:val="1"/>
      <w:tblStyleColBandSize w:val="1"/>
    </w:tblPr>
    <w:tcPr>
      <w:shd w:val="clear" w:color="auto" w:fill="F0F7EC" w:themeFill="accent6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325AA0" w:themeFill="accent5" w:themeFillShade="CC"/>
      </w:tcPr>
    </w:tblStylePr>
    <w:tblStylePr w:type="lastRow">
      <w:rPr>
        <w:b/>
        <w:bCs/>
        <w:color w:val="335AA1" w:themeColor="accent5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224">
    <w:name w:val="Colorful Grid"/>
    <w:basedOn w:val="88"/>
    <w:semiHidden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225">
    <w:name w:val="Colorful Grid Accent 1"/>
    <w:basedOn w:val="88"/>
    <w:semiHidden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EEAF6" w:themeFill="accent1" w:themeFillTint="33"/>
    </w:tcPr>
    <w:tblStylePr w:type="firstRow">
      <w:rPr>
        <w:b/>
        <w:bCs/>
      </w:rPr>
      <w:tblPr/>
      <w:tcPr>
        <w:shd w:val="clear" w:color="auto" w:fill="BDD6EE" w:themeFill="accen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DD6EE" w:themeFill="accen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E75B5" w:themeFill="accen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E75B5" w:themeFill="accent1" w:themeFillShade="BF"/>
      </w:tcPr>
    </w:tblStylePr>
    <w:tblStylePr w:type="band1Vert">
      <w:tblPr/>
      <w:tcPr>
        <w:shd w:val="clear" w:color="auto" w:fill="ADCDEA" w:themeFill="accent1" w:themeFillTint="7F"/>
      </w:tcPr>
    </w:tblStylePr>
    <w:tblStylePr w:type="band1Horz">
      <w:tblPr/>
      <w:tcPr>
        <w:shd w:val="clear" w:color="auto" w:fill="ADCDEA" w:themeFill="accent1" w:themeFillTint="7F"/>
      </w:tcPr>
    </w:tblStylePr>
  </w:style>
  <w:style w:type="table" w:styleId="226">
    <w:name w:val="Colorful Grid Accent 2"/>
    <w:basedOn w:val="88"/>
    <w:semiHidden/>
    <w:unhideWhenUsed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FBE4D5" w:themeFill="accent2" w:themeFillTint="33"/>
    </w:tcPr>
    <w:tblStylePr w:type="firstRow">
      <w:rPr>
        <w:b/>
        <w:bCs/>
      </w:rPr>
      <w:tblPr/>
      <w:tcPr>
        <w:shd w:val="clear" w:color="auto" w:fill="F7CAAC" w:themeFill="accent2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7CAAC" w:themeFill="accent2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C55911" w:themeFill="accent2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C55911" w:themeFill="accent2" w:themeFillShade="BF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227">
    <w:name w:val="Colorful Grid Accent 3"/>
    <w:basedOn w:val="88"/>
    <w:semiHidden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228">
    <w:name w:val="Colorful Grid Accent 4"/>
    <w:basedOn w:val="88"/>
    <w:semiHidden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FEF2CC" w:themeFill="accent4" w:themeFillTint="33"/>
    </w:tcPr>
    <w:tblStylePr w:type="firstRow">
      <w:rPr>
        <w:b/>
        <w:bCs/>
      </w:rPr>
      <w:tblPr/>
      <w:tcPr>
        <w:shd w:val="clear" w:color="auto" w:fill="FFE599" w:themeFill="accent4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FE599" w:themeFill="accent4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BE8F00" w:themeFill="accent4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BE8F00" w:themeFill="accent4" w:themeFillShade="BF"/>
      </w:tcPr>
    </w:tblStylePr>
    <w:tblStylePr w:type="band1Vert">
      <w:tblPr/>
      <w:tcPr>
        <w:shd w:val="clear" w:color="auto" w:fill="FFDF7F" w:themeFill="accent4" w:themeFillTint="7F"/>
      </w:tcPr>
    </w:tblStylePr>
    <w:tblStylePr w:type="band1Horz">
      <w:tblPr/>
      <w:tcPr>
        <w:shd w:val="clear" w:color="auto" w:fill="FFDF7F" w:themeFill="accent4" w:themeFillTint="7F"/>
      </w:tcPr>
    </w:tblStylePr>
  </w:style>
  <w:style w:type="table" w:styleId="229">
    <w:name w:val="Colorful Grid Accent 5"/>
    <w:basedOn w:val="88"/>
    <w:semiHidden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230">
    <w:name w:val="Colorful Grid Accent 6"/>
    <w:basedOn w:val="88"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2EFD9" w:themeFill="accent6" w:themeFillTint="33"/>
    </w:tcPr>
    <w:tblStylePr w:type="firstRow">
      <w:rPr>
        <w:b/>
        <w:bCs/>
      </w:rPr>
      <w:tblPr/>
      <w:tcPr>
        <w:shd w:val="clear" w:color="auto" w:fill="C5E0B3" w:themeFill="accent6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C5E0B3" w:themeFill="accent6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538135" w:themeFill="accent6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538135" w:themeFill="accent6" w:themeFillShade="BF"/>
      </w:tcPr>
    </w:tblStylePr>
    <w:tblStylePr w:type="band1Vert">
      <w:tblPr/>
      <w:tcPr>
        <w:shd w:val="clear" w:color="auto" w:fill="B7D8A1" w:themeFill="accent6" w:themeFillTint="7F"/>
      </w:tcPr>
    </w:tblStylePr>
    <w:tblStylePr w:type="band1Horz">
      <w:tblPr/>
      <w:tcPr>
        <w:shd w:val="clear" w:color="auto" w:fill="B7D8A1" w:themeFill="accent6" w:themeFillTint="7F"/>
      </w:tcPr>
    </w:tblStylePr>
  </w:style>
  <w:style w:type="character" w:styleId="232">
    <w:name w:val="Strong"/>
    <w:basedOn w:val="231"/>
    <w:qFormat/>
    <w:uiPriority w:val="0"/>
    <w:rPr>
      <w:b/>
      <w:bCs/>
    </w:rPr>
  </w:style>
  <w:style w:type="character" w:styleId="233">
    <w:name w:val="endnote reference"/>
    <w:basedOn w:val="231"/>
    <w:uiPriority w:val="0"/>
    <w:rPr>
      <w:vertAlign w:val="superscript"/>
    </w:rPr>
  </w:style>
  <w:style w:type="character" w:styleId="234">
    <w:name w:val="page number"/>
    <w:basedOn w:val="231"/>
    <w:uiPriority w:val="0"/>
  </w:style>
  <w:style w:type="character" w:styleId="235">
    <w:name w:val="FollowedHyperlink"/>
    <w:basedOn w:val="231"/>
    <w:uiPriority w:val="0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236">
    <w:name w:val="Emphasis"/>
    <w:basedOn w:val="231"/>
    <w:qFormat/>
    <w:uiPriority w:val="0"/>
    <w:rPr>
      <w:i/>
      <w:iCs/>
    </w:rPr>
  </w:style>
  <w:style w:type="character" w:styleId="237">
    <w:name w:val="line number"/>
    <w:basedOn w:val="231"/>
    <w:qFormat/>
    <w:uiPriority w:val="0"/>
  </w:style>
  <w:style w:type="character" w:styleId="238">
    <w:name w:val="HTML Definition"/>
    <w:basedOn w:val="231"/>
    <w:uiPriority w:val="0"/>
    <w:rPr>
      <w:i/>
      <w:iCs/>
    </w:rPr>
  </w:style>
  <w:style w:type="character" w:styleId="239">
    <w:name w:val="HTML Typewriter"/>
    <w:basedOn w:val="231"/>
    <w:uiPriority w:val="0"/>
    <w:rPr>
      <w:rFonts w:ascii="Consolas" w:hAnsi="Consolas"/>
      <w:sz w:val="20"/>
      <w:szCs w:val="20"/>
    </w:rPr>
  </w:style>
  <w:style w:type="character" w:styleId="240">
    <w:name w:val="HTML Acronym"/>
    <w:basedOn w:val="231"/>
    <w:uiPriority w:val="0"/>
  </w:style>
  <w:style w:type="character" w:styleId="241">
    <w:name w:val="HTML Variable"/>
    <w:basedOn w:val="231"/>
    <w:semiHidden/>
    <w:unhideWhenUsed/>
    <w:uiPriority w:val="0"/>
    <w:rPr>
      <w:i/>
      <w:iCs/>
    </w:rPr>
  </w:style>
  <w:style w:type="character" w:styleId="242">
    <w:name w:val="Hyperlink"/>
    <w:basedOn w:val="231"/>
    <w:qFormat/>
    <w:uiPriority w:val="0"/>
    <w:rPr>
      <w:color w:val="0000FF"/>
      <w:u w:val="single"/>
    </w:rPr>
  </w:style>
  <w:style w:type="character" w:styleId="243">
    <w:name w:val="HTML Code"/>
    <w:basedOn w:val="231"/>
    <w:uiPriority w:val="0"/>
    <w:rPr>
      <w:rFonts w:ascii="Consolas" w:hAnsi="Consolas"/>
      <w:sz w:val="20"/>
      <w:szCs w:val="20"/>
    </w:rPr>
  </w:style>
  <w:style w:type="character" w:styleId="244">
    <w:name w:val="annotation reference"/>
    <w:basedOn w:val="231"/>
    <w:qFormat/>
    <w:uiPriority w:val="0"/>
    <w:rPr>
      <w:sz w:val="21"/>
      <w:szCs w:val="21"/>
    </w:rPr>
  </w:style>
  <w:style w:type="character" w:styleId="245">
    <w:name w:val="HTML Cite"/>
    <w:basedOn w:val="231"/>
    <w:uiPriority w:val="0"/>
    <w:rPr>
      <w:i/>
      <w:iCs/>
    </w:rPr>
  </w:style>
  <w:style w:type="character" w:styleId="246">
    <w:name w:val="footnote reference"/>
    <w:basedOn w:val="231"/>
    <w:uiPriority w:val="0"/>
    <w:rPr>
      <w:vertAlign w:val="superscript"/>
    </w:rPr>
  </w:style>
  <w:style w:type="character" w:styleId="247">
    <w:name w:val="HTML Keyboard"/>
    <w:basedOn w:val="231"/>
    <w:uiPriority w:val="0"/>
    <w:rPr>
      <w:rFonts w:ascii="Consolas" w:hAnsi="Consolas"/>
      <w:sz w:val="20"/>
      <w:szCs w:val="20"/>
    </w:rPr>
  </w:style>
  <w:style w:type="character" w:styleId="248">
    <w:name w:val="HTML Sample"/>
    <w:basedOn w:val="231"/>
    <w:uiPriority w:val="0"/>
    <w:rPr>
      <w:rFonts w:ascii="Consolas" w:hAnsi="Consolas"/>
      <w:sz w:val="24"/>
      <w:szCs w:val="24"/>
    </w:rPr>
  </w:style>
  <w:style w:type="character" w:customStyle="1" w:styleId="249">
    <w:name w:val="font61"/>
    <w:basedOn w:val="231"/>
    <w:qFormat/>
    <w:uiPriority w:val="0"/>
    <w:rPr>
      <w:rFonts w:ascii="黑体" w:hAnsi="宋体" w:eastAsia="黑体" w:cs="黑体"/>
      <w:color w:val="000000"/>
      <w:sz w:val="22"/>
      <w:szCs w:val="22"/>
      <w:u w:val="none"/>
    </w:rPr>
  </w:style>
  <w:style w:type="character" w:customStyle="1" w:styleId="250">
    <w:name w:val="font51"/>
    <w:basedOn w:val="231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251">
    <w:name w:val="font41"/>
    <w:basedOn w:val="231"/>
    <w:qFormat/>
    <w:uiPriority w:val="0"/>
    <w:rPr>
      <w:rFonts w:hint="eastAsia" w:ascii="黑体" w:hAnsi="宋体" w:eastAsia="黑体" w:cs="黑体"/>
      <w:color w:val="000000"/>
      <w:sz w:val="23"/>
      <w:szCs w:val="23"/>
      <w:u w:val="none"/>
    </w:rPr>
  </w:style>
  <w:style w:type="character" w:customStyle="1" w:styleId="252">
    <w:name w:val="font11"/>
    <w:basedOn w:val="231"/>
    <w:qFormat/>
    <w:uiPriority w:val="0"/>
    <w:rPr>
      <w:rFonts w:hint="default" w:ascii="Times New Roman" w:hAnsi="Times New Roman" w:cs="Times New Roman"/>
      <w:color w:val="000000"/>
      <w:sz w:val="23"/>
      <w:szCs w:val="23"/>
      <w:u w:val="none"/>
    </w:rPr>
  </w:style>
  <w:style w:type="character" w:customStyle="1" w:styleId="253">
    <w:name w:val="font71"/>
    <w:basedOn w:val="231"/>
    <w:qFormat/>
    <w:uiPriority w:val="0"/>
    <w:rPr>
      <w:rFonts w:hint="eastAsia" w:ascii="黑体" w:hAnsi="宋体" w:eastAsia="黑体" w:cs="黑体"/>
      <w:color w:val="000000"/>
      <w:sz w:val="22"/>
      <w:szCs w:val="22"/>
      <w:u w:val="none"/>
    </w:rPr>
  </w:style>
  <w:style w:type="character" w:customStyle="1" w:styleId="254">
    <w:name w:val="font81"/>
    <w:basedOn w:val="231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255">
    <w:name w:val="font91"/>
    <w:basedOn w:val="231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256">
    <w:name w:val="font101"/>
    <w:basedOn w:val="231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  <w:style w:type="character" w:customStyle="1" w:styleId="257">
    <w:name w:val="批注文字 字符"/>
    <w:basedOn w:val="231"/>
    <w:link w:val="28"/>
    <w:qFormat/>
    <w:uiPriority w:val="0"/>
    <w:rPr>
      <w:rFonts w:ascii="Tahoma" w:hAnsi="Tahoma" w:cs="Tahoma" w:eastAsiaTheme="minorEastAsia"/>
      <w:kern w:val="2"/>
      <w:sz w:val="16"/>
      <w:szCs w:val="24"/>
    </w:rPr>
  </w:style>
  <w:style w:type="character" w:customStyle="1" w:styleId="258">
    <w:name w:val="批注主题 字符"/>
    <w:basedOn w:val="257"/>
    <w:link w:val="85"/>
    <w:qFormat/>
    <w:uiPriority w:val="0"/>
    <w:rPr>
      <w:rFonts w:ascii="Tahoma" w:hAnsi="Tahoma" w:cs="Tahoma" w:eastAsiaTheme="minorEastAsia"/>
      <w:b/>
      <w:bCs/>
      <w:kern w:val="2"/>
      <w:sz w:val="16"/>
      <w:szCs w:val="24"/>
    </w:rPr>
  </w:style>
  <w:style w:type="character" w:customStyle="1" w:styleId="259">
    <w:name w:val="批注框文本 字符"/>
    <w:basedOn w:val="231"/>
    <w:link w:val="54"/>
    <w:qFormat/>
    <w:uiPriority w:val="0"/>
    <w:rPr>
      <w:rFonts w:ascii="Tahoma" w:hAnsi="Tahoma" w:cs="Tahoma" w:eastAsiaTheme="minorEastAsia"/>
      <w:kern w:val="2"/>
      <w:sz w:val="16"/>
      <w:szCs w:val="18"/>
    </w:rPr>
  </w:style>
  <w:style w:type="paragraph" w:customStyle="1" w:styleId="260">
    <w:name w:val="修订1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customStyle="1" w:styleId="261">
    <w:name w:val="修订2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customStyle="1" w:styleId="262">
    <w:name w:val="修订3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customStyle="1" w:styleId="263">
    <w:name w:val="修订4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customStyle="1" w:styleId="264">
    <w:name w:val="修订5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customStyle="1" w:styleId="265">
    <w:name w:val="修订6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customStyle="1" w:styleId="266">
    <w:name w:val="页眉 字符"/>
    <w:basedOn w:val="231"/>
    <w:link w:val="57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67">
    <w:name w:val="页脚 字符"/>
    <w:basedOn w:val="231"/>
    <w:link w:val="5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268">
    <w:name w:val="修订7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customStyle="1" w:styleId="269">
    <w:name w:val="标题 2 字符"/>
    <w:basedOn w:val="231"/>
    <w:link w:val="4"/>
    <w:semiHidden/>
    <w:qFormat/>
    <w:uiPriority w:val="0"/>
    <w:rPr>
      <w:rFonts w:asciiTheme="majorHAnsi" w:hAnsiTheme="majorHAnsi" w:eastAsiaTheme="majorEastAsia" w:cstheme="majorBidi"/>
      <w:color w:val="2E75B6" w:themeColor="accent1" w:themeShade="BF"/>
      <w:kern w:val="2"/>
      <w:sz w:val="26"/>
      <w:szCs w:val="26"/>
    </w:rPr>
  </w:style>
  <w:style w:type="character" w:customStyle="1" w:styleId="270">
    <w:name w:val="标题 4 字符"/>
    <w:basedOn w:val="231"/>
    <w:link w:val="6"/>
    <w:semiHidden/>
    <w:qFormat/>
    <w:uiPriority w:val="0"/>
    <w:rPr>
      <w:rFonts w:asciiTheme="majorHAnsi" w:hAnsiTheme="majorHAnsi" w:eastAsiaTheme="majorEastAsia" w:cstheme="majorBidi"/>
      <w:i/>
      <w:iCs/>
      <w:color w:val="2E75B6" w:themeColor="accent1" w:themeShade="BF"/>
      <w:kern w:val="2"/>
      <w:sz w:val="21"/>
      <w:szCs w:val="24"/>
    </w:rPr>
  </w:style>
  <w:style w:type="character" w:customStyle="1" w:styleId="271">
    <w:name w:val="标题 5 字符"/>
    <w:basedOn w:val="231"/>
    <w:link w:val="7"/>
    <w:semiHidden/>
    <w:qFormat/>
    <w:uiPriority w:val="0"/>
    <w:rPr>
      <w:rFonts w:asciiTheme="majorHAnsi" w:hAnsiTheme="majorHAnsi" w:eastAsiaTheme="majorEastAsia" w:cstheme="majorBidi"/>
      <w:color w:val="2E75B6" w:themeColor="accent1" w:themeShade="BF"/>
      <w:kern w:val="2"/>
      <w:sz w:val="21"/>
      <w:szCs w:val="24"/>
    </w:rPr>
  </w:style>
  <w:style w:type="character" w:customStyle="1" w:styleId="272">
    <w:name w:val="标题 6 字符"/>
    <w:basedOn w:val="231"/>
    <w:link w:val="8"/>
    <w:semiHidden/>
    <w:qFormat/>
    <w:uiPriority w:val="0"/>
    <w:rPr>
      <w:rFonts w:asciiTheme="majorHAnsi" w:hAnsiTheme="majorHAnsi" w:eastAsiaTheme="majorEastAsia" w:cstheme="majorBidi"/>
      <w:color w:val="1F4E79" w:themeColor="accent1" w:themeShade="80"/>
      <w:kern w:val="2"/>
      <w:sz w:val="21"/>
      <w:szCs w:val="24"/>
    </w:rPr>
  </w:style>
  <w:style w:type="character" w:customStyle="1" w:styleId="273">
    <w:name w:val="标题 7 字符"/>
    <w:basedOn w:val="231"/>
    <w:link w:val="9"/>
    <w:semiHidden/>
    <w:qFormat/>
    <w:uiPriority w:val="0"/>
    <w:rPr>
      <w:rFonts w:asciiTheme="majorHAnsi" w:hAnsiTheme="majorHAnsi" w:eastAsiaTheme="majorEastAsia" w:cstheme="majorBidi"/>
      <w:i/>
      <w:iCs/>
      <w:color w:val="1F4E79" w:themeColor="accent1" w:themeShade="80"/>
      <w:kern w:val="2"/>
      <w:sz w:val="21"/>
      <w:szCs w:val="24"/>
    </w:rPr>
  </w:style>
  <w:style w:type="character" w:customStyle="1" w:styleId="274">
    <w:name w:val="标题 8 字符"/>
    <w:basedOn w:val="231"/>
    <w:link w:val="10"/>
    <w:semiHidden/>
    <w:qFormat/>
    <w:uiPriority w:val="0"/>
    <w:rPr>
      <w:rFonts w:asciiTheme="majorHAnsi" w:hAnsiTheme="majorHAnsi" w:eastAsiaTheme="majorEastAsia" w:cstheme="majorBidi"/>
      <w:color w:val="262626" w:themeColor="text1" w:themeTint="D9"/>
      <w:kern w:val="2"/>
      <w:sz w:val="21"/>
      <w:szCs w:val="21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275">
    <w:name w:val="标题 9 字符"/>
    <w:basedOn w:val="231"/>
    <w:link w:val="11"/>
    <w:semiHidden/>
    <w:uiPriority w:val="0"/>
    <w:rPr>
      <w:rFonts w:asciiTheme="majorHAnsi" w:hAnsiTheme="majorHAnsi" w:eastAsiaTheme="majorEastAsia" w:cstheme="majorBidi"/>
      <w:i/>
      <w:iCs/>
      <w:color w:val="262626" w:themeColor="text1" w:themeTint="D9"/>
      <w:kern w:val="2"/>
      <w:sz w:val="21"/>
      <w:szCs w:val="21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paragraph" w:customStyle="1" w:styleId="276">
    <w:name w:val="书目1"/>
    <w:basedOn w:val="1"/>
    <w:next w:val="1"/>
    <w:semiHidden/>
    <w:unhideWhenUsed/>
    <w:qFormat/>
    <w:uiPriority w:val="37"/>
  </w:style>
  <w:style w:type="character" w:customStyle="1" w:styleId="277">
    <w:name w:val="正文文本 字符"/>
    <w:basedOn w:val="231"/>
    <w:link w:val="34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278">
    <w:name w:val="正文文本 2 字符"/>
    <w:basedOn w:val="231"/>
    <w:link w:val="76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279">
    <w:name w:val="正文文本 3 字符"/>
    <w:basedOn w:val="231"/>
    <w:link w:val="31"/>
    <w:uiPriority w:val="0"/>
    <w:rPr>
      <w:rFonts w:asciiTheme="minorHAnsi" w:hAnsiTheme="minorHAnsi" w:eastAsiaTheme="minorEastAsia" w:cstheme="minorBidi"/>
      <w:kern w:val="2"/>
      <w:sz w:val="16"/>
      <w:szCs w:val="16"/>
    </w:rPr>
  </w:style>
  <w:style w:type="character" w:customStyle="1" w:styleId="280">
    <w:name w:val="正文文本首行缩进 字符"/>
    <w:basedOn w:val="277"/>
    <w:link w:val="86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281">
    <w:name w:val="正文文本缩进 字符"/>
    <w:basedOn w:val="231"/>
    <w:link w:val="35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282">
    <w:name w:val="正文文本首行缩进 2 字符"/>
    <w:basedOn w:val="281"/>
    <w:link w:val="87"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283">
    <w:name w:val="正文文本缩进 2 字符"/>
    <w:basedOn w:val="231"/>
    <w:link w:val="51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284">
    <w:name w:val="正文文本缩进 3 字符"/>
    <w:basedOn w:val="231"/>
    <w:link w:val="70"/>
    <w:qFormat/>
    <w:uiPriority w:val="0"/>
    <w:rPr>
      <w:rFonts w:asciiTheme="minorHAnsi" w:hAnsiTheme="minorHAnsi" w:eastAsiaTheme="minorEastAsia" w:cstheme="minorBidi"/>
      <w:kern w:val="2"/>
      <w:sz w:val="16"/>
      <w:szCs w:val="16"/>
    </w:rPr>
  </w:style>
  <w:style w:type="character" w:customStyle="1" w:styleId="285">
    <w:name w:val="书籍标题1"/>
    <w:basedOn w:val="231"/>
    <w:qFormat/>
    <w:uiPriority w:val="33"/>
    <w:rPr>
      <w:b/>
      <w:bCs/>
      <w:i/>
      <w:iCs/>
      <w:spacing w:val="5"/>
    </w:rPr>
  </w:style>
  <w:style w:type="character" w:customStyle="1" w:styleId="286">
    <w:name w:val="结束语 字符"/>
    <w:basedOn w:val="231"/>
    <w:link w:val="32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287">
    <w:name w:val="日期 字符"/>
    <w:basedOn w:val="231"/>
    <w:link w:val="50"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288">
    <w:name w:val="文档结构图 字符"/>
    <w:basedOn w:val="231"/>
    <w:link w:val="26"/>
    <w:uiPriority w:val="0"/>
    <w:rPr>
      <w:rFonts w:ascii="Segoe UI" w:hAnsi="Segoe UI" w:cs="Segoe UI" w:eastAsiaTheme="minorEastAsia"/>
      <w:kern w:val="2"/>
      <w:sz w:val="16"/>
      <w:szCs w:val="16"/>
    </w:rPr>
  </w:style>
  <w:style w:type="character" w:customStyle="1" w:styleId="289">
    <w:name w:val="电子邮件签名 字符"/>
    <w:basedOn w:val="231"/>
    <w:link w:val="19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290">
    <w:name w:val="尾注文本 字符"/>
    <w:basedOn w:val="231"/>
    <w:link w:val="52"/>
    <w:uiPriority w:val="0"/>
    <w:rPr>
      <w:rFonts w:asciiTheme="minorHAnsi" w:hAnsiTheme="minorHAnsi" w:eastAsiaTheme="minorEastAsia" w:cstheme="minorBidi"/>
      <w:kern w:val="2"/>
    </w:rPr>
  </w:style>
  <w:style w:type="character" w:customStyle="1" w:styleId="291">
    <w:name w:val="脚注文本 字符"/>
    <w:basedOn w:val="231"/>
    <w:link w:val="67"/>
    <w:uiPriority w:val="0"/>
    <w:rPr>
      <w:rFonts w:asciiTheme="minorHAnsi" w:hAnsiTheme="minorHAnsi" w:eastAsiaTheme="minorEastAsia" w:cstheme="minorBidi"/>
      <w:kern w:val="2"/>
    </w:rPr>
  </w:style>
  <w:style w:type="table" w:customStyle="1" w:styleId="292">
    <w:name w:val="网格表 1 浅色1"/>
    <w:basedOn w:val="88"/>
    <w:uiPriority w:val="46"/>
    <w:tblPr>
      <w:tblBorders>
        <w:top w:val="single" w:color="999999" w:themeColor="text1" w:themeTint="66" w:sz="4" w:space="0"/>
        <w:left w:val="single" w:color="999999" w:themeColor="text1" w:themeTint="66" w:sz="4" w:space="0"/>
        <w:bottom w:val="single" w:color="999999" w:themeColor="text1" w:themeTint="66" w:sz="4" w:space="0"/>
        <w:right w:val="single" w:color="999999" w:themeColor="text1" w:themeTint="66" w:sz="4" w:space="0"/>
        <w:insideH w:val="single" w:color="999999" w:themeColor="text1" w:themeTint="66" w:sz="4" w:space="0"/>
        <w:insideV w:val="single" w:color="999999" w:themeColor="text1" w:themeTint="66" w:sz="4" w:space="0"/>
      </w:tblBorders>
    </w:tblPr>
    <w:tblStylePr w:type="firstRow">
      <w:rPr>
        <w:b/>
        <w:bCs/>
      </w:rPr>
      <w:tcPr>
        <w:tcBorders>
          <w:bottom w:val="single" w:color="666666" w:themeColor="text1" w:themeTint="99" w:sz="12" w:space="0"/>
        </w:tcBorders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293">
    <w:name w:val="网格表 1 浅色 - 着色 11"/>
    <w:basedOn w:val="88"/>
    <w:uiPriority w:val="46"/>
    <w:tblPr>
      <w:tblBorders>
        <w:top w:val="single" w:color="BDD6EE" w:themeColor="accent1" w:themeTint="66" w:sz="4" w:space="0"/>
        <w:left w:val="single" w:color="BDD6EE" w:themeColor="accent1" w:themeTint="66" w:sz="4" w:space="0"/>
        <w:bottom w:val="single" w:color="BDD6EE" w:themeColor="accent1" w:themeTint="66" w:sz="4" w:space="0"/>
        <w:right w:val="single" w:color="BDD6EE" w:themeColor="accent1" w:themeTint="66" w:sz="4" w:space="0"/>
        <w:insideH w:val="single" w:color="BDD6EE" w:themeColor="accent1" w:themeTint="66" w:sz="4" w:space="0"/>
        <w:insideV w:val="single" w:color="BDD6EE" w:themeColor="accent1" w:themeTint="66" w:sz="4" w:space="0"/>
      </w:tblBorders>
    </w:tblPr>
    <w:tblStylePr w:type="firstRow">
      <w:rPr>
        <w:b/>
        <w:bCs/>
      </w:rPr>
      <w:tcPr>
        <w:tcBorders>
          <w:bottom w:val="single" w:color="9CC2E5" w:themeColor="accent1" w:themeTint="99" w:sz="12" w:space="0"/>
        </w:tcBorders>
      </w:tcPr>
    </w:tblStylePr>
    <w:tblStylePr w:type="lastRow">
      <w:rPr>
        <w:b/>
        <w:bCs/>
      </w:rPr>
      <w:tcPr>
        <w:tcBorders>
          <w:top w:val="double" w:color="9CC2E5" w:themeColor="accent1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294">
    <w:name w:val="网格表 1 浅色 - 着色 21"/>
    <w:basedOn w:val="88"/>
    <w:uiPriority w:val="46"/>
    <w:tblPr>
      <w:tblBorders>
        <w:top w:val="single" w:color="F7CAAC" w:themeColor="accent2" w:themeTint="66" w:sz="4" w:space="0"/>
        <w:left w:val="single" w:color="F7CAAC" w:themeColor="accent2" w:themeTint="66" w:sz="4" w:space="0"/>
        <w:bottom w:val="single" w:color="F7CAAC" w:themeColor="accent2" w:themeTint="66" w:sz="4" w:space="0"/>
        <w:right w:val="single" w:color="F7CAAC" w:themeColor="accent2" w:themeTint="66" w:sz="4" w:space="0"/>
        <w:insideH w:val="single" w:color="F7CAAC" w:themeColor="accent2" w:themeTint="66" w:sz="4" w:space="0"/>
        <w:insideV w:val="single" w:color="F7CAAC" w:themeColor="accent2" w:themeTint="66" w:sz="4" w:space="0"/>
      </w:tblBorders>
    </w:tblPr>
    <w:tblStylePr w:type="firstRow">
      <w:rPr>
        <w:b/>
        <w:bCs/>
      </w:rPr>
      <w:tcPr>
        <w:tcBorders>
          <w:bottom w:val="single" w:color="F4B083" w:themeColor="accent2" w:themeTint="99" w:sz="12" w:space="0"/>
        </w:tcBorders>
      </w:tcPr>
    </w:tblStylePr>
    <w:tblStylePr w:type="lastRow">
      <w:rPr>
        <w:b/>
        <w:bCs/>
      </w:rPr>
      <w:tcPr>
        <w:tcBorders>
          <w:top w:val="double" w:color="F4B083" w:themeColor="accent2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295">
    <w:name w:val="网格表 1 浅色 - 着色 31"/>
    <w:basedOn w:val="88"/>
    <w:uiPriority w:val="46"/>
    <w:tblPr>
      <w:tblBorders>
        <w:top w:val="single" w:color="DADADA" w:themeColor="accent3" w:themeTint="66" w:sz="4" w:space="0"/>
        <w:left w:val="single" w:color="DADADA" w:themeColor="accent3" w:themeTint="66" w:sz="4" w:space="0"/>
        <w:bottom w:val="single" w:color="DADADA" w:themeColor="accent3" w:themeTint="66" w:sz="4" w:space="0"/>
        <w:right w:val="single" w:color="DADADA" w:themeColor="accent3" w:themeTint="66" w:sz="4" w:space="0"/>
        <w:insideH w:val="single" w:color="DADADA" w:themeColor="accent3" w:themeTint="66" w:sz="4" w:space="0"/>
        <w:insideV w:val="single" w:color="DADADA" w:themeColor="accent3" w:themeTint="66" w:sz="4" w:space="0"/>
      </w:tblBorders>
    </w:tblPr>
    <w:tblStylePr w:type="firstRow">
      <w:rPr>
        <w:b/>
        <w:bCs/>
      </w:rPr>
      <w:tcPr>
        <w:tcBorders>
          <w:bottom w:val="single" w:color="C8C8C8" w:themeColor="accent3" w:themeTint="99" w:sz="12" w:space="0"/>
        </w:tcBorders>
      </w:tcPr>
    </w:tblStylePr>
    <w:tblStylePr w:type="lastRow">
      <w:rPr>
        <w:b/>
        <w:bCs/>
      </w:rPr>
      <w:tcPr>
        <w:tcBorders>
          <w:top w:val="double" w:color="C8C8C8" w:themeColor="accent3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296">
    <w:name w:val="网格表 1 浅色 - 着色 41"/>
    <w:basedOn w:val="88"/>
    <w:uiPriority w:val="46"/>
    <w:tblPr>
      <w:tblBorders>
        <w:top w:val="single" w:color="FFE599" w:themeColor="accent4" w:themeTint="66" w:sz="4" w:space="0"/>
        <w:left w:val="single" w:color="FFE599" w:themeColor="accent4" w:themeTint="66" w:sz="4" w:space="0"/>
        <w:bottom w:val="single" w:color="FFE599" w:themeColor="accent4" w:themeTint="66" w:sz="4" w:space="0"/>
        <w:right w:val="single" w:color="FFE599" w:themeColor="accent4" w:themeTint="66" w:sz="4" w:space="0"/>
        <w:insideH w:val="single" w:color="FFE599" w:themeColor="accent4" w:themeTint="66" w:sz="4" w:space="0"/>
        <w:insideV w:val="single" w:color="FFE599" w:themeColor="accent4" w:themeTint="66" w:sz="4" w:space="0"/>
      </w:tblBorders>
    </w:tblPr>
    <w:tblStylePr w:type="firstRow">
      <w:rPr>
        <w:b/>
        <w:bCs/>
      </w:rPr>
      <w:tcPr>
        <w:tcBorders>
          <w:bottom w:val="single" w:color="FFD965" w:themeColor="accent4" w:themeTint="99" w:sz="12" w:space="0"/>
        </w:tcBorders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297">
    <w:name w:val="网格表 1 浅色 - 着色 51"/>
    <w:basedOn w:val="88"/>
    <w:uiPriority w:val="46"/>
    <w:tblPr>
      <w:tblBorders>
        <w:top w:val="single" w:color="B4C6E7" w:themeColor="accent5" w:themeTint="66" w:sz="4" w:space="0"/>
        <w:left w:val="single" w:color="B4C6E7" w:themeColor="accent5" w:themeTint="66" w:sz="4" w:space="0"/>
        <w:bottom w:val="single" w:color="B4C6E7" w:themeColor="accent5" w:themeTint="66" w:sz="4" w:space="0"/>
        <w:right w:val="single" w:color="B4C6E7" w:themeColor="accent5" w:themeTint="66" w:sz="4" w:space="0"/>
        <w:insideH w:val="single" w:color="B4C6E7" w:themeColor="accent5" w:themeTint="66" w:sz="4" w:space="0"/>
        <w:insideV w:val="single" w:color="B4C6E7" w:themeColor="accent5" w:themeTint="66" w:sz="4" w:space="0"/>
      </w:tblBorders>
    </w:tblPr>
    <w:tblStylePr w:type="firstRow">
      <w:rPr>
        <w:b/>
        <w:bCs/>
      </w:rPr>
      <w:tcPr>
        <w:tcBorders>
          <w:bottom w:val="single" w:color="8EAADB" w:themeColor="accent5" w:themeTint="99" w:sz="12" w:space="0"/>
        </w:tcBorders>
      </w:tcPr>
    </w:tblStylePr>
    <w:tblStylePr w:type="lastRow">
      <w:rPr>
        <w:b/>
        <w:bCs/>
      </w:rPr>
      <w:tcPr>
        <w:tcBorders>
          <w:top w:val="double" w:color="8EAADB" w:themeColor="accent5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298">
    <w:name w:val="网格表 1 浅色 - 着色 61"/>
    <w:basedOn w:val="88"/>
    <w:uiPriority w:val="46"/>
    <w:tblPr>
      <w:tblBorders>
        <w:top w:val="single" w:color="C5E0B3" w:themeColor="accent6" w:themeTint="66" w:sz="4" w:space="0"/>
        <w:left w:val="single" w:color="C5E0B3" w:themeColor="accent6" w:themeTint="66" w:sz="4" w:space="0"/>
        <w:bottom w:val="single" w:color="C5E0B3" w:themeColor="accent6" w:themeTint="66" w:sz="4" w:space="0"/>
        <w:right w:val="single" w:color="C5E0B3" w:themeColor="accent6" w:themeTint="66" w:sz="4" w:space="0"/>
        <w:insideH w:val="single" w:color="C5E0B3" w:themeColor="accent6" w:themeTint="66" w:sz="4" w:space="0"/>
        <w:insideV w:val="single" w:color="C5E0B3" w:themeColor="accent6" w:themeTint="66" w:sz="4" w:space="0"/>
      </w:tblBorders>
    </w:tblPr>
    <w:tblStylePr w:type="firstRow">
      <w:rPr>
        <w:b/>
        <w:bCs/>
      </w:rPr>
      <w:tcPr>
        <w:tcBorders>
          <w:bottom w:val="single" w:color="A8D08D" w:themeColor="accent6" w:themeTint="99" w:sz="12" w:space="0"/>
        </w:tcBorders>
      </w:tcPr>
    </w:tblStylePr>
    <w:tblStylePr w:type="lastRow">
      <w:rPr>
        <w:b/>
        <w:bCs/>
      </w:rPr>
      <w:tcPr>
        <w:tcBorders>
          <w:top w:val="double" w:color="A8D08D" w:themeColor="accent6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299">
    <w:name w:val="网格表 21"/>
    <w:basedOn w:val="88"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300">
    <w:name w:val="网格表 2 - 着色 11"/>
    <w:basedOn w:val="88"/>
    <w:uiPriority w:val="47"/>
    <w:tblPr>
      <w:tblBorders>
        <w:top w:val="single" w:color="9CC2E5" w:themeColor="accent1" w:themeTint="99" w:sz="2" w:space="0"/>
        <w:bottom w:val="single" w:color="9CC2E5" w:themeColor="accent1" w:themeTint="99" w:sz="2" w:space="0"/>
        <w:insideH w:val="single" w:color="9CC2E5" w:themeColor="accent1" w:themeTint="99" w:sz="2" w:space="0"/>
        <w:insideV w:val="single" w:color="9CC2E5" w:themeColor="accen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9CC2E5" w:themeColor="accen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9CC2E5" w:themeColor="accen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301">
    <w:name w:val="网格表 2 - 着色 21"/>
    <w:basedOn w:val="88"/>
    <w:uiPriority w:val="47"/>
    <w:tblPr>
      <w:tblBorders>
        <w:top w:val="single" w:color="F4B083" w:themeColor="accent2" w:themeTint="99" w:sz="2" w:space="0"/>
        <w:bottom w:val="single" w:color="F4B083" w:themeColor="accent2" w:themeTint="99" w:sz="2" w:space="0"/>
        <w:insideH w:val="single" w:color="F4B083" w:themeColor="accent2" w:themeTint="99" w:sz="2" w:space="0"/>
        <w:insideV w:val="single" w:color="F4B083" w:themeColor="accent2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F4B083" w:themeColor="accent2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F4B083" w:themeColor="accent2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302">
    <w:name w:val="网格表 2 - 着色 31"/>
    <w:basedOn w:val="88"/>
    <w:uiPriority w:val="47"/>
    <w:tblPr>
      <w:tblBorders>
        <w:top w:val="single" w:color="C8C8C8" w:themeColor="accent3" w:themeTint="99" w:sz="2" w:space="0"/>
        <w:bottom w:val="single" w:color="C8C8C8" w:themeColor="accent3" w:themeTint="99" w:sz="2" w:space="0"/>
        <w:insideH w:val="single" w:color="C8C8C8" w:themeColor="accent3" w:themeTint="99" w:sz="2" w:space="0"/>
        <w:insideV w:val="single" w:color="C8C8C8" w:themeColor="accent3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C8C8C8" w:themeColor="accent3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C8C8C8" w:themeColor="accent3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CECEC" w:themeFill="accent3" w:themeFillTint="33"/>
      </w:tcPr>
    </w:tblStylePr>
    <w:tblStylePr w:type="band1Horz">
      <w:tcPr>
        <w:shd w:val="clear" w:color="auto" w:fill="ECECEC" w:themeFill="accent3" w:themeFillTint="33"/>
      </w:tcPr>
    </w:tblStylePr>
  </w:style>
  <w:style w:type="table" w:customStyle="1" w:styleId="303">
    <w:name w:val="网格表 2 - 着色 41"/>
    <w:basedOn w:val="88"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304">
    <w:name w:val="网格表 2 - 着色 51"/>
    <w:basedOn w:val="88"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  <w:insideH w:val="single" w:color="8EAADB" w:themeColor="accent5" w:themeTint="99" w:sz="2" w:space="0"/>
        <w:insideV w:val="single" w:color="8EAADB" w:themeColor="accent5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8EAADB" w:themeColor="accent5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8EAADB" w:themeColor="accent5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305">
    <w:name w:val="网格表 2 - 着色 61"/>
    <w:basedOn w:val="88"/>
    <w:uiPriority w:val="47"/>
    <w:tblPr>
      <w:tblBorders>
        <w:top w:val="single" w:color="A8D08D" w:themeColor="accent6" w:themeTint="99" w:sz="2" w:space="0"/>
        <w:bottom w:val="single" w:color="A8D08D" w:themeColor="accent6" w:themeTint="99" w:sz="2" w:space="0"/>
        <w:insideH w:val="single" w:color="A8D08D" w:themeColor="accent6" w:themeTint="99" w:sz="2" w:space="0"/>
        <w:insideV w:val="single" w:color="A8D08D" w:themeColor="accent6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A8D08D" w:themeColor="accent6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A8D08D" w:themeColor="accent6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2EFD9" w:themeFill="accent6" w:themeFillTint="33"/>
      </w:tcPr>
    </w:tblStylePr>
    <w:tblStylePr w:type="band1Horz">
      <w:tcPr>
        <w:shd w:val="clear" w:color="auto" w:fill="E2EFD9" w:themeFill="accent6" w:themeFillTint="33"/>
      </w:tcPr>
    </w:tblStylePr>
  </w:style>
  <w:style w:type="table" w:customStyle="1" w:styleId="306">
    <w:name w:val="网格表 31"/>
    <w:basedOn w:val="88"/>
    <w:uiPriority w:val="48"/>
    <w:tblPr>
      <w:tblBorders>
        <w:top w:val="single" w:color="666666" w:themeColor="text1" w:themeTint="99" w:sz="4" w:space="0"/>
        <w:left w:val="single" w:color="666666" w:themeColor="text1" w:themeTint="99" w:sz="4" w:space="0"/>
        <w:bottom w:val="single" w:color="666666" w:themeColor="text1" w:themeTint="99" w:sz="4" w:space="0"/>
        <w:right w:val="single" w:color="666666" w:themeColor="text1" w:themeTint="99" w:sz="4" w:space="0"/>
        <w:insideH w:val="single" w:color="666666" w:themeColor="text1" w:themeTint="99" w:sz="4" w:space="0"/>
        <w:insideV w:val="single" w:color="666666" w:themeColor="text1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  <w:tblStylePr w:type="neCell">
      <w:tcPr>
        <w:tcBorders>
          <w:bottom w:val="single" w:color="666666" w:themeColor="text1" w:themeTint="99" w:sz="4" w:space="0"/>
        </w:tcBorders>
      </w:tcPr>
    </w:tblStylePr>
    <w:tblStylePr w:type="nwCell">
      <w:tcPr>
        <w:tcBorders>
          <w:bottom w:val="single" w:color="666666" w:themeColor="text1" w:themeTint="99" w:sz="4" w:space="0"/>
        </w:tcBorders>
      </w:tcPr>
    </w:tblStylePr>
    <w:tblStylePr w:type="seCell">
      <w:tcPr>
        <w:tcBorders>
          <w:top w:val="single" w:color="666666" w:themeColor="text1" w:themeTint="99" w:sz="4" w:space="0"/>
        </w:tcBorders>
      </w:tcPr>
    </w:tblStylePr>
    <w:tblStylePr w:type="swCell">
      <w:tcPr>
        <w:tcBorders>
          <w:top w:val="single" w:color="666666" w:themeColor="text1" w:themeTint="99" w:sz="4" w:space="0"/>
        </w:tcBorders>
      </w:tcPr>
    </w:tblStylePr>
  </w:style>
  <w:style w:type="table" w:customStyle="1" w:styleId="307">
    <w:name w:val="网格表 3 - 着色 11"/>
    <w:basedOn w:val="88"/>
    <w:uiPriority w:val="48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eCell">
      <w:tcPr>
        <w:tcBorders>
          <w:bottom w:val="single" w:color="9CC2E5" w:themeColor="accent1" w:themeTint="99" w:sz="4" w:space="0"/>
        </w:tcBorders>
      </w:tcPr>
    </w:tblStylePr>
    <w:tblStylePr w:type="nwCell">
      <w:tcPr>
        <w:tcBorders>
          <w:bottom w:val="single" w:color="9CC2E5" w:themeColor="accent1" w:themeTint="99" w:sz="4" w:space="0"/>
        </w:tcBorders>
      </w:tcPr>
    </w:tblStylePr>
    <w:tblStylePr w:type="seCell">
      <w:tcPr>
        <w:tcBorders>
          <w:top w:val="single" w:color="9CC2E5" w:themeColor="accent1" w:themeTint="99" w:sz="4" w:space="0"/>
        </w:tcBorders>
      </w:tcPr>
    </w:tblStylePr>
    <w:tblStylePr w:type="swCell">
      <w:tcPr>
        <w:tcBorders>
          <w:top w:val="single" w:color="9CC2E5" w:themeColor="accent1" w:themeTint="99" w:sz="4" w:space="0"/>
        </w:tcBorders>
      </w:tcPr>
    </w:tblStylePr>
  </w:style>
  <w:style w:type="table" w:customStyle="1" w:styleId="308">
    <w:name w:val="网格表 3 - 着色 21"/>
    <w:basedOn w:val="88"/>
    <w:uiPriority w:val="48"/>
    <w:tblPr>
      <w:tblBorders>
        <w:top w:val="single" w:color="F4B083" w:themeColor="accent2" w:themeTint="99" w:sz="4" w:space="0"/>
        <w:left w:val="single" w:color="F4B083" w:themeColor="accent2" w:themeTint="99" w:sz="4" w:space="0"/>
        <w:bottom w:val="single" w:color="F4B083" w:themeColor="accent2" w:themeTint="99" w:sz="4" w:space="0"/>
        <w:right w:val="single" w:color="F4B083" w:themeColor="accent2" w:themeTint="99" w:sz="4" w:space="0"/>
        <w:insideH w:val="single" w:color="F4B083" w:themeColor="accent2" w:themeTint="99" w:sz="4" w:space="0"/>
        <w:insideV w:val="single" w:color="F4B083" w:themeColor="accent2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  <w:tblStylePr w:type="neCell">
      <w:tcPr>
        <w:tcBorders>
          <w:bottom w:val="single" w:color="F4B083" w:themeColor="accent2" w:themeTint="99" w:sz="4" w:space="0"/>
        </w:tcBorders>
      </w:tcPr>
    </w:tblStylePr>
    <w:tblStylePr w:type="nwCell">
      <w:tcPr>
        <w:tcBorders>
          <w:bottom w:val="single" w:color="F4B083" w:themeColor="accent2" w:themeTint="99" w:sz="4" w:space="0"/>
        </w:tcBorders>
      </w:tcPr>
    </w:tblStylePr>
    <w:tblStylePr w:type="seCell">
      <w:tcPr>
        <w:tcBorders>
          <w:top w:val="single" w:color="F4B083" w:themeColor="accent2" w:themeTint="99" w:sz="4" w:space="0"/>
        </w:tcBorders>
      </w:tcPr>
    </w:tblStylePr>
    <w:tblStylePr w:type="swCell">
      <w:tcPr>
        <w:tcBorders>
          <w:top w:val="single" w:color="F4B083" w:themeColor="accent2" w:themeTint="99" w:sz="4" w:space="0"/>
        </w:tcBorders>
      </w:tcPr>
    </w:tblStylePr>
  </w:style>
  <w:style w:type="table" w:customStyle="1" w:styleId="309">
    <w:name w:val="网格表 3 - 着色 31"/>
    <w:basedOn w:val="88"/>
    <w:uiPriority w:val="48"/>
    <w:tblPr>
      <w:tblBorders>
        <w:top w:val="single" w:color="C8C8C8" w:themeColor="accent3" w:themeTint="99" w:sz="4" w:space="0"/>
        <w:left w:val="single" w:color="C8C8C8" w:themeColor="accent3" w:themeTint="99" w:sz="4" w:space="0"/>
        <w:bottom w:val="single" w:color="C8C8C8" w:themeColor="accent3" w:themeTint="99" w:sz="4" w:space="0"/>
        <w:right w:val="single" w:color="C8C8C8" w:themeColor="accent3" w:themeTint="99" w:sz="4" w:space="0"/>
        <w:insideH w:val="single" w:color="C8C8C8" w:themeColor="accent3" w:themeTint="99" w:sz="4" w:space="0"/>
        <w:insideV w:val="single" w:color="C8C8C8" w:themeColor="accent3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ECECEC" w:themeFill="accent3" w:themeFillTint="33"/>
      </w:tcPr>
    </w:tblStylePr>
    <w:tblStylePr w:type="band1Horz">
      <w:tcPr>
        <w:shd w:val="clear" w:color="auto" w:fill="ECECEC" w:themeFill="accent3" w:themeFillTint="33"/>
      </w:tcPr>
    </w:tblStylePr>
    <w:tblStylePr w:type="neCell">
      <w:tcPr>
        <w:tcBorders>
          <w:bottom w:val="single" w:color="C8C8C8" w:themeColor="accent3" w:themeTint="99" w:sz="4" w:space="0"/>
        </w:tcBorders>
      </w:tcPr>
    </w:tblStylePr>
    <w:tblStylePr w:type="nwCell">
      <w:tcPr>
        <w:tcBorders>
          <w:bottom w:val="single" w:color="C8C8C8" w:themeColor="accent3" w:themeTint="99" w:sz="4" w:space="0"/>
        </w:tcBorders>
      </w:tcPr>
    </w:tblStylePr>
    <w:tblStylePr w:type="seCell">
      <w:tcPr>
        <w:tcBorders>
          <w:top w:val="single" w:color="C8C8C8" w:themeColor="accent3" w:themeTint="99" w:sz="4" w:space="0"/>
        </w:tcBorders>
      </w:tcPr>
    </w:tblStylePr>
    <w:tblStylePr w:type="swCell">
      <w:tcPr>
        <w:tcBorders>
          <w:top w:val="single" w:color="C8C8C8" w:themeColor="accent3" w:themeTint="99" w:sz="4" w:space="0"/>
        </w:tcBorders>
      </w:tcPr>
    </w:tblStylePr>
  </w:style>
  <w:style w:type="table" w:customStyle="1" w:styleId="310">
    <w:name w:val="网格表 3 - 着色 41"/>
    <w:basedOn w:val="88"/>
    <w:uiPriority w:val="48"/>
    <w:tblPr>
      <w:tblBorders>
        <w:top w:val="single" w:color="FFD965" w:themeColor="accent4" w:themeTint="99" w:sz="4" w:space="0"/>
        <w:left w:val="single" w:color="FFD965" w:themeColor="accent4" w:themeTint="99" w:sz="4" w:space="0"/>
        <w:bottom w:val="single" w:color="FFD965" w:themeColor="accent4" w:themeTint="99" w:sz="4" w:space="0"/>
        <w:right w:val="single" w:color="FFD965" w:themeColor="accent4" w:themeTint="99" w:sz="4" w:space="0"/>
        <w:insideH w:val="single" w:color="FFD965" w:themeColor="accent4" w:themeTint="99" w:sz="4" w:space="0"/>
        <w:insideV w:val="single" w:color="FFD965" w:themeColor="accent4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  <w:tblStylePr w:type="neCell">
      <w:tcPr>
        <w:tcBorders>
          <w:bottom w:val="single" w:color="FFD965" w:themeColor="accent4" w:themeTint="99" w:sz="4" w:space="0"/>
        </w:tcBorders>
      </w:tcPr>
    </w:tblStylePr>
    <w:tblStylePr w:type="nwCell">
      <w:tcPr>
        <w:tcBorders>
          <w:bottom w:val="single" w:color="FFD965" w:themeColor="accent4" w:themeTint="99" w:sz="4" w:space="0"/>
        </w:tcBorders>
      </w:tcPr>
    </w:tblStylePr>
    <w:tblStylePr w:type="seCell">
      <w:tcPr>
        <w:tcBorders>
          <w:top w:val="single" w:color="FFD965" w:themeColor="accent4" w:themeTint="99" w:sz="4" w:space="0"/>
        </w:tcBorders>
      </w:tcPr>
    </w:tblStylePr>
    <w:tblStylePr w:type="swCell">
      <w:tcPr>
        <w:tcBorders>
          <w:top w:val="single" w:color="FFD965" w:themeColor="accent4" w:themeTint="99" w:sz="4" w:space="0"/>
        </w:tcBorders>
      </w:tcPr>
    </w:tblStylePr>
  </w:style>
  <w:style w:type="table" w:customStyle="1" w:styleId="311">
    <w:name w:val="网格表 3 - 着色 51"/>
    <w:basedOn w:val="88"/>
    <w:uiPriority w:val="48"/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  <w:tblStylePr w:type="neCell">
      <w:tcPr>
        <w:tcBorders>
          <w:bottom w:val="single" w:color="8EAADB" w:themeColor="accent5" w:themeTint="99" w:sz="4" w:space="0"/>
        </w:tcBorders>
      </w:tcPr>
    </w:tblStylePr>
    <w:tblStylePr w:type="nwCell">
      <w:tcPr>
        <w:tcBorders>
          <w:bottom w:val="single" w:color="8EAADB" w:themeColor="accent5" w:themeTint="99" w:sz="4" w:space="0"/>
        </w:tcBorders>
      </w:tcPr>
    </w:tblStylePr>
    <w:tblStylePr w:type="seCell">
      <w:tcPr>
        <w:tcBorders>
          <w:top w:val="single" w:color="8EAADB" w:themeColor="accent5" w:themeTint="99" w:sz="4" w:space="0"/>
        </w:tcBorders>
      </w:tcPr>
    </w:tblStylePr>
    <w:tblStylePr w:type="swCell">
      <w:tcPr>
        <w:tcBorders>
          <w:top w:val="single" w:color="8EAADB" w:themeColor="accent5" w:themeTint="99" w:sz="4" w:space="0"/>
        </w:tcBorders>
      </w:tcPr>
    </w:tblStylePr>
  </w:style>
  <w:style w:type="table" w:customStyle="1" w:styleId="312">
    <w:name w:val="网格表 3 - 着色 61"/>
    <w:basedOn w:val="88"/>
    <w:uiPriority w:val="48"/>
    <w:tblPr>
      <w:tblBorders>
        <w:top w:val="single" w:color="A8D08D" w:themeColor="accent6" w:themeTint="99" w:sz="4" w:space="0"/>
        <w:left w:val="single" w:color="A8D08D" w:themeColor="accent6" w:themeTint="99" w:sz="4" w:space="0"/>
        <w:bottom w:val="single" w:color="A8D08D" w:themeColor="accent6" w:themeTint="99" w:sz="4" w:space="0"/>
        <w:right w:val="single" w:color="A8D08D" w:themeColor="accent6" w:themeTint="99" w:sz="4" w:space="0"/>
        <w:insideH w:val="single" w:color="A8D08D" w:themeColor="accent6" w:themeTint="99" w:sz="4" w:space="0"/>
        <w:insideV w:val="single" w:color="A8D08D" w:themeColor="accent6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E2EFD9" w:themeFill="accent6" w:themeFillTint="33"/>
      </w:tcPr>
    </w:tblStylePr>
    <w:tblStylePr w:type="band1Horz">
      <w:tcPr>
        <w:shd w:val="clear" w:color="auto" w:fill="E2EFD9" w:themeFill="accent6" w:themeFillTint="33"/>
      </w:tcPr>
    </w:tblStylePr>
    <w:tblStylePr w:type="neCell">
      <w:tcPr>
        <w:tcBorders>
          <w:bottom w:val="single" w:color="A8D08D" w:themeColor="accent6" w:themeTint="99" w:sz="4" w:space="0"/>
        </w:tcBorders>
      </w:tcPr>
    </w:tblStylePr>
    <w:tblStylePr w:type="nwCell">
      <w:tcPr>
        <w:tcBorders>
          <w:bottom w:val="single" w:color="A8D08D" w:themeColor="accent6" w:themeTint="99" w:sz="4" w:space="0"/>
        </w:tcBorders>
      </w:tcPr>
    </w:tblStylePr>
    <w:tblStylePr w:type="seCell">
      <w:tcPr>
        <w:tcBorders>
          <w:top w:val="single" w:color="A8D08D" w:themeColor="accent6" w:themeTint="99" w:sz="4" w:space="0"/>
        </w:tcBorders>
      </w:tcPr>
    </w:tblStylePr>
    <w:tblStylePr w:type="swCell">
      <w:tcPr>
        <w:tcBorders>
          <w:top w:val="single" w:color="A8D08D" w:themeColor="accent6" w:themeTint="99" w:sz="4" w:space="0"/>
        </w:tcBorders>
      </w:tcPr>
    </w:tblStylePr>
  </w:style>
  <w:style w:type="table" w:customStyle="1" w:styleId="313">
    <w:name w:val="网格表 41"/>
    <w:basedOn w:val="88"/>
    <w:uiPriority w:val="49"/>
    <w:tblPr>
      <w:tblBorders>
        <w:top w:val="single" w:color="666666" w:themeColor="text1" w:themeTint="99" w:sz="4" w:space="0"/>
        <w:left w:val="single" w:color="666666" w:themeColor="text1" w:themeTint="99" w:sz="4" w:space="0"/>
        <w:bottom w:val="single" w:color="666666" w:themeColor="text1" w:themeTint="99" w:sz="4" w:space="0"/>
        <w:right w:val="single" w:color="666666" w:themeColor="text1" w:themeTint="99" w:sz="4" w:space="0"/>
        <w:insideH w:val="single" w:color="666666" w:themeColor="text1" w:themeTint="99" w:sz="4" w:space="0"/>
        <w:insideV w:val="single" w:color="666666" w:themeColor="tex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cPr>
        <w:tcBorders>
          <w:top w:val="double" w:color="000000" w:themeColor="tex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314">
    <w:name w:val="网格表 4 - 着色 11"/>
    <w:basedOn w:val="88"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315">
    <w:name w:val="网格表 4 - 着色 21"/>
    <w:basedOn w:val="88"/>
    <w:uiPriority w:val="49"/>
    <w:tblPr>
      <w:tblBorders>
        <w:top w:val="single" w:color="F4B083" w:themeColor="accent2" w:themeTint="99" w:sz="4" w:space="0"/>
        <w:left w:val="single" w:color="F4B083" w:themeColor="accent2" w:themeTint="99" w:sz="4" w:space="0"/>
        <w:bottom w:val="single" w:color="F4B083" w:themeColor="accent2" w:themeTint="99" w:sz="4" w:space="0"/>
        <w:right w:val="single" w:color="F4B083" w:themeColor="accent2" w:themeTint="99" w:sz="4" w:space="0"/>
        <w:insideH w:val="single" w:color="F4B083" w:themeColor="accent2" w:themeTint="99" w:sz="4" w:space="0"/>
        <w:insideV w:val="single" w:color="F4B083" w:themeColor="accent2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ED7D31" w:themeColor="accent2" w:sz="4" w:space="0"/>
          <w:left w:val="single" w:color="ED7D31" w:themeColor="accent2" w:sz="4" w:space="0"/>
          <w:bottom w:val="single" w:color="ED7D31" w:themeColor="accent2" w:sz="4" w:space="0"/>
          <w:right w:val="single" w:color="ED7D31" w:themeColor="accent2" w:sz="4" w:space="0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cPr>
        <w:tcBorders>
          <w:top w:val="double" w:color="ED7D31" w:themeColor="accent2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316">
    <w:name w:val="网格表 4 - 着色 31"/>
    <w:basedOn w:val="88"/>
    <w:uiPriority w:val="49"/>
    <w:tblPr>
      <w:tblBorders>
        <w:top w:val="single" w:color="C8C8C8" w:themeColor="accent3" w:themeTint="99" w:sz="4" w:space="0"/>
        <w:left w:val="single" w:color="C8C8C8" w:themeColor="accent3" w:themeTint="99" w:sz="4" w:space="0"/>
        <w:bottom w:val="single" w:color="C8C8C8" w:themeColor="accent3" w:themeTint="99" w:sz="4" w:space="0"/>
        <w:right w:val="single" w:color="C8C8C8" w:themeColor="accent3" w:themeTint="99" w:sz="4" w:space="0"/>
        <w:insideH w:val="single" w:color="C8C8C8" w:themeColor="accent3" w:themeTint="99" w:sz="4" w:space="0"/>
        <w:insideV w:val="single" w:color="C8C8C8" w:themeColor="accent3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A5A5A5" w:themeColor="accent3" w:sz="4" w:space="0"/>
          <w:left w:val="single" w:color="A5A5A5" w:themeColor="accent3" w:sz="4" w:space="0"/>
          <w:bottom w:val="single" w:color="A5A5A5" w:themeColor="accent3" w:sz="4" w:space="0"/>
          <w:right w:val="single" w:color="A5A5A5" w:themeColor="accent3" w:sz="4" w:space="0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cPr>
        <w:tcBorders>
          <w:top w:val="double" w:color="A5A5A5" w:themeColor="accent3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CECEC" w:themeFill="accent3" w:themeFillTint="33"/>
      </w:tcPr>
    </w:tblStylePr>
    <w:tblStylePr w:type="band1Horz">
      <w:tcPr>
        <w:shd w:val="clear" w:color="auto" w:fill="ECECEC" w:themeFill="accent3" w:themeFillTint="33"/>
      </w:tcPr>
    </w:tblStylePr>
  </w:style>
  <w:style w:type="table" w:customStyle="1" w:styleId="317">
    <w:name w:val="网格表 4 - 着色 41"/>
    <w:basedOn w:val="88"/>
    <w:uiPriority w:val="49"/>
    <w:tblPr>
      <w:tblBorders>
        <w:top w:val="single" w:color="FFD965" w:themeColor="accent4" w:themeTint="99" w:sz="4" w:space="0"/>
        <w:left w:val="single" w:color="FFD965" w:themeColor="accent4" w:themeTint="99" w:sz="4" w:space="0"/>
        <w:bottom w:val="single" w:color="FFD965" w:themeColor="accent4" w:themeTint="99" w:sz="4" w:space="0"/>
        <w:right w:val="single" w:color="FFD965" w:themeColor="accent4" w:themeTint="99" w:sz="4" w:space="0"/>
        <w:insideH w:val="single" w:color="FFD965" w:themeColor="accent4" w:themeTint="99" w:sz="4" w:space="0"/>
        <w:insideV w:val="single" w:color="FFD965" w:themeColor="accent4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C000" w:themeColor="accent4" w:sz="4" w:space="0"/>
          <w:left w:val="single" w:color="FFC000" w:themeColor="accent4" w:sz="4" w:space="0"/>
          <w:bottom w:val="single" w:color="FFC000" w:themeColor="accent4" w:sz="4" w:space="0"/>
          <w:right w:val="single" w:color="FFC000" w:themeColor="accent4" w:sz="4" w:space="0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</w:rPr>
      <w:tcPr>
        <w:tcBorders>
          <w:top w:val="double" w:color="FFC000" w:themeColor="accent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318">
    <w:name w:val="网格表 4 - 着色 51"/>
    <w:basedOn w:val="88"/>
    <w:uiPriority w:val="49"/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319">
    <w:name w:val="网格表 4 - 着色 61"/>
    <w:basedOn w:val="88"/>
    <w:uiPriority w:val="49"/>
    <w:tblPr>
      <w:tblBorders>
        <w:top w:val="single" w:color="A8D08D" w:themeColor="accent6" w:themeTint="99" w:sz="4" w:space="0"/>
        <w:left w:val="single" w:color="A8D08D" w:themeColor="accent6" w:themeTint="99" w:sz="4" w:space="0"/>
        <w:bottom w:val="single" w:color="A8D08D" w:themeColor="accent6" w:themeTint="99" w:sz="4" w:space="0"/>
        <w:right w:val="single" w:color="A8D08D" w:themeColor="accent6" w:themeTint="99" w:sz="4" w:space="0"/>
        <w:insideH w:val="single" w:color="A8D08D" w:themeColor="accent6" w:themeTint="99" w:sz="4" w:space="0"/>
        <w:insideV w:val="single" w:color="A8D08D" w:themeColor="accent6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70AD47" w:themeColor="accent6" w:sz="4" w:space="0"/>
          <w:left w:val="single" w:color="70AD47" w:themeColor="accent6" w:sz="4" w:space="0"/>
          <w:bottom w:val="single" w:color="70AD47" w:themeColor="accent6" w:sz="4" w:space="0"/>
          <w:right w:val="single" w:color="70AD47" w:themeColor="accent6" w:sz="4" w:space="0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cPr>
        <w:tcBorders>
          <w:top w:val="double" w:color="70AD47" w:themeColor="accent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2EFD9" w:themeFill="accent6" w:themeFillTint="33"/>
      </w:tcPr>
    </w:tblStylePr>
    <w:tblStylePr w:type="band1Horz">
      <w:tcPr>
        <w:shd w:val="clear" w:color="auto" w:fill="E2EFD9" w:themeFill="accent6" w:themeFillTint="33"/>
      </w:tcPr>
    </w:tblStylePr>
  </w:style>
  <w:style w:type="table" w:customStyle="1" w:styleId="320">
    <w:name w:val="网格表 5 深色1"/>
    <w:basedOn w:val="88"/>
    <w:uiPriority w:val="50"/>
    <w:tblPr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000000" w:themeFill="text1"/>
      </w:tcPr>
    </w:tblStylePr>
    <w:tblStylePr w:type="band1Vert">
      <w:tcPr>
        <w:shd w:val="clear" w:color="auto" w:fill="999999" w:themeFill="text1" w:themeFillTint="66"/>
      </w:tcPr>
    </w:tblStylePr>
    <w:tblStylePr w:type="band1Horz">
      <w:tcPr>
        <w:shd w:val="clear" w:color="auto" w:fill="999999" w:themeFill="text1" w:themeFillTint="66"/>
      </w:tcPr>
    </w:tblStylePr>
  </w:style>
  <w:style w:type="table" w:customStyle="1" w:styleId="321">
    <w:name w:val="网格表 5 深色 - 着色 11"/>
    <w:basedOn w:val="88"/>
    <w:uiPriority w:val="50"/>
    <w:tblPr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DEEAF6" w:themeFill="accent1" w:themeFillTint="33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5B9BD5" w:themeFill="accent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5B9BD5" w:themeFill="accent1"/>
      </w:tcPr>
    </w:tblStylePr>
    <w:tblStylePr w:type="band1Vert">
      <w:tcPr>
        <w:shd w:val="clear" w:color="auto" w:fill="BDD6EE" w:themeFill="accent1" w:themeFillTint="66"/>
      </w:tcPr>
    </w:tblStylePr>
    <w:tblStylePr w:type="band1Horz">
      <w:tcPr>
        <w:shd w:val="clear" w:color="auto" w:fill="BDD6EE" w:themeFill="accent1" w:themeFillTint="66"/>
      </w:tcPr>
    </w:tblStylePr>
  </w:style>
  <w:style w:type="table" w:customStyle="1" w:styleId="322">
    <w:name w:val="网格表 5 深色 - 着色 21"/>
    <w:basedOn w:val="88"/>
    <w:uiPriority w:val="50"/>
    <w:tblPr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BE4D5" w:themeFill="accent2" w:themeFillTint="33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ED7D31" w:themeFill="accent2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ED7D31" w:themeFill="accent2"/>
      </w:tcPr>
    </w:tblStylePr>
    <w:tblStylePr w:type="band1Vert">
      <w:tcPr>
        <w:shd w:val="clear" w:color="auto" w:fill="F7CAAC" w:themeFill="accent2" w:themeFillTint="66"/>
      </w:tcPr>
    </w:tblStylePr>
    <w:tblStylePr w:type="band1Horz">
      <w:tcPr>
        <w:shd w:val="clear" w:color="auto" w:fill="F7CAAC" w:themeFill="accent2" w:themeFillTint="66"/>
      </w:tcPr>
    </w:tblStylePr>
  </w:style>
  <w:style w:type="table" w:customStyle="1" w:styleId="323">
    <w:name w:val="网格表 5 深色 - 着色 31"/>
    <w:basedOn w:val="88"/>
    <w:uiPriority w:val="50"/>
    <w:tblPr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A5A5A5" w:themeFill="accent3"/>
      </w:tcPr>
    </w:tblStylePr>
    <w:tblStylePr w:type="band1Vert">
      <w:tcPr>
        <w:shd w:val="clear" w:color="auto" w:fill="DADADA" w:themeFill="accent3" w:themeFillTint="66"/>
      </w:tcPr>
    </w:tblStylePr>
    <w:tblStylePr w:type="band1Horz">
      <w:tcPr>
        <w:shd w:val="clear" w:color="auto" w:fill="DADADA" w:themeFill="accent3" w:themeFillTint="66"/>
      </w:tcPr>
    </w:tblStylePr>
  </w:style>
  <w:style w:type="table" w:customStyle="1" w:styleId="324">
    <w:name w:val="网格表 5 深色 - 着色 41"/>
    <w:basedOn w:val="88"/>
    <w:uiPriority w:val="50"/>
    <w:tblPr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EF2CC" w:themeFill="accent4" w:themeFillTint="33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FFC000" w:themeFill="accent4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FFC000" w:themeFill="accent4"/>
      </w:tcPr>
    </w:tblStylePr>
    <w:tblStylePr w:type="band1Vert">
      <w:tcPr>
        <w:shd w:val="clear" w:color="auto" w:fill="FFE599" w:themeFill="accent4" w:themeFillTint="66"/>
      </w:tcPr>
    </w:tblStylePr>
    <w:tblStylePr w:type="band1Horz">
      <w:tcPr>
        <w:shd w:val="clear" w:color="auto" w:fill="FFE599" w:themeFill="accent4" w:themeFillTint="66"/>
      </w:tcPr>
    </w:tblStylePr>
  </w:style>
  <w:style w:type="table" w:customStyle="1" w:styleId="325">
    <w:name w:val="网格表 5 深色 - 着色 51"/>
    <w:basedOn w:val="88"/>
    <w:uiPriority w:val="50"/>
    <w:tblPr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4472C4" w:themeFill="accent5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4472C4" w:themeFill="accent5"/>
      </w:tcPr>
    </w:tblStylePr>
    <w:tblStylePr w:type="band1Vert">
      <w:tcPr>
        <w:shd w:val="clear" w:color="auto" w:fill="B4C6E7" w:themeFill="accent5" w:themeFillTint="66"/>
      </w:tcPr>
    </w:tblStylePr>
    <w:tblStylePr w:type="band1Horz">
      <w:tcPr>
        <w:shd w:val="clear" w:color="auto" w:fill="B4C6E7" w:themeFill="accent5" w:themeFillTint="66"/>
      </w:tcPr>
    </w:tblStylePr>
  </w:style>
  <w:style w:type="table" w:customStyle="1" w:styleId="326">
    <w:name w:val="网格表 5 深色 - 着色 61"/>
    <w:basedOn w:val="88"/>
    <w:uiPriority w:val="50"/>
    <w:tblPr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70AD47" w:themeFill="accent6"/>
      </w:tcPr>
    </w:tblStylePr>
    <w:tblStylePr w:type="band1Vert">
      <w:tcPr>
        <w:shd w:val="clear" w:color="auto" w:fill="C5E0B3" w:themeFill="accent6" w:themeFillTint="66"/>
      </w:tcPr>
    </w:tblStylePr>
    <w:tblStylePr w:type="band1Horz">
      <w:tcPr>
        <w:shd w:val="clear" w:color="auto" w:fill="C5E0B3" w:themeFill="accent6" w:themeFillTint="66"/>
      </w:tcPr>
    </w:tblStylePr>
  </w:style>
  <w:style w:type="table" w:customStyle="1" w:styleId="327">
    <w:name w:val="网格表 6 彩色1"/>
    <w:basedOn w:val="88"/>
    <w:uiPriority w:val="51"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666666" w:themeColor="text1" w:themeTint="99" w:sz="4" w:space="0"/>
        <w:left w:val="single" w:color="666666" w:themeColor="text1" w:themeTint="99" w:sz="4" w:space="0"/>
        <w:bottom w:val="single" w:color="666666" w:themeColor="text1" w:themeTint="99" w:sz="4" w:space="0"/>
        <w:right w:val="single" w:color="666666" w:themeColor="text1" w:themeTint="99" w:sz="4" w:space="0"/>
        <w:insideH w:val="single" w:color="666666" w:themeColor="text1" w:themeTint="99" w:sz="4" w:space="0"/>
        <w:insideV w:val="single" w:color="666666" w:themeColor="text1" w:themeTint="99" w:sz="4" w:space="0"/>
      </w:tblBorders>
    </w:tblPr>
    <w:tblStylePr w:type="firstRow">
      <w:rPr>
        <w:b/>
        <w:bCs/>
      </w:rPr>
      <w:tcPr>
        <w:tcBorders>
          <w:bottom w:val="single" w:color="666666" w:themeColor="text1" w:themeTint="99" w:sz="12" w:space="0"/>
        </w:tcBorders>
      </w:tcPr>
    </w:tblStylePr>
    <w:tblStylePr w:type="lastRow">
      <w:rPr>
        <w:b/>
        <w:bCs/>
      </w:rPr>
      <w:tcPr>
        <w:tcBorders>
          <w:top w:val="double" w:color="666666" w:themeColor="text1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328">
    <w:name w:val="网格表 6 彩色 - 着色 11"/>
    <w:basedOn w:val="88"/>
    <w:uiPriority w:val="51"/>
    <w:rPr>
      <w:color w:val="2E75B6" w:themeColor="accent1" w:themeShade="BF"/>
    </w:rPr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</w:rPr>
      <w:tcPr>
        <w:tcBorders>
          <w:bottom w:val="single" w:color="9CC2E5" w:themeColor="accent1" w:themeTint="99" w:sz="12" w:space="0"/>
        </w:tcBorders>
      </w:tcPr>
    </w:tblStylePr>
    <w:tblStylePr w:type="lastRow">
      <w:rPr>
        <w:b/>
        <w:bCs/>
      </w:rPr>
      <w:tcPr>
        <w:tcBorders>
          <w:top w:val="double" w:color="9CC2E5" w:themeColor="accent1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329">
    <w:name w:val="网格表 6 彩色 - 着色 21"/>
    <w:basedOn w:val="88"/>
    <w:uiPriority w:val="51"/>
    <w:rPr>
      <w:color w:val="C55A11" w:themeColor="accent2" w:themeShade="BF"/>
    </w:rPr>
    <w:tblPr>
      <w:tblBorders>
        <w:top w:val="single" w:color="F4B083" w:themeColor="accent2" w:themeTint="99" w:sz="4" w:space="0"/>
        <w:left w:val="single" w:color="F4B083" w:themeColor="accent2" w:themeTint="99" w:sz="4" w:space="0"/>
        <w:bottom w:val="single" w:color="F4B083" w:themeColor="accent2" w:themeTint="99" w:sz="4" w:space="0"/>
        <w:right w:val="single" w:color="F4B083" w:themeColor="accent2" w:themeTint="99" w:sz="4" w:space="0"/>
        <w:insideH w:val="single" w:color="F4B083" w:themeColor="accent2" w:themeTint="99" w:sz="4" w:space="0"/>
        <w:insideV w:val="single" w:color="F4B083" w:themeColor="accent2" w:themeTint="99" w:sz="4" w:space="0"/>
      </w:tblBorders>
    </w:tblPr>
    <w:tblStylePr w:type="firstRow">
      <w:rPr>
        <w:b/>
        <w:bCs/>
      </w:rPr>
      <w:tcPr>
        <w:tcBorders>
          <w:bottom w:val="single" w:color="F4B083" w:themeColor="accent2" w:themeTint="99" w:sz="12" w:space="0"/>
        </w:tcBorders>
      </w:tcPr>
    </w:tblStylePr>
    <w:tblStylePr w:type="lastRow">
      <w:rPr>
        <w:b/>
        <w:bCs/>
      </w:rPr>
      <w:tcPr>
        <w:tcBorders>
          <w:top w:val="double" w:color="F4B083" w:themeColor="accent2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330">
    <w:name w:val="网格表 6 彩色 - 着色 31"/>
    <w:basedOn w:val="88"/>
    <w:uiPriority w:val="51"/>
    <w:rPr>
      <w:color w:val="7C7C7C" w:themeColor="accent3" w:themeShade="BF"/>
    </w:rPr>
    <w:tblPr>
      <w:tblBorders>
        <w:top w:val="single" w:color="C8C8C8" w:themeColor="accent3" w:themeTint="99" w:sz="4" w:space="0"/>
        <w:left w:val="single" w:color="C8C8C8" w:themeColor="accent3" w:themeTint="99" w:sz="4" w:space="0"/>
        <w:bottom w:val="single" w:color="C8C8C8" w:themeColor="accent3" w:themeTint="99" w:sz="4" w:space="0"/>
        <w:right w:val="single" w:color="C8C8C8" w:themeColor="accent3" w:themeTint="99" w:sz="4" w:space="0"/>
        <w:insideH w:val="single" w:color="C8C8C8" w:themeColor="accent3" w:themeTint="99" w:sz="4" w:space="0"/>
        <w:insideV w:val="single" w:color="C8C8C8" w:themeColor="accent3" w:themeTint="99" w:sz="4" w:space="0"/>
      </w:tblBorders>
    </w:tblPr>
    <w:tblStylePr w:type="firstRow">
      <w:rPr>
        <w:b/>
        <w:bCs/>
      </w:rPr>
      <w:tcPr>
        <w:tcBorders>
          <w:bottom w:val="single" w:color="C8C8C8" w:themeColor="accent3" w:themeTint="99" w:sz="12" w:space="0"/>
        </w:tcBorders>
      </w:tcPr>
    </w:tblStylePr>
    <w:tblStylePr w:type="lastRow">
      <w:rPr>
        <w:b/>
        <w:bCs/>
      </w:rPr>
      <w:tcPr>
        <w:tcBorders>
          <w:top w:val="double" w:color="C8C8C8" w:themeColor="accent3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CECEC" w:themeFill="accent3" w:themeFillTint="33"/>
      </w:tcPr>
    </w:tblStylePr>
    <w:tblStylePr w:type="band1Horz">
      <w:tcPr>
        <w:shd w:val="clear" w:color="auto" w:fill="ECECEC" w:themeFill="accent3" w:themeFillTint="33"/>
      </w:tcPr>
    </w:tblStylePr>
  </w:style>
  <w:style w:type="table" w:customStyle="1" w:styleId="331">
    <w:name w:val="网格表 6 彩色 - 着色 41"/>
    <w:basedOn w:val="88"/>
    <w:uiPriority w:val="51"/>
    <w:rPr>
      <w:color w:val="BF9000" w:themeColor="accent4" w:themeShade="BF"/>
    </w:rPr>
    <w:tblPr>
      <w:tblBorders>
        <w:top w:val="single" w:color="FFD965" w:themeColor="accent4" w:themeTint="99" w:sz="4" w:space="0"/>
        <w:left w:val="single" w:color="FFD965" w:themeColor="accent4" w:themeTint="99" w:sz="4" w:space="0"/>
        <w:bottom w:val="single" w:color="FFD965" w:themeColor="accent4" w:themeTint="99" w:sz="4" w:space="0"/>
        <w:right w:val="single" w:color="FFD965" w:themeColor="accent4" w:themeTint="99" w:sz="4" w:space="0"/>
        <w:insideH w:val="single" w:color="FFD965" w:themeColor="accent4" w:themeTint="99" w:sz="4" w:space="0"/>
        <w:insideV w:val="single" w:color="FFD965" w:themeColor="accent4" w:themeTint="99" w:sz="4" w:space="0"/>
      </w:tblBorders>
    </w:tblPr>
    <w:tblStylePr w:type="firstRow">
      <w:rPr>
        <w:b/>
        <w:bCs/>
      </w:rPr>
      <w:tcPr>
        <w:tcBorders>
          <w:bottom w:val="single" w:color="FFD965" w:themeColor="accent4" w:themeTint="99" w:sz="12" w:space="0"/>
        </w:tcBorders>
      </w:tcPr>
    </w:tblStylePr>
    <w:tblStylePr w:type="lastRow">
      <w:rPr>
        <w:b/>
        <w:bCs/>
      </w:rPr>
      <w:tcPr>
        <w:tcBorders>
          <w:top w:val="double" w:color="FFD965" w:themeColor="accent4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332">
    <w:name w:val="网格表 6 彩色 - 着色 51"/>
    <w:basedOn w:val="88"/>
    <w:uiPriority w:val="51"/>
    <w:rPr>
      <w:color w:val="2F5597" w:themeColor="accent5" w:themeShade="BF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</w:rPr>
      <w:tcPr>
        <w:tcBorders>
          <w:bottom w:val="single" w:color="8EAADB" w:themeColor="accent5" w:themeTint="99" w:sz="12" w:space="0"/>
        </w:tcBorders>
      </w:tcPr>
    </w:tblStylePr>
    <w:tblStylePr w:type="lastRow">
      <w:rPr>
        <w:b/>
        <w:bCs/>
      </w:rPr>
      <w:tcPr>
        <w:tcBorders>
          <w:top w:val="doub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333">
    <w:name w:val="网格表 6 彩色 - 着色 61"/>
    <w:basedOn w:val="88"/>
    <w:uiPriority w:val="51"/>
    <w:rPr>
      <w:color w:val="548235" w:themeColor="accent6" w:themeShade="BF"/>
    </w:rPr>
    <w:tblPr>
      <w:tblBorders>
        <w:top w:val="single" w:color="A8D08D" w:themeColor="accent6" w:themeTint="99" w:sz="4" w:space="0"/>
        <w:left w:val="single" w:color="A8D08D" w:themeColor="accent6" w:themeTint="99" w:sz="4" w:space="0"/>
        <w:bottom w:val="single" w:color="A8D08D" w:themeColor="accent6" w:themeTint="99" w:sz="4" w:space="0"/>
        <w:right w:val="single" w:color="A8D08D" w:themeColor="accent6" w:themeTint="99" w:sz="4" w:space="0"/>
        <w:insideH w:val="single" w:color="A8D08D" w:themeColor="accent6" w:themeTint="99" w:sz="4" w:space="0"/>
        <w:insideV w:val="single" w:color="A8D08D" w:themeColor="accent6" w:themeTint="99" w:sz="4" w:space="0"/>
      </w:tblBorders>
    </w:tblPr>
    <w:tblStylePr w:type="firstRow">
      <w:rPr>
        <w:b/>
        <w:bCs/>
      </w:rPr>
      <w:tcPr>
        <w:tcBorders>
          <w:bottom w:val="single" w:color="A8D08D" w:themeColor="accent6" w:themeTint="99" w:sz="12" w:space="0"/>
        </w:tcBorders>
      </w:tcPr>
    </w:tblStylePr>
    <w:tblStylePr w:type="lastRow">
      <w:rPr>
        <w:b/>
        <w:bCs/>
      </w:rPr>
      <w:tcPr>
        <w:tcBorders>
          <w:top w:val="double" w:color="A8D08D" w:themeColor="accent6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2EFD9" w:themeFill="accent6" w:themeFillTint="33"/>
      </w:tcPr>
    </w:tblStylePr>
    <w:tblStylePr w:type="band1Horz">
      <w:tcPr>
        <w:shd w:val="clear" w:color="auto" w:fill="E2EFD9" w:themeFill="accent6" w:themeFillTint="33"/>
      </w:tcPr>
    </w:tblStylePr>
  </w:style>
  <w:style w:type="table" w:customStyle="1" w:styleId="334">
    <w:name w:val="网格表 7 彩色1"/>
    <w:basedOn w:val="88"/>
    <w:uiPriority w:val="52"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666666" w:themeColor="text1" w:themeTint="99" w:sz="4" w:space="0"/>
        <w:left w:val="single" w:color="666666" w:themeColor="text1" w:themeTint="99" w:sz="4" w:space="0"/>
        <w:bottom w:val="single" w:color="666666" w:themeColor="text1" w:themeTint="99" w:sz="4" w:space="0"/>
        <w:right w:val="single" w:color="666666" w:themeColor="text1" w:themeTint="99" w:sz="4" w:space="0"/>
        <w:insideH w:val="single" w:color="666666" w:themeColor="text1" w:themeTint="99" w:sz="4" w:space="0"/>
        <w:insideV w:val="single" w:color="666666" w:themeColor="text1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  <w:tblStylePr w:type="neCell">
      <w:tcPr>
        <w:tcBorders>
          <w:bottom w:val="single" w:color="666666" w:themeColor="text1" w:themeTint="99" w:sz="4" w:space="0"/>
        </w:tcBorders>
      </w:tcPr>
    </w:tblStylePr>
    <w:tblStylePr w:type="nwCell">
      <w:tcPr>
        <w:tcBorders>
          <w:bottom w:val="single" w:color="666666" w:themeColor="text1" w:themeTint="99" w:sz="4" w:space="0"/>
        </w:tcBorders>
      </w:tcPr>
    </w:tblStylePr>
    <w:tblStylePr w:type="seCell">
      <w:tcPr>
        <w:tcBorders>
          <w:top w:val="single" w:color="666666" w:themeColor="text1" w:themeTint="99" w:sz="4" w:space="0"/>
        </w:tcBorders>
      </w:tcPr>
    </w:tblStylePr>
    <w:tblStylePr w:type="swCell">
      <w:tcPr>
        <w:tcBorders>
          <w:top w:val="single" w:color="666666" w:themeColor="text1" w:themeTint="99" w:sz="4" w:space="0"/>
        </w:tcBorders>
      </w:tcPr>
    </w:tblStylePr>
  </w:style>
  <w:style w:type="table" w:customStyle="1" w:styleId="335">
    <w:name w:val="网格表 7 彩色 - 着色 11"/>
    <w:basedOn w:val="88"/>
    <w:uiPriority w:val="52"/>
    <w:rPr>
      <w:color w:val="2E75B6" w:themeColor="accent1" w:themeShade="BF"/>
    </w:rPr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eCell">
      <w:tcPr>
        <w:tcBorders>
          <w:bottom w:val="single" w:color="9CC2E5" w:themeColor="accent1" w:themeTint="99" w:sz="4" w:space="0"/>
        </w:tcBorders>
      </w:tcPr>
    </w:tblStylePr>
    <w:tblStylePr w:type="nwCell">
      <w:tcPr>
        <w:tcBorders>
          <w:bottom w:val="single" w:color="9CC2E5" w:themeColor="accent1" w:themeTint="99" w:sz="4" w:space="0"/>
        </w:tcBorders>
      </w:tcPr>
    </w:tblStylePr>
    <w:tblStylePr w:type="seCell">
      <w:tcPr>
        <w:tcBorders>
          <w:top w:val="single" w:color="9CC2E5" w:themeColor="accent1" w:themeTint="99" w:sz="4" w:space="0"/>
        </w:tcBorders>
      </w:tcPr>
    </w:tblStylePr>
    <w:tblStylePr w:type="swCell">
      <w:tcPr>
        <w:tcBorders>
          <w:top w:val="single" w:color="9CC2E5" w:themeColor="accent1" w:themeTint="99" w:sz="4" w:space="0"/>
        </w:tcBorders>
      </w:tcPr>
    </w:tblStylePr>
  </w:style>
  <w:style w:type="table" w:customStyle="1" w:styleId="336">
    <w:name w:val="网格表 7 彩色 - 着色 21"/>
    <w:basedOn w:val="88"/>
    <w:uiPriority w:val="52"/>
    <w:rPr>
      <w:color w:val="C55A11" w:themeColor="accent2" w:themeShade="BF"/>
    </w:rPr>
    <w:tblPr>
      <w:tblBorders>
        <w:top w:val="single" w:color="F4B083" w:themeColor="accent2" w:themeTint="99" w:sz="4" w:space="0"/>
        <w:left w:val="single" w:color="F4B083" w:themeColor="accent2" w:themeTint="99" w:sz="4" w:space="0"/>
        <w:bottom w:val="single" w:color="F4B083" w:themeColor="accent2" w:themeTint="99" w:sz="4" w:space="0"/>
        <w:right w:val="single" w:color="F4B083" w:themeColor="accent2" w:themeTint="99" w:sz="4" w:space="0"/>
        <w:insideH w:val="single" w:color="F4B083" w:themeColor="accent2" w:themeTint="99" w:sz="4" w:space="0"/>
        <w:insideV w:val="single" w:color="F4B083" w:themeColor="accent2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  <w:tblStylePr w:type="neCell">
      <w:tcPr>
        <w:tcBorders>
          <w:bottom w:val="single" w:color="F4B083" w:themeColor="accent2" w:themeTint="99" w:sz="4" w:space="0"/>
        </w:tcBorders>
      </w:tcPr>
    </w:tblStylePr>
    <w:tblStylePr w:type="nwCell">
      <w:tcPr>
        <w:tcBorders>
          <w:bottom w:val="single" w:color="F4B083" w:themeColor="accent2" w:themeTint="99" w:sz="4" w:space="0"/>
        </w:tcBorders>
      </w:tcPr>
    </w:tblStylePr>
    <w:tblStylePr w:type="seCell">
      <w:tcPr>
        <w:tcBorders>
          <w:top w:val="single" w:color="F4B083" w:themeColor="accent2" w:themeTint="99" w:sz="4" w:space="0"/>
        </w:tcBorders>
      </w:tcPr>
    </w:tblStylePr>
    <w:tblStylePr w:type="swCell">
      <w:tcPr>
        <w:tcBorders>
          <w:top w:val="single" w:color="F4B083" w:themeColor="accent2" w:themeTint="99" w:sz="4" w:space="0"/>
        </w:tcBorders>
      </w:tcPr>
    </w:tblStylePr>
  </w:style>
  <w:style w:type="table" w:customStyle="1" w:styleId="337">
    <w:name w:val="网格表 7 彩色 - 着色 31"/>
    <w:basedOn w:val="88"/>
    <w:uiPriority w:val="52"/>
    <w:rPr>
      <w:color w:val="7C7C7C" w:themeColor="accent3" w:themeShade="BF"/>
    </w:rPr>
    <w:tblPr>
      <w:tblBorders>
        <w:top w:val="single" w:color="C8C8C8" w:themeColor="accent3" w:themeTint="99" w:sz="4" w:space="0"/>
        <w:left w:val="single" w:color="C8C8C8" w:themeColor="accent3" w:themeTint="99" w:sz="4" w:space="0"/>
        <w:bottom w:val="single" w:color="C8C8C8" w:themeColor="accent3" w:themeTint="99" w:sz="4" w:space="0"/>
        <w:right w:val="single" w:color="C8C8C8" w:themeColor="accent3" w:themeTint="99" w:sz="4" w:space="0"/>
        <w:insideH w:val="single" w:color="C8C8C8" w:themeColor="accent3" w:themeTint="99" w:sz="4" w:space="0"/>
        <w:insideV w:val="single" w:color="C8C8C8" w:themeColor="accent3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ECECEC" w:themeFill="accent3" w:themeFillTint="33"/>
      </w:tcPr>
    </w:tblStylePr>
    <w:tblStylePr w:type="band1Horz">
      <w:tcPr>
        <w:shd w:val="clear" w:color="auto" w:fill="ECECEC" w:themeFill="accent3" w:themeFillTint="33"/>
      </w:tcPr>
    </w:tblStylePr>
    <w:tblStylePr w:type="neCell">
      <w:tcPr>
        <w:tcBorders>
          <w:bottom w:val="single" w:color="C8C8C8" w:themeColor="accent3" w:themeTint="99" w:sz="4" w:space="0"/>
        </w:tcBorders>
      </w:tcPr>
    </w:tblStylePr>
    <w:tblStylePr w:type="nwCell">
      <w:tcPr>
        <w:tcBorders>
          <w:bottom w:val="single" w:color="C8C8C8" w:themeColor="accent3" w:themeTint="99" w:sz="4" w:space="0"/>
        </w:tcBorders>
      </w:tcPr>
    </w:tblStylePr>
    <w:tblStylePr w:type="seCell">
      <w:tcPr>
        <w:tcBorders>
          <w:top w:val="single" w:color="C8C8C8" w:themeColor="accent3" w:themeTint="99" w:sz="4" w:space="0"/>
        </w:tcBorders>
      </w:tcPr>
    </w:tblStylePr>
    <w:tblStylePr w:type="swCell">
      <w:tcPr>
        <w:tcBorders>
          <w:top w:val="single" w:color="C8C8C8" w:themeColor="accent3" w:themeTint="99" w:sz="4" w:space="0"/>
        </w:tcBorders>
      </w:tcPr>
    </w:tblStylePr>
  </w:style>
  <w:style w:type="table" w:customStyle="1" w:styleId="338">
    <w:name w:val="网格表 7 彩色 - 着色 41"/>
    <w:basedOn w:val="88"/>
    <w:uiPriority w:val="52"/>
    <w:rPr>
      <w:color w:val="BF9000" w:themeColor="accent4" w:themeShade="BF"/>
    </w:rPr>
    <w:tblPr>
      <w:tblBorders>
        <w:top w:val="single" w:color="FFD965" w:themeColor="accent4" w:themeTint="99" w:sz="4" w:space="0"/>
        <w:left w:val="single" w:color="FFD965" w:themeColor="accent4" w:themeTint="99" w:sz="4" w:space="0"/>
        <w:bottom w:val="single" w:color="FFD965" w:themeColor="accent4" w:themeTint="99" w:sz="4" w:space="0"/>
        <w:right w:val="single" w:color="FFD965" w:themeColor="accent4" w:themeTint="99" w:sz="4" w:space="0"/>
        <w:insideH w:val="single" w:color="FFD965" w:themeColor="accent4" w:themeTint="99" w:sz="4" w:space="0"/>
        <w:insideV w:val="single" w:color="FFD965" w:themeColor="accent4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  <w:tblStylePr w:type="neCell">
      <w:tcPr>
        <w:tcBorders>
          <w:bottom w:val="single" w:color="FFD965" w:themeColor="accent4" w:themeTint="99" w:sz="4" w:space="0"/>
        </w:tcBorders>
      </w:tcPr>
    </w:tblStylePr>
    <w:tblStylePr w:type="nwCell">
      <w:tcPr>
        <w:tcBorders>
          <w:bottom w:val="single" w:color="FFD965" w:themeColor="accent4" w:themeTint="99" w:sz="4" w:space="0"/>
        </w:tcBorders>
      </w:tcPr>
    </w:tblStylePr>
    <w:tblStylePr w:type="seCell">
      <w:tcPr>
        <w:tcBorders>
          <w:top w:val="single" w:color="FFD965" w:themeColor="accent4" w:themeTint="99" w:sz="4" w:space="0"/>
        </w:tcBorders>
      </w:tcPr>
    </w:tblStylePr>
    <w:tblStylePr w:type="swCell">
      <w:tcPr>
        <w:tcBorders>
          <w:top w:val="single" w:color="FFD965" w:themeColor="accent4" w:themeTint="99" w:sz="4" w:space="0"/>
        </w:tcBorders>
      </w:tcPr>
    </w:tblStylePr>
  </w:style>
  <w:style w:type="table" w:customStyle="1" w:styleId="339">
    <w:name w:val="网格表 7 彩色 - 着色 51"/>
    <w:basedOn w:val="88"/>
    <w:uiPriority w:val="52"/>
    <w:rPr>
      <w:color w:val="2F5597" w:themeColor="accent5" w:themeShade="BF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  <w:tblStylePr w:type="neCell">
      <w:tcPr>
        <w:tcBorders>
          <w:bottom w:val="single" w:color="8EAADB" w:themeColor="accent5" w:themeTint="99" w:sz="4" w:space="0"/>
        </w:tcBorders>
      </w:tcPr>
    </w:tblStylePr>
    <w:tblStylePr w:type="nwCell">
      <w:tcPr>
        <w:tcBorders>
          <w:bottom w:val="single" w:color="8EAADB" w:themeColor="accent5" w:themeTint="99" w:sz="4" w:space="0"/>
        </w:tcBorders>
      </w:tcPr>
    </w:tblStylePr>
    <w:tblStylePr w:type="seCell">
      <w:tcPr>
        <w:tcBorders>
          <w:top w:val="single" w:color="8EAADB" w:themeColor="accent5" w:themeTint="99" w:sz="4" w:space="0"/>
        </w:tcBorders>
      </w:tcPr>
    </w:tblStylePr>
    <w:tblStylePr w:type="swCell">
      <w:tcPr>
        <w:tcBorders>
          <w:top w:val="single" w:color="8EAADB" w:themeColor="accent5" w:themeTint="99" w:sz="4" w:space="0"/>
        </w:tcBorders>
      </w:tcPr>
    </w:tblStylePr>
  </w:style>
  <w:style w:type="table" w:customStyle="1" w:styleId="340">
    <w:name w:val="网格表 7 彩色 - 着色 61"/>
    <w:basedOn w:val="88"/>
    <w:uiPriority w:val="52"/>
    <w:rPr>
      <w:color w:val="548235" w:themeColor="accent6" w:themeShade="BF"/>
    </w:rPr>
    <w:tblPr>
      <w:tblBorders>
        <w:top w:val="single" w:color="A8D08D" w:themeColor="accent6" w:themeTint="99" w:sz="4" w:space="0"/>
        <w:left w:val="single" w:color="A8D08D" w:themeColor="accent6" w:themeTint="99" w:sz="4" w:space="0"/>
        <w:bottom w:val="single" w:color="A8D08D" w:themeColor="accent6" w:themeTint="99" w:sz="4" w:space="0"/>
        <w:right w:val="single" w:color="A8D08D" w:themeColor="accent6" w:themeTint="99" w:sz="4" w:space="0"/>
        <w:insideH w:val="single" w:color="A8D08D" w:themeColor="accent6" w:themeTint="99" w:sz="4" w:space="0"/>
        <w:insideV w:val="single" w:color="A8D08D" w:themeColor="accent6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E2EFD9" w:themeFill="accent6" w:themeFillTint="33"/>
      </w:tcPr>
    </w:tblStylePr>
    <w:tblStylePr w:type="band1Horz">
      <w:tcPr>
        <w:shd w:val="clear" w:color="auto" w:fill="E2EFD9" w:themeFill="accent6" w:themeFillTint="33"/>
      </w:tcPr>
    </w:tblStylePr>
    <w:tblStylePr w:type="neCell">
      <w:tcPr>
        <w:tcBorders>
          <w:bottom w:val="single" w:color="A8D08D" w:themeColor="accent6" w:themeTint="99" w:sz="4" w:space="0"/>
        </w:tcBorders>
      </w:tcPr>
    </w:tblStylePr>
    <w:tblStylePr w:type="nwCell">
      <w:tcPr>
        <w:tcBorders>
          <w:bottom w:val="single" w:color="A8D08D" w:themeColor="accent6" w:themeTint="99" w:sz="4" w:space="0"/>
        </w:tcBorders>
      </w:tcPr>
    </w:tblStylePr>
    <w:tblStylePr w:type="seCell">
      <w:tcPr>
        <w:tcBorders>
          <w:top w:val="single" w:color="A8D08D" w:themeColor="accent6" w:themeTint="99" w:sz="4" w:space="0"/>
        </w:tcBorders>
      </w:tcPr>
    </w:tblStylePr>
    <w:tblStylePr w:type="swCell">
      <w:tcPr>
        <w:tcBorders>
          <w:top w:val="single" w:color="A8D08D" w:themeColor="accent6" w:themeTint="99" w:sz="4" w:space="0"/>
        </w:tcBorders>
      </w:tcPr>
    </w:tblStylePr>
  </w:style>
  <w:style w:type="character" w:customStyle="1" w:styleId="341">
    <w:name w:val="井号标签1"/>
    <w:basedOn w:val="231"/>
    <w:uiPriority w:val="0"/>
    <w:rPr>
      <w:color w:val="2B579A"/>
      <w:shd w:val="clear" w:color="auto" w:fill="E1DFDD"/>
    </w:rPr>
  </w:style>
  <w:style w:type="character" w:customStyle="1" w:styleId="342">
    <w:name w:val="HTML 地址 字符"/>
    <w:basedOn w:val="231"/>
    <w:link w:val="41"/>
    <w:uiPriority w:val="0"/>
    <w:rPr>
      <w:rFonts w:asciiTheme="minorHAnsi" w:hAnsiTheme="minorHAnsi" w:eastAsiaTheme="minorEastAsia" w:cstheme="minorBidi"/>
      <w:i/>
      <w:iCs/>
      <w:kern w:val="2"/>
      <w:sz w:val="21"/>
      <w:szCs w:val="24"/>
    </w:rPr>
  </w:style>
  <w:style w:type="character" w:customStyle="1" w:styleId="343">
    <w:name w:val="HTML 预设格式 字符"/>
    <w:basedOn w:val="231"/>
    <w:link w:val="80"/>
    <w:uiPriority w:val="0"/>
    <w:rPr>
      <w:rFonts w:ascii="Consolas" w:hAnsi="Consolas" w:eastAsiaTheme="minorEastAsia" w:cstheme="minorBidi"/>
      <w:kern w:val="2"/>
    </w:rPr>
  </w:style>
  <w:style w:type="character" w:customStyle="1" w:styleId="344">
    <w:name w:val="明显强调1"/>
    <w:basedOn w:val="231"/>
    <w:qFormat/>
    <w:uiPriority w:val="21"/>
    <w:rPr>
      <w:i/>
      <w:iCs/>
      <w:color w:val="5B9BD5" w:themeColor="accent1"/>
      <w14:textFill>
        <w14:solidFill>
          <w14:schemeClr w14:val="accent1"/>
        </w14:solidFill>
      </w14:textFill>
    </w:rPr>
  </w:style>
  <w:style w:type="paragraph" w:styleId="345">
    <w:name w:val="Intense Quote"/>
    <w:basedOn w:val="1"/>
    <w:next w:val="1"/>
    <w:link w:val="346"/>
    <w:uiPriority w:val="99"/>
    <w:pPr>
      <w:pBdr>
        <w:top w:val="single" w:color="5B9BD5" w:themeColor="accent1" w:sz="4" w:space="10"/>
        <w:bottom w:val="single" w:color="5B9BD5" w:themeColor="accent1" w:sz="4" w:space="10"/>
      </w:pBdr>
      <w:spacing w:before="360" w:after="360"/>
      <w:ind w:left="864" w:right="864"/>
      <w:jc w:val="center"/>
    </w:pPr>
    <w:rPr>
      <w:i/>
      <w:iCs/>
      <w:color w:val="5B9BD5" w:themeColor="accent1"/>
      <w14:textFill>
        <w14:solidFill>
          <w14:schemeClr w14:val="accent1"/>
        </w14:solidFill>
      </w14:textFill>
    </w:rPr>
  </w:style>
  <w:style w:type="character" w:customStyle="1" w:styleId="346">
    <w:name w:val="明显引用 字符"/>
    <w:basedOn w:val="231"/>
    <w:link w:val="345"/>
    <w:uiPriority w:val="99"/>
    <w:rPr>
      <w:rFonts w:asciiTheme="minorHAnsi" w:hAnsiTheme="minorHAnsi" w:eastAsiaTheme="minorEastAsia" w:cstheme="minorBidi"/>
      <w:i/>
      <w:iCs/>
      <w:color w:val="5B9BD5" w:themeColor="accent1"/>
      <w:kern w:val="2"/>
      <w:sz w:val="21"/>
      <w:szCs w:val="24"/>
      <w14:textFill>
        <w14:solidFill>
          <w14:schemeClr w14:val="accent1"/>
        </w14:solidFill>
      </w14:textFill>
    </w:rPr>
  </w:style>
  <w:style w:type="character" w:customStyle="1" w:styleId="347">
    <w:name w:val="明显参考1"/>
    <w:basedOn w:val="231"/>
    <w:qFormat/>
    <w:uiPriority w:val="32"/>
    <w:rPr>
      <w:b/>
      <w:bCs/>
      <w:smallCaps/>
      <w:color w:val="5B9BD5" w:themeColor="accent1"/>
      <w:spacing w:val="5"/>
      <w14:textFill>
        <w14:solidFill>
          <w14:schemeClr w14:val="accent1"/>
        </w14:solidFill>
      </w14:textFill>
    </w:rPr>
  </w:style>
  <w:style w:type="paragraph" w:styleId="348">
    <w:name w:val="List Paragraph"/>
    <w:basedOn w:val="1"/>
    <w:uiPriority w:val="99"/>
    <w:pPr>
      <w:ind w:left="720"/>
      <w:contextualSpacing/>
    </w:pPr>
  </w:style>
  <w:style w:type="table" w:customStyle="1" w:styleId="349">
    <w:name w:val="清单表 1 浅色1"/>
    <w:basedOn w:val="88"/>
    <w:uiPriority w:val="46"/>
    <w:tblStylePr w:type="firstRow">
      <w:rPr>
        <w:b/>
        <w:bCs/>
      </w:rPr>
      <w:tcPr>
        <w:tcBorders>
          <w:bottom w:val="single" w:color="666666" w:themeColor="text1" w:themeTint="99" w:sz="4" w:space="0"/>
        </w:tcBorders>
      </w:tcPr>
    </w:tblStylePr>
    <w:tblStylePr w:type="lastRow">
      <w:rPr>
        <w:b/>
        <w:bCs/>
      </w:rPr>
      <w:tcPr>
        <w:tcBorders>
          <w:top w:val="single" w:color="666666" w:themeColor="text1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350">
    <w:name w:val="清单表 1 浅色 - 着色 11"/>
    <w:basedOn w:val="88"/>
    <w:uiPriority w:val="46"/>
    <w:tblStylePr w:type="firstRow">
      <w:rPr>
        <w:b/>
        <w:bCs/>
      </w:rPr>
      <w:tcPr>
        <w:tcBorders>
          <w:bottom w:val="single" w:color="9CC2E5" w:themeColor="accent1" w:themeTint="99" w:sz="4" w:space="0"/>
        </w:tcBorders>
      </w:tcPr>
    </w:tblStylePr>
    <w:tblStylePr w:type="lastRow">
      <w:rPr>
        <w:b/>
        <w:bCs/>
      </w:rPr>
      <w:tcPr>
        <w:tcBorders>
          <w:top w:val="single" w:color="9CC2E5" w:themeColor="accent1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351">
    <w:name w:val="清单表 1 浅色 - 着色 21"/>
    <w:basedOn w:val="88"/>
    <w:uiPriority w:val="46"/>
    <w:tblStylePr w:type="firstRow">
      <w:rPr>
        <w:b/>
        <w:bCs/>
      </w:rPr>
      <w:tcPr>
        <w:tcBorders>
          <w:bottom w:val="single" w:color="F4B083" w:themeColor="accent2" w:themeTint="99" w:sz="4" w:space="0"/>
        </w:tcBorders>
      </w:tcPr>
    </w:tblStylePr>
    <w:tblStylePr w:type="lastRow">
      <w:rPr>
        <w:b/>
        <w:bCs/>
      </w:rPr>
      <w:tcPr>
        <w:tcBorders>
          <w:top w:val="single" w:color="F4B083" w:themeColor="accent2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352">
    <w:name w:val="清单表 1 浅色 - 着色 31"/>
    <w:basedOn w:val="88"/>
    <w:uiPriority w:val="46"/>
    <w:tblStylePr w:type="firstRow">
      <w:rPr>
        <w:b/>
        <w:bCs/>
      </w:rPr>
      <w:tcPr>
        <w:tcBorders>
          <w:bottom w:val="single" w:color="C8C8C8" w:themeColor="accent3" w:themeTint="99" w:sz="4" w:space="0"/>
        </w:tcBorders>
      </w:tcPr>
    </w:tblStylePr>
    <w:tblStylePr w:type="lastRow">
      <w:rPr>
        <w:b/>
        <w:bCs/>
      </w:rPr>
      <w:tcPr>
        <w:tcBorders>
          <w:top w:val="single" w:color="C8C8C8" w:themeColor="accent3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CECEC" w:themeFill="accent3" w:themeFillTint="33"/>
      </w:tcPr>
    </w:tblStylePr>
    <w:tblStylePr w:type="band1Horz">
      <w:tcPr>
        <w:shd w:val="clear" w:color="auto" w:fill="ECECEC" w:themeFill="accent3" w:themeFillTint="33"/>
      </w:tcPr>
    </w:tblStylePr>
  </w:style>
  <w:style w:type="table" w:customStyle="1" w:styleId="353">
    <w:name w:val="清单表 1 浅色 - 着色 41"/>
    <w:basedOn w:val="88"/>
    <w:uiPriority w:val="46"/>
    <w:tblStylePr w:type="firstRow">
      <w:rPr>
        <w:b/>
        <w:bCs/>
      </w:rPr>
      <w:tcPr>
        <w:tcBorders>
          <w:bottom w:val="single" w:color="FFD965" w:themeColor="accent4" w:themeTint="99" w:sz="4" w:space="0"/>
        </w:tcBorders>
      </w:tcPr>
    </w:tblStylePr>
    <w:tblStylePr w:type="lastRow">
      <w:rPr>
        <w:b/>
        <w:bCs/>
      </w:rPr>
      <w:tcPr>
        <w:tcBorders>
          <w:top w:val="single" w:color="FFD965" w:themeColor="accent4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354">
    <w:name w:val="清单表 1 浅色 - 着色 51"/>
    <w:basedOn w:val="88"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355">
    <w:name w:val="清单表 1 浅色 - 着色 61"/>
    <w:basedOn w:val="88"/>
    <w:uiPriority w:val="46"/>
    <w:tblStylePr w:type="firstRow">
      <w:rPr>
        <w:b/>
        <w:bCs/>
      </w:rPr>
      <w:tcPr>
        <w:tcBorders>
          <w:bottom w:val="single" w:color="A8D08D" w:themeColor="accent6" w:themeTint="99" w:sz="4" w:space="0"/>
        </w:tcBorders>
      </w:tcPr>
    </w:tblStylePr>
    <w:tblStylePr w:type="lastRow">
      <w:rPr>
        <w:b/>
        <w:bCs/>
      </w:rPr>
      <w:tcPr>
        <w:tcBorders>
          <w:top w:val="single" w:color="A8D08D" w:themeColor="accent6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2EFD9" w:themeFill="accent6" w:themeFillTint="33"/>
      </w:tcPr>
    </w:tblStylePr>
    <w:tblStylePr w:type="band1Horz">
      <w:tcPr>
        <w:shd w:val="clear" w:color="auto" w:fill="E2EFD9" w:themeFill="accent6" w:themeFillTint="33"/>
      </w:tcPr>
    </w:tblStylePr>
  </w:style>
  <w:style w:type="table" w:customStyle="1" w:styleId="356">
    <w:name w:val="清单表 21"/>
    <w:basedOn w:val="88"/>
    <w:uiPriority w:val="47"/>
    <w:tblPr>
      <w:tblBorders>
        <w:top w:val="single" w:color="666666" w:themeColor="text1" w:themeTint="99" w:sz="4" w:space="0"/>
        <w:bottom w:val="single" w:color="666666" w:themeColor="text1" w:themeTint="99" w:sz="4" w:space="0"/>
        <w:insideH w:val="single" w:color="666666" w:themeColor="text1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357">
    <w:name w:val="清单表 2 - 着色 11"/>
    <w:basedOn w:val="88"/>
    <w:uiPriority w:val="47"/>
    <w:tblPr>
      <w:tblBorders>
        <w:top w:val="single" w:color="9CC2E5" w:themeColor="accent1" w:themeTint="99" w:sz="4" w:space="0"/>
        <w:bottom w:val="single" w:color="9CC2E5" w:themeColor="accent1" w:themeTint="99" w:sz="4" w:space="0"/>
        <w:insideH w:val="single" w:color="9CC2E5" w:themeColor="accent1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358">
    <w:name w:val="清单表 2 - 着色 21"/>
    <w:basedOn w:val="88"/>
    <w:uiPriority w:val="47"/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359">
    <w:name w:val="清单表 2 - 着色 31"/>
    <w:basedOn w:val="88"/>
    <w:uiPriority w:val="47"/>
    <w:tblPr>
      <w:tblBorders>
        <w:top w:val="single" w:color="C8C8C8" w:themeColor="accent3" w:themeTint="99" w:sz="4" w:space="0"/>
        <w:bottom w:val="single" w:color="C8C8C8" w:themeColor="accent3" w:themeTint="99" w:sz="4" w:space="0"/>
        <w:insideH w:val="single" w:color="C8C8C8" w:themeColor="accent3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CECEC" w:themeFill="accent3" w:themeFillTint="33"/>
      </w:tcPr>
    </w:tblStylePr>
    <w:tblStylePr w:type="band1Horz">
      <w:tcPr>
        <w:shd w:val="clear" w:color="auto" w:fill="ECECEC" w:themeFill="accent3" w:themeFillTint="33"/>
      </w:tcPr>
    </w:tblStylePr>
  </w:style>
  <w:style w:type="table" w:customStyle="1" w:styleId="360">
    <w:name w:val="清单表 2 - 着色 41"/>
    <w:basedOn w:val="88"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361">
    <w:name w:val="清单表 2 - 着色 51"/>
    <w:basedOn w:val="88"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362">
    <w:name w:val="清单表 2 - 着色 61"/>
    <w:basedOn w:val="88"/>
    <w:uiPriority w:val="47"/>
    <w:tblPr>
      <w:tblBorders>
        <w:top w:val="single" w:color="A8D08D" w:themeColor="accent6" w:themeTint="99" w:sz="4" w:space="0"/>
        <w:bottom w:val="single" w:color="A8D08D" w:themeColor="accent6" w:themeTint="99" w:sz="4" w:space="0"/>
        <w:insideH w:val="single" w:color="A8D08D" w:themeColor="accent6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2EFD9" w:themeFill="accent6" w:themeFillTint="33"/>
      </w:tcPr>
    </w:tblStylePr>
    <w:tblStylePr w:type="band1Horz">
      <w:tcPr>
        <w:shd w:val="clear" w:color="auto" w:fill="E2EFD9" w:themeFill="accent6" w:themeFillTint="33"/>
      </w:tcPr>
    </w:tblStylePr>
  </w:style>
  <w:style w:type="table" w:customStyle="1" w:styleId="363">
    <w:name w:val="清单表 31"/>
    <w:basedOn w:val="88"/>
    <w:uiPriority w:val="48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000000" w:themeFill="text1"/>
      </w:tcPr>
    </w:tblStylePr>
    <w:tblStylePr w:type="lastRow">
      <w:rPr>
        <w:b/>
        <w:bCs/>
      </w:rPr>
      <w:tcPr>
        <w:tcBorders>
          <w:top w:val="double" w:color="000000" w:themeColor="text1" w:sz="4" w:space="0"/>
        </w:tcBorders>
        <w:shd w:val="clear" w:color="auto" w:fill="FFFFFF" w:themeFill="background1"/>
      </w:tcPr>
    </w:tblStylePr>
    <w:tblStylePr w:type="firstCol">
      <w:rPr>
        <w:b/>
        <w:bCs/>
      </w:rPr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cPr>
        <w:tcBorders>
          <w:left w:val="nil"/>
        </w:tcBorders>
        <w:shd w:val="clear" w:color="auto" w:fill="FFFFFF" w:themeFill="background1"/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1Horz">
      <w:tcPr>
        <w:tcBorders>
          <w:top w:val="single" w:color="000000" w:themeColor="text1" w:sz="4" w:space="0"/>
          <w:bottom w:val="single" w:color="000000" w:themeColor="text1" w:sz="4" w:space="0"/>
          <w:insideH w:val="nil"/>
        </w:tcBorders>
      </w:tcPr>
    </w:tblStylePr>
    <w:tblStylePr w:type="neCell">
      <w:tcPr>
        <w:tcBorders>
          <w:left w:val="nil"/>
          <w:bottom w:val="nil"/>
        </w:tcBorders>
      </w:tcPr>
    </w:tblStylePr>
    <w:tblStylePr w:type="nwCell">
      <w:tcPr>
        <w:tcBorders>
          <w:bottom w:val="nil"/>
          <w:right w:val="nil"/>
        </w:tcBorders>
      </w:tcPr>
    </w:tblStylePr>
    <w:tblStylePr w:type="seCell">
      <w:tcPr>
        <w:tcBorders>
          <w:top w:val="double" w:color="000000" w:themeColor="text1" w:sz="4" w:space="0"/>
          <w:left w:val="nil"/>
        </w:tcBorders>
      </w:tcPr>
    </w:tblStylePr>
    <w:tblStylePr w:type="swCell">
      <w:tcPr>
        <w:tcBorders>
          <w:top w:val="double" w:color="000000" w:themeColor="text1" w:sz="4" w:space="0"/>
          <w:right w:val="nil"/>
        </w:tcBorders>
      </w:tcPr>
    </w:tblStylePr>
  </w:style>
  <w:style w:type="table" w:customStyle="1" w:styleId="364">
    <w:name w:val="清单表 3 - 着色 11"/>
    <w:basedOn w:val="88"/>
    <w:uiPriority w:val="48"/>
    <w:tblPr>
      <w:tblBorders>
        <w:top w:val="single" w:color="5B9BD5" w:themeColor="accent1" w:sz="4" w:space="0"/>
        <w:left w:val="single" w:color="5B9BD5" w:themeColor="accent1" w:sz="4" w:space="0"/>
        <w:bottom w:val="single" w:color="5B9BD5" w:themeColor="accent1" w:sz="4" w:space="0"/>
        <w:right w:val="single" w:color="5B9BD5" w:themeColor="accent1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  <w:shd w:val="clear" w:color="auto" w:fill="FFFFFF" w:themeFill="background1"/>
      </w:tcPr>
    </w:tblStylePr>
    <w:tblStylePr w:type="firstCol">
      <w:rPr>
        <w:b/>
        <w:bCs/>
      </w:rPr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cPr>
        <w:tcBorders>
          <w:left w:val="nil"/>
        </w:tcBorders>
        <w:shd w:val="clear" w:color="auto" w:fill="FFFFFF" w:themeFill="background1"/>
      </w:tcPr>
    </w:tblStylePr>
    <w:tblStylePr w:type="band1Vert">
      <w:tcPr>
        <w:tcBorders>
          <w:left w:val="single" w:color="5B9BD5" w:themeColor="accent1" w:sz="4" w:space="0"/>
          <w:right w:val="single" w:color="5B9BD5" w:themeColor="accent1" w:sz="4" w:space="0"/>
        </w:tcBorders>
      </w:tcPr>
    </w:tblStylePr>
    <w:tblStylePr w:type="band1Horz">
      <w:tcPr>
        <w:tcBorders>
          <w:top w:val="single" w:color="5B9BD5" w:themeColor="accent1" w:sz="4" w:space="0"/>
          <w:bottom w:val="single" w:color="5B9BD5" w:themeColor="accent1" w:sz="4" w:space="0"/>
          <w:insideH w:val="nil"/>
        </w:tcBorders>
      </w:tcPr>
    </w:tblStylePr>
    <w:tblStylePr w:type="neCell">
      <w:tcPr>
        <w:tcBorders>
          <w:left w:val="nil"/>
          <w:bottom w:val="nil"/>
        </w:tcBorders>
      </w:tcPr>
    </w:tblStylePr>
    <w:tblStylePr w:type="nwCell">
      <w:tcPr>
        <w:tcBorders>
          <w:bottom w:val="nil"/>
          <w:right w:val="nil"/>
        </w:tcBorders>
      </w:tcPr>
    </w:tblStylePr>
    <w:tblStylePr w:type="seCell">
      <w:tcPr>
        <w:tcBorders>
          <w:top w:val="double" w:color="5B9BD5" w:themeColor="accent1" w:sz="4" w:space="0"/>
          <w:left w:val="nil"/>
        </w:tcBorders>
      </w:tcPr>
    </w:tblStylePr>
    <w:tblStylePr w:type="swCell">
      <w:tcPr>
        <w:tcBorders>
          <w:top w:val="double" w:color="5B9BD5" w:themeColor="accent1" w:sz="4" w:space="0"/>
          <w:right w:val="nil"/>
        </w:tcBorders>
      </w:tcPr>
    </w:tblStylePr>
  </w:style>
  <w:style w:type="table" w:customStyle="1" w:styleId="365">
    <w:name w:val="清单表 3 - 着色 21"/>
    <w:basedOn w:val="88"/>
    <w:uiPriority w:val="48"/>
    <w:tblPr>
      <w:tblBorders>
        <w:top w:val="single" w:color="ED7D31" w:themeColor="accent2" w:sz="4" w:space="0"/>
        <w:left w:val="single" w:color="ED7D31" w:themeColor="accent2" w:sz="4" w:space="0"/>
        <w:bottom w:val="single" w:color="ED7D31" w:themeColor="accent2" w:sz="4" w:space="0"/>
        <w:right w:val="single" w:color="ED7D31" w:themeColor="accent2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ED7D31" w:themeFill="accent2"/>
      </w:tcPr>
    </w:tblStylePr>
    <w:tblStylePr w:type="lastRow">
      <w:rPr>
        <w:b/>
        <w:bCs/>
      </w:rPr>
      <w:tcPr>
        <w:tcBorders>
          <w:top w:val="double" w:color="ED7D31" w:themeColor="accent2" w:sz="4" w:space="0"/>
        </w:tcBorders>
        <w:shd w:val="clear" w:color="auto" w:fill="FFFFFF" w:themeFill="background1"/>
      </w:tcPr>
    </w:tblStylePr>
    <w:tblStylePr w:type="firstCol">
      <w:rPr>
        <w:b/>
        <w:bCs/>
      </w:rPr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cPr>
        <w:tcBorders>
          <w:left w:val="nil"/>
        </w:tcBorders>
        <w:shd w:val="clear" w:color="auto" w:fill="FFFFFF" w:themeFill="background1"/>
      </w:tcPr>
    </w:tblStylePr>
    <w:tblStylePr w:type="band1Vert">
      <w:tcPr>
        <w:tcBorders>
          <w:left w:val="single" w:color="ED7D31" w:themeColor="accent2" w:sz="4" w:space="0"/>
          <w:right w:val="single" w:color="ED7D31" w:themeColor="accent2" w:sz="4" w:space="0"/>
        </w:tcBorders>
      </w:tcPr>
    </w:tblStylePr>
    <w:tblStylePr w:type="band1Horz">
      <w:tcPr>
        <w:tcBorders>
          <w:top w:val="single" w:color="ED7D31" w:themeColor="accent2" w:sz="4" w:space="0"/>
          <w:bottom w:val="single" w:color="ED7D31" w:themeColor="accent2" w:sz="4" w:space="0"/>
          <w:insideH w:val="nil"/>
        </w:tcBorders>
      </w:tcPr>
    </w:tblStylePr>
    <w:tblStylePr w:type="neCell">
      <w:tcPr>
        <w:tcBorders>
          <w:left w:val="nil"/>
          <w:bottom w:val="nil"/>
        </w:tcBorders>
      </w:tcPr>
    </w:tblStylePr>
    <w:tblStylePr w:type="nwCell">
      <w:tcPr>
        <w:tcBorders>
          <w:bottom w:val="nil"/>
          <w:right w:val="nil"/>
        </w:tcBorders>
      </w:tcPr>
    </w:tblStylePr>
    <w:tblStylePr w:type="seCell">
      <w:tcPr>
        <w:tcBorders>
          <w:top w:val="double" w:color="ED7D31" w:themeColor="accent2" w:sz="4" w:space="0"/>
          <w:left w:val="nil"/>
        </w:tcBorders>
      </w:tcPr>
    </w:tblStylePr>
    <w:tblStylePr w:type="swCell">
      <w:tcPr>
        <w:tcBorders>
          <w:top w:val="double" w:color="ED7D31" w:themeColor="accent2" w:sz="4" w:space="0"/>
          <w:right w:val="nil"/>
        </w:tcBorders>
      </w:tcPr>
    </w:tblStylePr>
  </w:style>
  <w:style w:type="table" w:customStyle="1" w:styleId="366">
    <w:name w:val="清单表 3 - 着色 31"/>
    <w:basedOn w:val="88"/>
    <w:uiPriority w:val="48"/>
    <w:tblPr>
      <w:tblBorders>
        <w:top w:val="single" w:color="A5A5A5" w:themeColor="accent3" w:sz="4" w:space="0"/>
        <w:left w:val="single" w:color="A5A5A5" w:themeColor="accent3" w:sz="4" w:space="0"/>
        <w:bottom w:val="single" w:color="A5A5A5" w:themeColor="accent3" w:sz="4" w:space="0"/>
        <w:right w:val="single" w:color="A5A5A5" w:themeColor="accent3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A5A5A5" w:themeFill="accent3"/>
      </w:tcPr>
    </w:tblStylePr>
    <w:tblStylePr w:type="lastRow">
      <w:rPr>
        <w:b/>
        <w:bCs/>
      </w:rPr>
      <w:tcPr>
        <w:tcBorders>
          <w:top w:val="double" w:color="A5A5A5" w:themeColor="accent3" w:sz="4" w:space="0"/>
        </w:tcBorders>
        <w:shd w:val="clear" w:color="auto" w:fill="FFFFFF" w:themeFill="background1"/>
      </w:tcPr>
    </w:tblStylePr>
    <w:tblStylePr w:type="firstCol">
      <w:rPr>
        <w:b/>
        <w:bCs/>
      </w:rPr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cPr>
        <w:tcBorders>
          <w:left w:val="nil"/>
        </w:tcBorders>
        <w:shd w:val="clear" w:color="auto" w:fill="FFFFFF" w:themeFill="background1"/>
      </w:tcPr>
    </w:tblStylePr>
    <w:tblStylePr w:type="band1Vert">
      <w:tcPr>
        <w:tcBorders>
          <w:left w:val="single" w:color="A5A5A5" w:themeColor="accent3" w:sz="4" w:space="0"/>
          <w:right w:val="single" w:color="A5A5A5" w:themeColor="accent3" w:sz="4" w:space="0"/>
        </w:tcBorders>
      </w:tcPr>
    </w:tblStylePr>
    <w:tblStylePr w:type="band1Horz">
      <w:tcPr>
        <w:tcBorders>
          <w:top w:val="single" w:color="A5A5A5" w:themeColor="accent3" w:sz="4" w:space="0"/>
          <w:bottom w:val="single" w:color="A5A5A5" w:themeColor="accent3" w:sz="4" w:space="0"/>
          <w:insideH w:val="nil"/>
        </w:tcBorders>
      </w:tcPr>
    </w:tblStylePr>
    <w:tblStylePr w:type="neCell">
      <w:tcPr>
        <w:tcBorders>
          <w:left w:val="nil"/>
          <w:bottom w:val="nil"/>
        </w:tcBorders>
      </w:tcPr>
    </w:tblStylePr>
    <w:tblStylePr w:type="nwCell">
      <w:tcPr>
        <w:tcBorders>
          <w:bottom w:val="nil"/>
          <w:right w:val="nil"/>
        </w:tcBorders>
      </w:tcPr>
    </w:tblStylePr>
    <w:tblStylePr w:type="seCell">
      <w:tcPr>
        <w:tcBorders>
          <w:top w:val="double" w:color="A5A5A5" w:themeColor="accent3" w:sz="4" w:space="0"/>
          <w:left w:val="nil"/>
        </w:tcBorders>
      </w:tcPr>
    </w:tblStylePr>
    <w:tblStylePr w:type="swCell">
      <w:tcPr>
        <w:tcBorders>
          <w:top w:val="double" w:color="A5A5A5" w:themeColor="accent3" w:sz="4" w:space="0"/>
          <w:right w:val="nil"/>
        </w:tcBorders>
      </w:tcPr>
    </w:tblStylePr>
  </w:style>
  <w:style w:type="table" w:customStyle="1" w:styleId="367">
    <w:name w:val="清单表 3 - 着色 41"/>
    <w:basedOn w:val="88"/>
    <w:uiPriority w:val="48"/>
    <w:tblPr>
      <w:tblBorders>
        <w:top w:val="single" w:color="FFC000" w:themeColor="accent4" w:sz="4" w:space="0"/>
        <w:left w:val="single" w:color="FFC000" w:themeColor="accent4" w:sz="4" w:space="0"/>
        <w:bottom w:val="single" w:color="FFC000" w:themeColor="accent4" w:sz="4" w:space="0"/>
        <w:right w:val="single" w:color="FFC000" w:themeColor="accent4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FFC000" w:themeFill="accent4"/>
      </w:tcPr>
    </w:tblStylePr>
    <w:tblStylePr w:type="lastRow">
      <w:rPr>
        <w:b/>
        <w:bCs/>
      </w:rPr>
      <w:tcPr>
        <w:tcBorders>
          <w:top w:val="double" w:color="FFC000" w:themeColor="accent4" w:sz="4" w:space="0"/>
        </w:tcBorders>
        <w:shd w:val="clear" w:color="auto" w:fill="FFFFFF" w:themeFill="background1"/>
      </w:tcPr>
    </w:tblStylePr>
    <w:tblStylePr w:type="firstCol">
      <w:rPr>
        <w:b/>
        <w:bCs/>
      </w:rPr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cPr>
        <w:tcBorders>
          <w:left w:val="nil"/>
        </w:tcBorders>
        <w:shd w:val="clear" w:color="auto" w:fill="FFFFFF" w:themeFill="background1"/>
      </w:tcPr>
    </w:tblStylePr>
    <w:tblStylePr w:type="band1Vert">
      <w:tcPr>
        <w:tcBorders>
          <w:left w:val="single" w:color="FFC000" w:themeColor="accent4" w:sz="4" w:space="0"/>
          <w:right w:val="single" w:color="FFC000" w:themeColor="accent4" w:sz="4" w:space="0"/>
        </w:tcBorders>
      </w:tcPr>
    </w:tblStylePr>
    <w:tblStylePr w:type="band1Horz">
      <w:tcPr>
        <w:tcBorders>
          <w:top w:val="single" w:color="FFC000" w:themeColor="accent4" w:sz="4" w:space="0"/>
          <w:bottom w:val="single" w:color="FFC000" w:themeColor="accent4" w:sz="4" w:space="0"/>
          <w:insideH w:val="nil"/>
        </w:tcBorders>
      </w:tcPr>
    </w:tblStylePr>
    <w:tblStylePr w:type="neCell">
      <w:tcPr>
        <w:tcBorders>
          <w:left w:val="nil"/>
          <w:bottom w:val="nil"/>
        </w:tcBorders>
      </w:tcPr>
    </w:tblStylePr>
    <w:tblStylePr w:type="nwCell">
      <w:tcPr>
        <w:tcBorders>
          <w:bottom w:val="nil"/>
          <w:right w:val="nil"/>
        </w:tcBorders>
      </w:tcPr>
    </w:tblStylePr>
    <w:tblStylePr w:type="seCell">
      <w:tcPr>
        <w:tcBorders>
          <w:top w:val="double" w:color="FFC000" w:themeColor="accent4" w:sz="4" w:space="0"/>
          <w:left w:val="nil"/>
        </w:tcBorders>
      </w:tcPr>
    </w:tblStylePr>
    <w:tblStylePr w:type="swCell">
      <w:tcPr>
        <w:tcBorders>
          <w:top w:val="double" w:color="FFC000" w:themeColor="accent4" w:sz="4" w:space="0"/>
          <w:right w:val="nil"/>
        </w:tcBorders>
      </w:tcPr>
    </w:tblStylePr>
  </w:style>
  <w:style w:type="table" w:customStyle="1" w:styleId="368">
    <w:name w:val="清单表 3 - 着色 51"/>
    <w:basedOn w:val="88"/>
    <w:uiPriority w:val="48"/>
    <w:tblPr>
      <w:tblBorders>
        <w:top w:val="single" w:color="4472C4" w:themeColor="accent5" w:sz="4" w:space="0"/>
        <w:left w:val="single" w:color="4472C4" w:themeColor="accent5" w:sz="4" w:space="0"/>
        <w:bottom w:val="single" w:color="4472C4" w:themeColor="accent5" w:sz="4" w:space="0"/>
        <w:right w:val="single" w:color="4472C4" w:themeColor="accent5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  <w:shd w:val="clear" w:color="auto" w:fill="FFFFFF" w:themeFill="background1"/>
      </w:tcPr>
    </w:tblStylePr>
    <w:tblStylePr w:type="firstCol">
      <w:rPr>
        <w:b/>
        <w:bCs/>
      </w:rPr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cPr>
        <w:tcBorders>
          <w:left w:val="nil"/>
        </w:tcBorders>
        <w:shd w:val="clear" w:color="auto" w:fill="FFFFFF" w:themeFill="background1"/>
      </w:tcPr>
    </w:tblStylePr>
    <w:tblStylePr w:type="band1Vert">
      <w:tcPr>
        <w:tcBorders>
          <w:left w:val="single" w:color="4472C4" w:themeColor="accent5" w:sz="4" w:space="0"/>
          <w:right w:val="single" w:color="4472C4" w:themeColor="accent5" w:sz="4" w:space="0"/>
        </w:tcBorders>
      </w:tcPr>
    </w:tblStylePr>
    <w:tblStylePr w:type="band1Horz">
      <w:tcPr>
        <w:tcBorders>
          <w:top w:val="single" w:color="4472C4" w:themeColor="accent5" w:sz="4" w:space="0"/>
          <w:bottom w:val="single" w:color="4472C4" w:themeColor="accent5" w:sz="4" w:space="0"/>
          <w:insideH w:val="nil"/>
        </w:tcBorders>
      </w:tcPr>
    </w:tblStylePr>
    <w:tblStylePr w:type="neCell">
      <w:tcPr>
        <w:tcBorders>
          <w:left w:val="nil"/>
          <w:bottom w:val="nil"/>
        </w:tcBorders>
      </w:tcPr>
    </w:tblStylePr>
    <w:tblStylePr w:type="nwCell">
      <w:tcPr>
        <w:tcBorders>
          <w:bottom w:val="nil"/>
          <w:right w:val="nil"/>
        </w:tcBorders>
      </w:tcPr>
    </w:tblStylePr>
    <w:tblStylePr w:type="seCell">
      <w:tcPr>
        <w:tcBorders>
          <w:top w:val="double" w:color="4472C4" w:themeColor="accent5" w:sz="4" w:space="0"/>
          <w:left w:val="nil"/>
        </w:tcBorders>
      </w:tcPr>
    </w:tblStylePr>
    <w:tblStylePr w:type="swCell">
      <w:tcPr>
        <w:tcBorders>
          <w:top w:val="double" w:color="4472C4" w:themeColor="accent5" w:sz="4" w:space="0"/>
          <w:right w:val="nil"/>
        </w:tcBorders>
      </w:tcPr>
    </w:tblStylePr>
  </w:style>
  <w:style w:type="table" w:customStyle="1" w:styleId="369">
    <w:name w:val="清单表 3 - 着色 61"/>
    <w:basedOn w:val="88"/>
    <w:uiPriority w:val="48"/>
    <w:tblPr>
      <w:tblBorders>
        <w:top w:val="single" w:color="70AD47" w:themeColor="accent6" w:sz="4" w:space="0"/>
        <w:left w:val="single" w:color="70AD47" w:themeColor="accent6" w:sz="4" w:space="0"/>
        <w:bottom w:val="single" w:color="70AD47" w:themeColor="accent6" w:sz="4" w:space="0"/>
        <w:right w:val="single" w:color="70AD47" w:themeColor="accent6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70AD47" w:themeFill="accent6"/>
      </w:tcPr>
    </w:tblStylePr>
    <w:tblStylePr w:type="lastRow">
      <w:rPr>
        <w:b/>
        <w:bCs/>
      </w:rPr>
      <w:tcPr>
        <w:tcBorders>
          <w:top w:val="double" w:color="70AD47" w:themeColor="accent6" w:sz="4" w:space="0"/>
        </w:tcBorders>
        <w:shd w:val="clear" w:color="auto" w:fill="FFFFFF" w:themeFill="background1"/>
      </w:tcPr>
    </w:tblStylePr>
    <w:tblStylePr w:type="firstCol">
      <w:rPr>
        <w:b/>
        <w:bCs/>
      </w:rPr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cPr>
        <w:tcBorders>
          <w:left w:val="nil"/>
        </w:tcBorders>
        <w:shd w:val="clear" w:color="auto" w:fill="FFFFFF" w:themeFill="background1"/>
      </w:tcPr>
    </w:tblStylePr>
    <w:tblStylePr w:type="band1Vert">
      <w:tcPr>
        <w:tcBorders>
          <w:left w:val="single" w:color="70AD47" w:themeColor="accent6" w:sz="4" w:space="0"/>
          <w:right w:val="single" w:color="70AD47" w:themeColor="accent6" w:sz="4" w:space="0"/>
        </w:tcBorders>
      </w:tcPr>
    </w:tblStylePr>
    <w:tblStylePr w:type="band1Horz">
      <w:tcPr>
        <w:tcBorders>
          <w:top w:val="single" w:color="70AD47" w:themeColor="accent6" w:sz="4" w:space="0"/>
          <w:bottom w:val="single" w:color="70AD47" w:themeColor="accent6" w:sz="4" w:space="0"/>
          <w:insideH w:val="nil"/>
        </w:tcBorders>
      </w:tcPr>
    </w:tblStylePr>
    <w:tblStylePr w:type="neCell">
      <w:tcPr>
        <w:tcBorders>
          <w:left w:val="nil"/>
          <w:bottom w:val="nil"/>
        </w:tcBorders>
      </w:tcPr>
    </w:tblStylePr>
    <w:tblStylePr w:type="nwCell">
      <w:tcPr>
        <w:tcBorders>
          <w:bottom w:val="nil"/>
          <w:right w:val="nil"/>
        </w:tcBorders>
      </w:tcPr>
    </w:tblStylePr>
    <w:tblStylePr w:type="seCell">
      <w:tcPr>
        <w:tcBorders>
          <w:top w:val="double" w:color="70AD47" w:themeColor="accent6" w:sz="4" w:space="0"/>
          <w:left w:val="nil"/>
        </w:tcBorders>
      </w:tcPr>
    </w:tblStylePr>
    <w:tblStylePr w:type="swCell">
      <w:tcPr>
        <w:tcBorders>
          <w:top w:val="double" w:color="70AD47" w:themeColor="accent6" w:sz="4" w:space="0"/>
          <w:right w:val="nil"/>
        </w:tcBorders>
      </w:tcPr>
    </w:tblStylePr>
  </w:style>
  <w:style w:type="table" w:customStyle="1" w:styleId="370">
    <w:name w:val="清单表 41"/>
    <w:basedOn w:val="88"/>
    <w:uiPriority w:val="49"/>
    <w:tblPr>
      <w:tblBorders>
        <w:top w:val="single" w:color="666666" w:themeColor="text1" w:themeTint="99" w:sz="4" w:space="0"/>
        <w:left w:val="single" w:color="666666" w:themeColor="text1" w:themeTint="99" w:sz="4" w:space="0"/>
        <w:bottom w:val="single" w:color="666666" w:themeColor="text1" w:themeTint="99" w:sz="4" w:space="0"/>
        <w:right w:val="single" w:color="666666" w:themeColor="text1" w:themeTint="99" w:sz="4" w:space="0"/>
        <w:insideH w:val="single" w:color="666666" w:themeColor="tex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cPr>
        <w:tcBorders>
          <w:top w:val="double" w:color="666666" w:themeColor="text1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371">
    <w:name w:val="清单表 4 - 着色 11"/>
    <w:basedOn w:val="88"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9CC2E5" w:themeColor="accent1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372">
    <w:name w:val="清单表 4 - 着色 21"/>
    <w:basedOn w:val="88"/>
    <w:uiPriority w:val="49"/>
    <w:tblPr>
      <w:tblBorders>
        <w:top w:val="single" w:color="F4B083" w:themeColor="accent2" w:themeTint="99" w:sz="4" w:space="0"/>
        <w:left w:val="single" w:color="F4B083" w:themeColor="accent2" w:themeTint="99" w:sz="4" w:space="0"/>
        <w:bottom w:val="single" w:color="F4B083" w:themeColor="accent2" w:themeTint="99" w:sz="4" w:space="0"/>
        <w:right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ED7D31" w:themeColor="accent2" w:sz="4" w:space="0"/>
          <w:left w:val="single" w:color="ED7D31" w:themeColor="accent2" w:sz="4" w:space="0"/>
          <w:bottom w:val="single" w:color="ED7D31" w:themeColor="accent2" w:sz="4" w:space="0"/>
          <w:right w:val="single" w:color="ED7D31" w:themeColor="accent2" w:sz="4" w:space="0"/>
          <w:insideH w:val="nil"/>
        </w:tcBorders>
        <w:shd w:val="clear" w:color="auto" w:fill="ED7D31" w:themeFill="accent2"/>
      </w:tcPr>
    </w:tblStylePr>
    <w:tblStylePr w:type="lastRow">
      <w:rPr>
        <w:b/>
        <w:bCs/>
      </w:rPr>
      <w:tcPr>
        <w:tcBorders>
          <w:top w:val="double" w:color="F4B083" w:themeColor="accent2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373">
    <w:name w:val="清单表 4 - 着色 31"/>
    <w:basedOn w:val="88"/>
    <w:uiPriority w:val="49"/>
    <w:tblPr>
      <w:tblBorders>
        <w:top w:val="single" w:color="C8C8C8" w:themeColor="accent3" w:themeTint="99" w:sz="4" w:space="0"/>
        <w:left w:val="single" w:color="C8C8C8" w:themeColor="accent3" w:themeTint="99" w:sz="4" w:space="0"/>
        <w:bottom w:val="single" w:color="C8C8C8" w:themeColor="accent3" w:themeTint="99" w:sz="4" w:space="0"/>
        <w:right w:val="single" w:color="C8C8C8" w:themeColor="accent3" w:themeTint="99" w:sz="4" w:space="0"/>
        <w:insideH w:val="single" w:color="C8C8C8" w:themeColor="accent3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A5A5A5" w:themeColor="accent3" w:sz="4" w:space="0"/>
          <w:left w:val="single" w:color="A5A5A5" w:themeColor="accent3" w:sz="4" w:space="0"/>
          <w:bottom w:val="single" w:color="A5A5A5" w:themeColor="accent3" w:sz="4" w:space="0"/>
          <w:right w:val="single" w:color="A5A5A5" w:themeColor="accent3" w:sz="4" w:space="0"/>
          <w:insideH w:val="nil"/>
        </w:tcBorders>
        <w:shd w:val="clear" w:color="auto" w:fill="A5A5A5" w:themeFill="accent3"/>
      </w:tcPr>
    </w:tblStylePr>
    <w:tblStylePr w:type="lastRow">
      <w:rPr>
        <w:b/>
        <w:bCs/>
      </w:rPr>
      <w:tcPr>
        <w:tcBorders>
          <w:top w:val="double" w:color="C8C8C8" w:themeColor="accent3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CECEC" w:themeFill="accent3" w:themeFillTint="33"/>
      </w:tcPr>
    </w:tblStylePr>
    <w:tblStylePr w:type="band1Horz">
      <w:tcPr>
        <w:shd w:val="clear" w:color="auto" w:fill="ECECEC" w:themeFill="accent3" w:themeFillTint="33"/>
      </w:tcPr>
    </w:tblStylePr>
  </w:style>
  <w:style w:type="table" w:customStyle="1" w:styleId="374">
    <w:name w:val="清单表 4 - 着色 41"/>
    <w:basedOn w:val="88"/>
    <w:uiPriority w:val="49"/>
    <w:tblPr>
      <w:tblBorders>
        <w:top w:val="single" w:color="FFD965" w:themeColor="accent4" w:themeTint="99" w:sz="4" w:space="0"/>
        <w:left w:val="single" w:color="FFD965" w:themeColor="accent4" w:themeTint="99" w:sz="4" w:space="0"/>
        <w:bottom w:val="single" w:color="FFD965" w:themeColor="accent4" w:themeTint="99" w:sz="4" w:space="0"/>
        <w:right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C000" w:themeColor="accent4" w:sz="4" w:space="0"/>
          <w:left w:val="single" w:color="FFC000" w:themeColor="accent4" w:sz="4" w:space="0"/>
          <w:bottom w:val="single" w:color="FFC000" w:themeColor="accent4" w:sz="4" w:space="0"/>
          <w:right w:val="single" w:color="FFC000" w:themeColor="accent4" w:sz="4" w:space="0"/>
          <w:insideH w:val="nil"/>
        </w:tcBorders>
        <w:shd w:val="clear" w:color="auto" w:fill="FFC000" w:themeFill="accent4"/>
      </w:tcPr>
    </w:tblStylePr>
    <w:tblStylePr w:type="lastRow">
      <w:rPr>
        <w:b/>
        <w:bCs/>
      </w:rPr>
      <w:tcPr>
        <w:tcBorders>
          <w:top w:val="double" w:color="FFD965" w:themeColor="accent4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375">
    <w:name w:val="清单表 4 - 着色 51"/>
    <w:basedOn w:val="88"/>
    <w:uiPriority w:val="49"/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376">
    <w:name w:val="清单表 4 - 着色 61"/>
    <w:basedOn w:val="88"/>
    <w:uiPriority w:val="49"/>
    <w:tblPr>
      <w:tblBorders>
        <w:top w:val="single" w:color="A8D08D" w:themeColor="accent6" w:themeTint="99" w:sz="4" w:space="0"/>
        <w:left w:val="single" w:color="A8D08D" w:themeColor="accent6" w:themeTint="99" w:sz="4" w:space="0"/>
        <w:bottom w:val="single" w:color="A8D08D" w:themeColor="accent6" w:themeTint="99" w:sz="4" w:space="0"/>
        <w:right w:val="single" w:color="A8D08D" w:themeColor="accent6" w:themeTint="99" w:sz="4" w:space="0"/>
        <w:insideH w:val="single" w:color="A8D08D" w:themeColor="accent6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70AD47" w:themeColor="accent6" w:sz="4" w:space="0"/>
          <w:left w:val="single" w:color="70AD47" w:themeColor="accent6" w:sz="4" w:space="0"/>
          <w:bottom w:val="single" w:color="70AD47" w:themeColor="accent6" w:sz="4" w:space="0"/>
          <w:right w:val="single" w:color="70AD47" w:themeColor="accent6" w:sz="4" w:space="0"/>
          <w:insideH w:val="nil"/>
        </w:tcBorders>
        <w:shd w:val="clear" w:color="auto" w:fill="70AD47" w:themeFill="accent6"/>
      </w:tcPr>
    </w:tblStylePr>
    <w:tblStylePr w:type="lastRow">
      <w:rPr>
        <w:b/>
        <w:bCs/>
      </w:rPr>
      <w:tcPr>
        <w:tcBorders>
          <w:top w:val="double" w:color="A8D08D" w:themeColor="accent6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2EFD9" w:themeFill="accent6" w:themeFillTint="33"/>
      </w:tcPr>
    </w:tblStylePr>
    <w:tblStylePr w:type="band1Horz">
      <w:tcPr>
        <w:shd w:val="clear" w:color="auto" w:fill="E2EFD9" w:themeFill="accent6" w:themeFillTint="33"/>
      </w:tcPr>
    </w:tblStylePr>
  </w:style>
  <w:style w:type="table" w:customStyle="1" w:styleId="377">
    <w:name w:val="清单表 5 深色1"/>
    <w:basedOn w:val="88"/>
    <w:uiPriority w:val="50"/>
    <w:rPr>
      <w:color w:val="FFFFFF" w:themeColor="background1"/>
      <w14:textFill>
        <w14:solidFill>
          <w14:schemeClr w14:val="bg1"/>
        </w14:solidFill>
      </w14:textFill>
    </w:rPr>
    <w:tblPr>
      <w:tblBorders>
        <w:top w:val="single" w:color="000000" w:themeColor="text1" w:sz="24" w:space="0"/>
        <w:left w:val="single" w:color="000000" w:themeColor="text1" w:sz="24" w:space="0"/>
        <w:bottom w:val="single" w:color="000000" w:themeColor="text1" w:sz="24" w:space="0"/>
        <w:right w:val="single" w:color="000000" w:themeColor="text1" w:sz="24" w:space="0"/>
      </w:tblBorders>
    </w:tblPr>
    <w:tcPr>
      <w:shd w:val="clear" w:color="auto" w:fill="000000" w:themeFill="text1"/>
    </w:tcPr>
    <w:tblStylePr w:type="firstRow">
      <w:rPr>
        <w:b/>
        <w:bCs/>
      </w:rPr>
      <w:tcPr>
        <w:tcBorders>
          <w:bottom w:val="single" w:color="FFFFFF" w:themeColor="background1" w:sz="18" w:space="0"/>
        </w:tcBorders>
      </w:tcPr>
    </w:tblStylePr>
    <w:tblStylePr w:type="lastRow">
      <w:rPr>
        <w:b/>
        <w:bCs/>
      </w:rPr>
      <w:tcPr>
        <w:tcBorders>
          <w:top w:val="single" w:color="FFFFFF" w:themeColor="background1" w:sz="4" w:space="0"/>
        </w:tcBorders>
      </w:tcPr>
    </w:tblStylePr>
    <w:tblStylePr w:type="firstCol">
      <w:rPr>
        <w:b/>
        <w:bCs/>
      </w:rPr>
      <w:tcPr>
        <w:tcBorders>
          <w:right w:val="single" w:color="FFFFFF" w:themeColor="background1" w:sz="4" w:space="0"/>
        </w:tcBorders>
      </w:tcPr>
    </w:tblStylePr>
    <w:tblStylePr w:type="lastCol">
      <w:rPr>
        <w:b/>
        <w:bCs/>
      </w:rPr>
      <w:tcPr>
        <w:tcBorders>
          <w:left w:val="single" w:color="FFFFFF" w:themeColor="background1" w:sz="4" w:space="0"/>
        </w:tcBorders>
      </w:tcPr>
    </w:tblStylePr>
    <w:tblStylePr w:type="band1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2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1Horz">
      <w:tcPr>
        <w:tcBorders>
          <w:top w:val="single" w:color="FFFFFF" w:themeColor="background1" w:sz="4" w:space="0"/>
          <w:bottom w:val="single" w:color="FFFFFF" w:themeColor="background1" w:sz="4" w:space="0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top w:val="nil"/>
          <w:left w:val="nil"/>
        </w:tcBorders>
      </w:tcPr>
    </w:tblStylePr>
    <w:tblStylePr w:type="swCell">
      <w:tcPr>
        <w:tcBorders>
          <w:top w:val="nil"/>
          <w:right w:val="nil"/>
        </w:tcBorders>
      </w:tcPr>
    </w:tblStylePr>
  </w:style>
  <w:style w:type="table" w:customStyle="1" w:styleId="378">
    <w:name w:val="清单表 5 深色 - 着色 11"/>
    <w:basedOn w:val="88"/>
    <w:uiPriority w:val="50"/>
    <w:rPr>
      <w:color w:val="FFFFFF" w:themeColor="background1"/>
      <w14:textFill>
        <w14:solidFill>
          <w14:schemeClr w14:val="bg1"/>
        </w14:solidFill>
      </w14:textFill>
    </w:rPr>
    <w:tblPr>
      <w:tblBorders>
        <w:top w:val="single" w:color="5B9BD5" w:themeColor="accent1" w:sz="24" w:space="0"/>
        <w:left w:val="single" w:color="5B9BD5" w:themeColor="accent1" w:sz="24" w:space="0"/>
        <w:bottom w:val="single" w:color="5B9BD5" w:themeColor="accent1" w:sz="24" w:space="0"/>
        <w:right w:val="single" w:color="5B9BD5" w:themeColor="accent1" w:sz="24" w:space="0"/>
      </w:tblBorders>
    </w:tblPr>
    <w:tcPr>
      <w:shd w:val="clear" w:color="auto" w:fill="5B9BD5" w:themeFill="accent1"/>
    </w:tcPr>
    <w:tblStylePr w:type="firstRow">
      <w:rPr>
        <w:b/>
        <w:bCs/>
      </w:rPr>
      <w:tcPr>
        <w:tcBorders>
          <w:bottom w:val="single" w:color="FFFFFF" w:themeColor="background1" w:sz="18" w:space="0"/>
        </w:tcBorders>
      </w:tcPr>
    </w:tblStylePr>
    <w:tblStylePr w:type="lastRow">
      <w:rPr>
        <w:b/>
        <w:bCs/>
      </w:rPr>
      <w:tcPr>
        <w:tcBorders>
          <w:top w:val="single" w:color="FFFFFF" w:themeColor="background1" w:sz="4" w:space="0"/>
        </w:tcBorders>
      </w:tcPr>
    </w:tblStylePr>
    <w:tblStylePr w:type="firstCol">
      <w:rPr>
        <w:b/>
        <w:bCs/>
      </w:rPr>
      <w:tcPr>
        <w:tcBorders>
          <w:right w:val="single" w:color="FFFFFF" w:themeColor="background1" w:sz="4" w:space="0"/>
        </w:tcBorders>
      </w:tcPr>
    </w:tblStylePr>
    <w:tblStylePr w:type="lastCol">
      <w:rPr>
        <w:b/>
        <w:bCs/>
      </w:rPr>
      <w:tcPr>
        <w:tcBorders>
          <w:left w:val="single" w:color="FFFFFF" w:themeColor="background1" w:sz="4" w:space="0"/>
        </w:tcBorders>
      </w:tcPr>
    </w:tblStylePr>
    <w:tblStylePr w:type="band1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2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1Horz">
      <w:tcPr>
        <w:tcBorders>
          <w:top w:val="single" w:color="FFFFFF" w:themeColor="background1" w:sz="4" w:space="0"/>
          <w:bottom w:val="single" w:color="FFFFFF" w:themeColor="background1" w:sz="4" w:space="0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top w:val="nil"/>
          <w:left w:val="nil"/>
        </w:tcBorders>
      </w:tcPr>
    </w:tblStylePr>
    <w:tblStylePr w:type="swCell">
      <w:tcPr>
        <w:tcBorders>
          <w:top w:val="nil"/>
          <w:right w:val="nil"/>
        </w:tcBorders>
      </w:tcPr>
    </w:tblStylePr>
  </w:style>
  <w:style w:type="table" w:customStyle="1" w:styleId="379">
    <w:name w:val="清单表 5 深色 - 着色 21"/>
    <w:basedOn w:val="88"/>
    <w:uiPriority w:val="50"/>
    <w:rPr>
      <w:color w:val="FFFFFF" w:themeColor="background1"/>
      <w14:textFill>
        <w14:solidFill>
          <w14:schemeClr w14:val="bg1"/>
        </w14:solidFill>
      </w14:textFill>
    </w:rPr>
    <w:tblPr>
      <w:tblBorders>
        <w:top w:val="single" w:color="ED7D31" w:themeColor="accent2" w:sz="24" w:space="0"/>
        <w:left w:val="single" w:color="ED7D31" w:themeColor="accent2" w:sz="24" w:space="0"/>
        <w:bottom w:val="single" w:color="ED7D31" w:themeColor="accent2" w:sz="24" w:space="0"/>
        <w:right w:val="single" w:color="ED7D31" w:themeColor="accent2" w:sz="24" w:space="0"/>
      </w:tblBorders>
    </w:tblPr>
    <w:tcPr>
      <w:shd w:val="clear" w:color="auto" w:fill="ED7D31" w:themeFill="accent2"/>
    </w:tcPr>
    <w:tblStylePr w:type="firstRow">
      <w:rPr>
        <w:b/>
        <w:bCs/>
      </w:rPr>
      <w:tcPr>
        <w:tcBorders>
          <w:bottom w:val="single" w:color="FFFFFF" w:themeColor="background1" w:sz="18" w:space="0"/>
        </w:tcBorders>
      </w:tcPr>
    </w:tblStylePr>
    <w:tblStylePr w:type="lastRow">
      <w:rPr>
        <w:b/>
        <w:bCs/>
      </w:rPr>
      <w:tcPr>
        <w:tcBorders>
          <w:top w:val="single" w:color="FFFFFF" w:themeColor="background1" w:sz="4" w:space="0"/>
        </w:tcBorders>
      </w:tcPr>
    </w:tblStylePr>
    <w:tblStylePr w:type="firstCol">
      <w:rPr>
        <w:b/>
        <w:bCs/>
      </w:rPr>
      <w:tcPr>
        <w:tcBorders>
          <w:right w:val="single" w:color="FFFFFF" w:themeColor="background1" w:sz="4" w:space="0"/>
        </w:tcBorders>
      </w:tcPr>
    </w:tblStylePr>
    <w:tblStylePr w:type="lastCol">
      <w:rPr>
        <w:b/>
        <w:bCs/>
      </w:rPr>
      <w:tcPr>
        <w:tcBorders>
          <w:left w:val="single" w:color="FFFFFF" w:themeColor="background1" w:sz="4" w:space="0"/>
        </w:tcBorders>
      </w:tcPr>
    </w:tblStylePr>
    <w:tblStylePr w:type="band1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2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1Horz">
      <w:tcPr>
        <w:tcBorders>
          <w:top w:val="single" w:color="FFFFFF" w:themeColor="background1" w:sz="4" w:space="0"/>
          <w:bottom w:val="single" w:color="FFFFFF" w:themeColor="background1" w:sz="4" w:space="0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top w:val="nil"/>
          <w:left w:val="nil"/>
        </w:tcBorders>
      </w:tcPr>
    </w:tblStylePr>
    <w:tblStylePr w:type="swCell">
      <w:tcPr>
        <w:tcBorders>
          <w:top w:val="nil"/>
          <w:right w:val="nil"/>
        </w:tcBorders>
      </w:tcPr>
    </w:tblStylePr>
  </w:style>
  <w:style w:type="table" w:customStyle="1" w:styleId="380">
    <w:name w:val="清单表 5 深色 - 着色 31"/>
    <w:basedOn w:val="88"/>
    <w:uiPriority w:val="50"/>
    <w:rPr>
      <w:color w:val="FFFFFF" w:themeColor="background1"/>
      <w14:textFill>
        <w14:solidFill>
          <w14:schemeClr w14:val="bg1"/>
        </w14:solidFill>
      </w14:textFill>
    </w:rPr>
    <w:tblPr>
      <w:tblBorders>
        <w:top w:val="single" w:color="A5A5A5" w:themeColor="accent3" w:sz="24" w:space="0"/>
        <w:left w:val="single" w:color="A5A5A5" w:themeColor="accent3" w:sz="24" w:space="0"/>
        <w:bottom w:val="single" w:color="A5A5A5" w:themeColor="accent3" w:sz="24" w:space="0"/>
        <w:right w:val="single" w:color="A5A5A5" w:themeColor="accent3" w:sz="24" w:space="0"/>
      </w:tblBorders>
    </w:tblPr>
    <w:tcPr>
      <w:shd w:val="clear" w:color="auto" w:fill="A5A5A5" w:themeFill="accent3"/>
    </w:tcPr>
    <w:tblStylePr w:type="firstRow">
      <w:rPr>
        <w:b/>
        <w:bCs/>
      </w:rPr>
      <w:tcPr>
        <w:tcBorders>
          <w:bottom w:val="single" w:color="FFFFFF" w:themeColor="background1" w:sz="18" w:space="0"/>
        </w:tcBorders>
      </w:tcPr>
    </w:tblStylePr>
    <w:tblStylePr w:type="lastRow">
      <w:rPr>
        <w:b/>
        <w:bCs/>
      </w:rPr>
      <w:tcPr>
        <w:tcBorders>
          <w:top w:val="single" w:color="FFFFFF" w:themeColor="background1" w:sz="4" w:space="0"/>
        </w:tcBorders>
      </w:tcPr>
    </w:tblStylePr>
    <w:tblStylePr w:type="firstCol">
      <w:rPr>
        <w:b/>
        <w:bCs/>
      </w:rPr>
      <w:tcPr>
        <w:tcBorders>
          <w:right w:val="single" w:color="FFFFFF" w:themeColor="background1" w:sz="4" w:space="0"/>
        </w:tcBorders>
      </w:tcPr>
    </w:tblStylePr>
    <w:tblStylePr w:type="lastCol">
      <w:rPr>
        <w:b/>
        <w:bCs/>
      </w:rPr>
      <w:tcPr>
        <w:tcBorders>
          <w:left w:val="single" w:color="FFFFFF" w:themeColor="background1" w:sz="4" w:space="0"/>
        </w:tcBorders>
      </w:tcPr>
    </w:tblStylePr>
    <w:tblStylePr w:type="band1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2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1Horz">
      <w:tcPr>
        <w:tcBorders>
          <w:top w:val="single" w:color="FFFFFF" w:themeColor="background1" w:sz="4" w:space="0"/>
          <w:bottom w:val="single" w:color="FFFFFF" w:themeColor="background1" w:sz="4" w:space="0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top w:val="nil"/>
          <w:left w:val="nil"/>
        </w:tcBorders>
      </w:tcPr>
    </w:tblStylePr>
    <w:tblStylePr w:type="swCell">
      <w:tcPr>
        <w:tcBorders>
          <w:top w:val="nil"/>
          <w:right w:val="nil"/>
        </w:tcBorders>
      </w:tcPr>
    </w:tblStylePr>
  </w:style>
  <w:style w:type="table" w:customStyle="1" w:styleId="381">
    <w:name w:val="清单表 5 深色 - 着色 41"/>
    <w:basedOn w:val="88"/>
    <w:uiPriority w:val="50"/>
    <w:rPr>
      <w:color w:val="FFFFFF" w:themeColor="background1"/>
      <w14:textFill>
        <w14:solidFill>
          <w14:schemeClr w14:val="bg1"/>
        </w14:solidFill>
      </w14:textFill>
    </w:rPr>
    <w:tblPr>
      <w:tblBorders>
        <w:top w:val="single" w:color="FFC000" w:themeColor="accent4" w:sz="24" w:space="0"/>
        <w:left w:val="single" w:color="FFC000" w:themeColor="accent4" w:sz="24" w:space="0"/>
        <w:bottom w:val="single" w:color="FFC000" w:themeColor="accent4" w:sz="24" w:space="0"/>
        <w:right w:val="single" w:color="FFC000" w:themeColor="accent4" w:sz="24" w:space="0"/>
      </w:tblBorders>
    </w:tblPr>
    <w:tcPr>
      <w:shd w:val="clear" w:color="auto" w:fill="FFC000" w:themeFill="accent4"/>
    </w:tcPr>
    <w:tblStylePr w:type="firstRow">
      <w:rPr>
        <w:b/>
        <w:bCs/>
      </w:rPr>
      <w:tcPr>
        <w:tcBorders>
          <w:bottom w:val="single" w:color="FFFFFF" w:themeColor="background1" w:sz="18" w:space="0"/>
        </w:tcBorders>
      </w:tcPr>
    </w:tblStylePr>
    <w:tblStylePr w:type="lastRow">
      <w:rPr>
        <w:b/>
        <w:bCs/>
      </w:rPr>
      <w:tcPr>
        <w:tcBorders>
          <w:top w:val="single" w:color="FFFFFF" w:themeColor="background1" w:sz="4" w:space="0"/>
        </w:tcBorders>
      </w:tcPr>
    </w:tblStylePr>
    <w:tblStylePr w:type="firstCol">
      <w:rPr>
        <w:b/>
        <w:bCs/>
      </w:rPr>
      <w:tcPr>
        <w:tcBorders>
          <w:right w:val="single" w:color="FFFFFF" w:themeColor="background1" w:sz="4" w:space="0"/>
        </w:tcBorders>
      </w:tcPr>
    </w:tblStylePr>
    <w:tblStylePr w:type="lastCol">
      <w:rPr>
        <w:b/>
        <w:bCs/>
      </w:rPr>
      <w:tcPr>
        <w:tcBorders>
          <w:left w:val="single" w:color="FFFFFF" w:themeColor="background1" w:sz="4" w:space="0"/>
        </w:tcBorders>
      </w:tcPr>
    </w:tblStylePr>
    <w:tblStylePr w:type="band1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2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1Horz">
      <w:tcPr>
        <w:tcBorders>
          <w:top w:val="single" w:color="FFFFFF" w:themeColor="background1" w:sz="4" w:space="0"/>
          <w:bottom w:val="single" w:color="FFFFFF" w:themeColor="background1" w:sz="4" w:space="0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top w:val="nil"/>
          <w:left w:val="nil"/>
        </w:tcBorders>
      </w:tcPr>
    </w:tblStylePr>
    <w:tblStylePr w:type="swCell">
      <w:tcPr>
        <w:tcBorders>
          <w:top w:val="nil"/>
          <w:right w:val="nil"/>
        </w:tcBorders>
      </w:tcPr>
    </w:tblStylePr>
  </w:style>
  <w:style w:type="table" w:customStyle="1" w:styleId="382">
    <w:name w:val="清单表 5 深色 - 着色 51"/>
    <w:basedOn w:val="88"/>
    <w:uiPriority w:val="50"/>
    <w:rPr>
      <w:color w:val="FFFFFF" w:themeColor="background1"/>
      <w14:textFill>
        <w14:solidFill>
          <w14:schemeClr w14:val="bg1"/>
        </w14:solidFill>
      </w14:textFill>
    </w:rPr>
    <w:tblPr>
      <w:tblBorders>
        <w:top w:val="single" w:color="4472C4" w:themeColor="accent5" w:sz="24" w:space="0"/>
        <w:left w:val="single" w:color="4472C4" w:themeColor="accent5" w:sz="24" w:space="0"/>
        <w:bottom w:val="single" w:color="4472C4" w:themeColor="accent5" w:sz="24" w:space="0"/>
        <w:right w:val="single" w:color="4472C4" w:themeColor="accent5" w:sz="24" w:space="0"/>
      </w:tblBorders>
    </w:tblPr>
    <w:tcPr>
      <w:shd w:val="clear" w:color="auto" w:fill="4472C4" w:themeFill="accent5"/>
    </w:tcPr>
    <w:tblStylePr w:type="firstRow">
      <w:rPr>
        <w:b/>
        <w:bCs/>
      </w:rPr>
      <w:tcPr>
        <w:tcBorders>
          <w:bottom w:val="single" w:color="FFFFFF" w:themeColor="background1" w:sz="18" w:space="0"/>
        </w:tcBorders>
      </w:tcPr>
    </w:tblStylePr>
    <w:tblStylePr w:type="lastRow">
      <w:rPr>
        <w:b/>
        <w:bCs/>
      </w:rPr>
      <w:tcPr>
        <w:tcBorders>
          <w:top w:val="single" w:color="FFFFFF" w:themeColor="background1" w:sz="4" w:space="0"/>
        </w:tcBorders>
      </w:tcPr>
    </w:tblStylePr>
    <w:tblStylePr w:type="firstCol">
      <w:rPr>
        <w:b/>
        <w:bCs/>
      </w:rPr>
      <w:tcPr>
        <w:tcBorders>
          <w:right w:val="single" w:color="FFFFFF" w:themeColor="background1" w:sz="4" w:space="0"/>
        </w:tcBorders>
      </w:tcPr>
    </w:tblStylePr>
    <w:tblStylePr w:type="lastCol">
      <w:rPr>
        <w:b/>
        <w:bCs/>
      </w:rPr>
      <w:tcPr>
        <w:tcBorders>
          <w:left w:val="single" w:color="FFFFFF" w:themeColor="background1" w:sz="4" w:space="0"/>
        </w:tcBorders>
      </w:tcPr>
    </w:tblStylePr>
    <w:tblStylePr w:type="band1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2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1Horz">
      <w:tcPr>
        <w:tcBorders>
          <w:top w:val="single" w:color="FFFFFF" w:themeColor="background1" w:sz="4" w:space="0"/>
          <w:bottom w:val="single" w:color="FFFFFF" w:themeColor="background1" w:sz="4" w:space="0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top w:val="nil"/>
          <w:left w:val="nil"/>
        </w:tcBorders>
      </w:tcPr>
    </w:tblStylePr>
    <w:tblStylePr w:type="swCell">
      <w:tcPr>
        <w:tcBorders>
          <w:top w:val="nil"/>
          <w:right w:val="nil"/>
        </w:tcBorders>
      </w:tcPr>
    </w:tblStylePr>
  </w:style>
  <w:style w:type="table" w:customStyle="1" w:styleId="383">
    <w:name w:val="清单表 5 深色 - 着色 61"/>
    <w:basedOn w:val="88"/>
    <w:uiPriority w:val="50"/>
    <w:rPr>
      <w:color w:val="FFFFFF" w:themeColor="background1"/>
      <w14:textFill>
        <w14:solidFill>
          <w14:schemeClr w14:val="bg1"/>
        </w14:solidFill>
      </w14:textFill>
    </w:rPr>
    <w:tblPr>
      <w:tblBorders>
        <w:top w:val="single" w:color="70AD47" w:themeColor="accent6" w:sz="24" w:space="0"/>
        <w:left w:val="single" w:color="70AD47" w:themeColor="accent6" w:sz="24" w:space="0"/>
        <w:bottom w:val="single" w:color="70AD47" w:themeColor="accent6" w:sz="24" w:space="0"/>
        <w:right w:val="single" w:color="70AD47" w:themeColor="accent6" w:sz="24" w:space="0"/>
      </w:tblBorders>
    </w:tblPr>
    <w:tcPr>
      <w:shd w:val="clear" w:color="auto" w:fill="70AD47" w:themeFill="accent6"/>
    </w:tcPr>
    <w:tblStylePr w:type="firstRow">
      <w:rPr>
        <w:b/>
        <w:bCs/>
      </w:rPr>
      <w:tcPr>
        <w:tcBorders>
          <w:bottom w:val="single" w:color="FFFFFF" w:themeColor="background1" w:sz="18" w:space="0"/>
        </w:tcBorders>
      </w:tcPr>
    </w:tblStylePr>
    <w:tblStylePr w:type="lastRow">
      <w:rPr>
        <w:b/>
        <w:bCs/>
      </w:rPr>
      <w:tcPr>
        <w:tcBorders>
          <w:top w:val="single" w:color="FFFFFF" w:themeColor="background1" w:sz="4" w:space="0"/>
        </w:tcBorders>
      </w:tcPr>
    </w:tblStylePr>
    <w:tblStylePr w:type="firstCol">
      <w:rPr>
        <w:b/>
        <w:bCs/>
      </w:rPr>
      <w:tcPr>
        <w:tcBorders>
          <w:right w:val="single" w:color="FFFFFF" w:themeColor="background1" w:sz="4" w:space="0"/>
        </w:tcBorders>
      </w:tcPr>
    </w:tblStylePr>
    <w:tblStylePr w:type="lastCol">
      <w:rPr>
        <w:b/>
        <w:bCs/>
      </w:rPr>
      <w:tcPr>
        <w:tcBorders>
          <w:left w:val="single" w:color="FFFFFF" w:themeColor="background1" w:sz="4" w:space="0"/>
        </w:tcBorders>
      </w:tcPr>
    </w:tblStylePr>
    <w:tblStylePr w:type="band1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2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1Horz">
      <w:tcPr>
        <w:tcBorders>
          <w:top w:val="single" w:color="FFFFFF" w:themeColor="background1" w:sz="4" w:space="0"/>
          <w:bottom w:val="single" w:color="FFFFFF" w:themeColor="background1" w:sz="4" w:space="0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top w:val="nil"/>
          <w:left w:val="nil"/>
        </w:tcBorders>
      </w:tcPr>
    </w:tblStylePr>
    <w:tblStylePr w:type="swCell">
      <w:tcPr>
        <w:tcBorders>
          <w:top w:val="nil"/>
          <w:right w:val="nil"/>
        </w:tcBorders>
      </w:tcPr>
    </w:tblStylePr>
  </w:style>
  <w:style w:type="table" w:customStyle="1" w:styleId="384">
    <w:name w:val="清单表 6 彩色1"/>
    <w:basedOn w:val="88"/>
    <w:uiPriority w:val="51"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4" w:space="0"/>
        <w:bottom w:val="single" w:color="000000" w:themeColor="text1" w:sz="4" w:space="0"/>
      </w:tblBorders>
    </w:tblPr>
    <w:tblStylePr w:type="firstRow">
      <w:rPr>
        <w:b/>
        <w:bCs/>
      </w:rPr>
      <w:tcPr>
        <w:tcBorders>
          <w:bottom w:val="single" w:color="000000" w:themeColor="text1" w:sz="4" w:space="0"/>
        </w:tcBorders>
      </w:tcPr>
    </w:tblStylePr>
    <w:tblStylePr w:type="lastRow">
      <w:rPr>
        <w:b/>
        <w:bCs/>
      </w:rPr>
      <w:tcPr>
        <w:tcBorders>
          <w:top w:val="double" w:color="000000" w:themeColor="tex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385">
    <w:name w:val="清单表 6 彩色 - 着色 11"/>
    <w:basedOn w:val="88"/>
    <w:uiPriority w:val="51"/>
    <w:rPr>
      <w:color w:val="2E75B6" w:themeColor="accent1" w:themeShade="BF"/>
    </w:rPr>
    <w:tblPr>
      <w:tblBorders>
        <w:top w:val="single" w:color="5B9BD5" w:themeColor="accent1" w:sz="4" w:space="0"/>
        <w:bottom w:val="single" w:color="5B9BD5" w:themeColor="accent1" w:sz="4" w:space="0"/>
      </w:tblBorders>
    </w:tblPr>
    <w:tblStylePr w:type="firstRow">
      <w:rPr>
        <w:b/>
        <w:bCs/>
      </w:rPr>
      <w:tcPr>
        <w:tcBorders>
          <w:bottom w:val="single" w:color="5B9BD5" w:themeColor="accent1" w:sz="4" w:space="0"/>
        </w:tcBorders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386">
    <w:name w:val="清单表 6 彩色 - 着色 21"/>
    <w:basedOn w:val="88"/>
    <w:uiPriority w:val="51"/>
    <w:rPr>
      <w:color w:val="C55A11" w:themeColor="accent2" w:themeShade="BF"/>
    </w:rPr>
    <w:tblPr>
      <w:tblBorders>
        <w:top w:val="single" w:color="ED7D31" w:themeColor="accent2" w:sz="4" w:space="0"/>
        <w:bottom w:val="single" w:color="ED7D31" w:themeColor="accent2" w:sz="4" w:space="0"/>
      </w:tblBorders>
    </w:tblPr>
    <w:tblStylePr w:type="firstRow">
      <w:rPr>
        <w:b/>
        <w:bCs/>
      </w:rPr>
      <w:tcPr>
        <w:tcBorders>
          <w:bottom w:val="single" w:color="ED7D31" w:themeColor="accent2" w:sz="4" w:space="0"/>
        </w:tcBorders>
      </w:tcPr>
    </w:tblStylePr>
    <w:tblStylePr w:type="lastRow">
      <w:rPr>
        <w:b/>
        <w:bCs/>
      </w:rPr>
      <w:tcPr>
        <w:tcBorders>
          <w:top w:val="double" w:color="ED7D31" w:themeColor="accent2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387">
    <w:name w:val="清单表 6 彩色 - 着色 31"/>
    <w:basedOn w:val="88"/>
    <w:uiPriority w:val="51"/>
    <w:rPr>
      <w:color w:val="7C7C7C" w:themeColor="accent3" w:themeShade="BF"/>
    </w:rPr>
    <w:tblPr>
      <w:tblBorders>
        <w:top w:val="single" w:color="A5A5A5" w:themeColor="accent3" w:sz="4" w:space="0"/>
        <w:bottom w:val="single" w:color="A5A5A5" w:themeColor="accent3" w:sz="4" w:space="0"/>
      </w:tblBorders>
    </w:tblPr>
    <w:tblStylePr w:type="firstRow">
      <w:rPr>
        <w:b/>
        <w:bCs/>
      </w:rPr>
      <w:tcPr>
        <w:tcBorders>
          <w:bottom w:val="single" w:color="A5A5A5" w:themeColor="accent3" w:sz="4" w:space="0"/>
        </w:tcBorders>
      </w:tcPr>
    </w:tblStylePr>
    <w:tblStylePr w:type="lastRow">
      <w:rPr>
        <w:b/>
        <w:bCs/>
      </w:rPr>
      <w:tcPr>
        <w:tcBorders>
          <w:top w:val="double" w:color="A5A5A5" w:themeColor="accent3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CECEC" w:themeFill="accent3" w:themeFillTint="33"/>
      </w:tcPr>
    </w:tblStylePr>
    <w:tblStylePr w:type="band1Horz">
      <w:tcPr>
        <w:shd w:val="clear" w:color="auto" w:fill="ECECEC" w:themeFill="accent3" w:themeFillTint="33"/>
      </w:tcPr>
    </w:tblStylePr>
  </w:style>
  <w:style w:type="table" w:customStyle="1" w:styleId="388">
    <w:name w:val="清单表 6 彩色 - 着色 41"/>
    <w:basedOn w:val="88"/>
    <w:uiPriority w:val="51"/>
    <w:rPr>
      <w:color w:val="BF9000" w:themeColor="accent4" w:themeShade="BF"/>
    </w:rPr>
    <w:tblPr>
      <w:tblBorders>
        <w:top w:val="single" w:color="FFC000" w:themeColor="accent4" w:sz="4" w:space="0"/>
        <w:bottom w:val="single" w:color="FFC000" w:themeColor="accent4" w:sz="4" w:space="0"/>
      </w:tblBorders>
    </w:tblPr>
    <w:tblStylePr w:type="firstRow">
      <w:rPr>
        <w:b/>
        <w:bCs/>
      </w:rPr>
      <w:tcPr>
        <w:tcBorders>
          <w:bottom w:val="single" w:color="FFC000" w:themeColor="accent4" w:sz="4" w:space="0"/>
        </w:tcBorders>
      </w:tcPr>
    </w:tblStylePr>
    <w:tblStylePr w:type="lastRow">
      <w:rPr>
        <w:b/>
        <w:bCs/>
      </w:rPr>
      <w:tcPr>
        <w:tcBorders>
          <w:top w:val="double" w:color="FFC000" w:themeColor="accent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389">
    <w:name w:val="清单表 6 彩色 - 着色 51"/>
    <w:basedOn w:val="88"/>
    <w:uiPriority w:val="51"/>
    <w:rPr>
      <w:color w:val="2F5597" w:themeColor="accent5" w:themeShade="BF"/>
    </w:rPr>
    <w:tblPr>
      <w:tblBorders>
        <w:top w:val="single" w:color="4472C4" w:themeColor="accent5" w:sz="4" w:space="0"/>
        <w:bottom w:val="single" w:color="4472C4" w:themeColor="accent5" w:sz="4" w:space="0"/>
      </w:tblBorders>
    </w:tblPr>
    <w:tblStylePr w:type="firstRow">
      <w:rPr>
        <w:b/>
        <w:bCs/>
      </w:rPr>
      <w:tcPr>
        <w:tcBorders>
          <w:bottom w:val="single" w:color="4472C4" w:themeColor="accent5" w:sz="4" w:space="0"/>
        </w:tcBorders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390">
    <w:name w:val="清单表 6 彩色 - 着色 61"/>
    <w:basedOn w:val="88"/>
    <w:uiPriority w:val="51"/>
    <w:rPr>
      <w:color w:val="548235" w:themeColor="accent6" w:themeShade="BF"/>
    </w:rPr>
    <w:tblPr>
      <w:tblBorders>
        <w:top w:val="single" w:color="70AD47" w:themeColor="accent6" w:sz="4" w:space="0"/>
        <w:bottom w:val="single" w:color="70AD47" w:themeColor="accent6" w:sz="4" w:space="0"/>
      </w:tblBorders>
    </w:tblPr>
    <w:tblStylePr w:type="firstRow">
      <w:rPr>
        <w:b/>
        <w:bCs/>
      </w:rPr>
      <w:tcPr>
        <w:tcBorders>
          <w:bottom w:val="single" w:color="70AD47" w:themeColor="accent6" w:sz="4" w:space="0"/>
        </w:tcBorders>
      </w:tcPr>
    </w:tblStylePr>
    <w:tblStylePr w:type="lastRow">
      <w:rPr>
        <w:b/>
        <w:bCs/>
      </w:rPr>
      <w:tcPr>
        <w:tcBorders>
          <w:top w:val="double" w:color="70AD47" w:themeColor="accent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2EFD9" w:themeFill="accent6" w:themeFillTint="33"/>
      </w:tcPr>
    </w:tblStylePr>
    <w:tblStylePr w:type="band1Horz">
      <w:tcPr>
        <w:shd w:val="clear" w:color="auto" w:fill="E2EFD9" w:themeFill="accent6" w:themeFillTint="33"/>
      </w:tcPr>
    </w:tblStylePr>
  </w:style>
  <w:style w:type="table" w:customStyle="1" w:styleId="391">
    <w:name w:val="清单表 7 彩色1"/>
    <w:basedOn w:val="88"/>
    <w:uiPriority w:val="52"/>
    <w:rPr>
      <w:color w:val="000000" w:themeColor="text1"/>
      <w14:textFill>
        <w14:solidFill>
          <w14:schemeClr w14:val="tx1"/>
        </w14:solidFill>
      </w14:textFill>
    </w:rPr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000000" w:themeColor="text1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000000" w:themeColor="text1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000000" w:themeColor="text1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000000" w:themeColor="text1" w:sz="4" w:space="0"/>
        </w:tcBorders>
        <w:shd w:val="clear" w:color="auto" w:fill="FFFFFF" w:themeFill="background1"/>
      </w:tc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table" w:customStyle="1" w:styleId="392">
    <w:name w:val="清单表 7 彩色 - 着色 11"/>
    <w:basedOn w:val="88"/>
    <w:uiPriority w:val="52"/>
    <w:rPr>
      <w:color w:val="2E75B6" w:themeColor="accent1" w:themeShade="BF"/>
    </w:rPr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5B9BD5" w:themeColor="accent1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5B9BD5" w:themeColor="accent1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5B9BD5" w:themeColor="accent1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5B9BD5" w:themeColor="accent1" w:sz="4" w:space="0"/>
        </w:tcBorders>
        <w:shd w:val="clear" w:color="auto" w:fill="FFFFFF" w:themeFill="background1"/>
      </w:tc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table" w:customStyle="1" w:styleId="393">
    <w:name w:val="清单表 7 彩色 - 着色 21"/>
    <w:basedOn w:val="88"/>
    <w:uiPriority w:val="52"/>
    <w:rPr>
      <w:color w:val="C55A11" w:themeColor="accent2" w:themeShade="BF"/>
    </w:rPr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ED7D31" w:themeColor="accent2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ED7D31" w:themeColor="accent2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ED7D31" w:themeColor="accent2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ED7D31" w:themeColor="accent2" w:sz="4" w:space="0"/>
        </w:tcBorders>
        <w:shd w:val="clear" w:color="auto" w:fill="FFFFFF" w:themeFill="background1"/>
      </w:tc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table" w:customStyle="1" w:styleId="394">
    <w:name w:val="清单表 7 彩色 - 着色 31"/>
    <w:basedOn w:val="88"/>
    <w:uiPriority w:val="52"/>
    <w:rPr>
      <w:color w:val="7C7C7C" w:themeColor="accent3" w:themeShade="BF"/>
    </w:rPr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A5A5A5" w:themeColor="accent3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A5A5A5" w:themeColor="accent3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A5A5A5" w:themeColor="accent3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A5A5A5" w:themeColor="accent3" w:sz="4" w:space="0"/>
        </w:tcBorders>
        <w:shd w:val="clear" w:color="auto" w:fill="FFFFFF" w:themeFill="background1"/>
      </w:tcPr>
    </w:tblStylePr>
    <w:tblStylePr w:type="band1Vert">
      <w:tcPr>
        <w:shd w:val="clear" w:color="auto" w:fill="ECECEC" w:themeFill="accent3" w:themeFillTint="33"/>
      </w:tcPr>
    </w:tblStylePr>
    <w:tblStylePr w:type="band1Horz">
      <w:tcPr>
        <w:shd w:val="clear" w:color="auto" w:fill="ECECEC" w:themeFill="accent3" w:themeFillTint="33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table" w:customStyle="1" w:styleId="395">
    <w:name w:val="清单表 7 彩色 - 着色 41"/>
    <w:basedOn w:val="88"/>
    <w:uiPriority w:val="52"/>
    <w:rPr>
      <w:color w:val="BF9000" w:themeColor="accent4" w:themeShade="BF"/>
    </w:rPr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FFC000" w:themeColor="accent4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FFC000" w:themeColor="accent4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FFC000" w:themeColor="accent4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FFC000" w:themeColor="accent4" w:sz="4" w:space="0"/>
        </w:tcBorders>
        <w:shd w:val="clear" w:color="auto" w:fill="FFFFFF" w:themeFill="background1"/>
      </w:tc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table" w:customStyle="1" w:styleId="396">
    <w:name w:val="清单表 7 彩色 - 着色 51"/>
    <w:basedOn w:val="88"/>
    <w:uiPriority w:val="52"/>
    <w:rPr>
      <w:color w:val="2F5597" w:themeColor="accent5" w:themeShade="BF"/>
    </w:rPr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4472C4" w:themeColor="accent5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4472C4" w:themeColor="accent5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4472C4" w:themeColor="accent5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4472C4" w:themeColor="accent5" w:sz="4" w:space="0"/>
        </w:tcBorders>
        <w:shd w:val="clear" w:color="auto" w:fill="FFFFFF" w:themeFill="background1"/>
      </w:tc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table" w:customStyle="1" w:styleId="397">
    <w:name w:val="清单表 7 彩色 - 着色 61"/>
    <w:basedOn w:val="88"/>
    <w:uiPriority w:val="52"/>
    <w:rPr>
      <w:color w:val="548235" w:themeColor="accent6" w:themeShade="BF"/>
    </w:rPr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0AD47" w:themeColor="accent6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0AD47" w:themeColor="accent6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0AD47" w:themeColor="accent6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0AD47" w:themeColor="accent6" w:sz="4" w:space="0"/>
        </w:tcBorders>
        <w:shd w:val="clear" w:color="auto" w:fill="FFFFFF" w:themeFill="background1"/>
      </w:tcPr>
    </w:tblStylePr>
    <w:tblStylePr w:type="band1Vert">
      <w:tcPr>
        <w:shd w:val="clear" w:color="auto" w:fill="E2EFD9" w:themeFill="accent6" w:themeFillTint="33"/>
      </w:tcPr>
    </w:tblStylePr>
    <w:tblStylePr w:type="band1Horz">
      <w:tcPr>
        <w:shd w:val="clear" w:color="auto" w:fill="E2EFD9" w:themeFill="accent6" w:themeFillTint="33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398">
    <w:name w:val="宏文本 字符"/>
    <w:basedOn w:val="231"/>
    <w:link w:val="2"/>
    <w:uiPriority w:val="0"/>
    <w:rPr>
      <w:rFonts w:ascii="Consolas" w:hAnsi="Consolas" w:eastAsiaTheme="minorEastAsia" w:cstheme="minorBidi"/>
      <w:kern w:val="2"/>
    </w:rPr>
  </w:style>
  <w:style w:type="character" w:customStyle="1" w:styleId="399">
    <w:name w:val="@他1"/>
    <w:basedOn w:val="231"/>
    <w:uiPriority w:val="0"/>
    <w:rPr>
      <w:color w:val="2B579A"/>
      <w:shd w:val="clear" w:color="auto" w:fill="E1DFDD"/>
    </w:rPr>
  </w:style>
  <w:style w:type="character" w:customStyle="1" w:styleId="400">
    <w:name w:val="信息标题 字符"/>
    <w:basedOn w:val="231"/>
    <w:link w:val="79"/>
    <w:uiPriority w:val="0"/>
    <w:rPr>
      <w:rFonts w:asciiTheme="majorHAnsi" w:hAnsiTheme="majorHAnsi" w:eastAsiaTheme="majorEastAsia" w:cstheme="majorBidi"/>
      <w:kern w:val="2"/>
      <w:sz w:val="24"/>
      <w:szCs w:val="24"/>
      <w:shd w:val="pct20" w:color="auto" w:fill="auto"/>
    </w:rPr>
  </w:style>
  <w:style w:type="paragraph" w:styleId="401">
    <w:name w:val="No Spacing"/>
    <w:uiPriority w:val="99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customStyle="1" w:styleId="402">
    <w:name w:val="注释标题 字符"/>
    <w:basedOn w:val="231"/>
    <w:link w:val="16"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styleId="403">
    <w:name w:val="Placeholder Text"/>
    <w:basedOn w:val="231"/>
    <w:semiHidden/>
    <w:uiPriority w:val="99"/>
    <w:rPr>
      <w:color w:val="808080"/>
    </w:rPr>
  </w:style>
  <w:style w:type="table" w:customStyle="1" w:styleId="404">
    <w:name w:val="无格式表格 11"/>
    <w:basedOn w:val="88"/>
    <w:uiPriority w:val="41"/>
    <w:tblPr>
      <w:tblBorders>
        <w:top w:val="single" w:color="BEBEBE" w:themeColor="background1" w:themeShade="BF" w:sz="4" w:space="0"/>
        <w:left w:val="single" w:color="BEBEBE" w:themeColor="background1" w:themeShade="BF" w:sz="4" w:space="0"/>
        <w:bottom w:val="single" w:color="BEBEBE" w:themeColor="background1" w:themeShade="BF" w:sz="4" w:space="0"/>
        <w:right w:val="single" w:color="BEBEBE" w:themeColor="background1" w:themeShade="BF" w:sz="4" w:space="0"/>
        <w:insideH w:val="single" w:color="BEBEBE" w:themeColor="background1" w:themeShade="BF" w:sz="4" w:space="0"/>
        <w:insideV w:val="single" w:color="BEBEBE" w:themeColor="background1" w:themeShade="BF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double" w:color="BEBEBE" w:themeColor="background1" w:themeShade="BF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</w:style>
  <w:style w:type="table" w:customStyle="1" w:styleId="405">
    <w:name w:val="无格式表格 21"/>
    <w:basedOn w:val="88"/>
    <w:uiPriority w:val="42"/>
    <w:tblPr>
      <w:tblBorders>
        <w:top w:val="single" w:color="7E7E7E" w:themeColor="text1" w:themeTint="80" w:sz="4" w:space="0"/>
        <w:bottom w:val="single" w:color="7E7E7E" w:themeColor="text1" w:themeTint="80" w:sz="4" w:space="0"/>
      </w:tblBorders>
    </w:tblPr>
    <w:tblStylePr w:type="firstRow">
      <w:rPr>
        <w:b/>
        <w:bCs/>
      </w:rPr>
      <w:tcPr>
        <w:tcBorders>
          <w:bottom w:val="single" w:color="7E7E7E" w:themeColor="text1" w:themeTint="80" w:sz="4" w:space="0"/>
        </w:tcBorders>
      </w:tcPr>
    </w:tblStylePr>
    <w:tblStylePr w:type="lastRow">
      <w:rPr>
        <w:b/>
        <w:bCs/>
      </w:rPr>
      <w:tcPr>
        <w:tcBorders>
          <w:top w:val="single" w:color="7E7E7E" w:themeColor="text1" w:themeTint="80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left w:val="single" w:color="7E7E7E" w:themeColor="text1" w:themeTint="80" w:sz="4" w:space="0"/>
          <w:right w:val="single" w:color="7E7E7E" w:themeColor="text1" w:themeTint="80" w:sz="4" w:space="0"/>
        </w:tcBorders>
      </w:tcPr>
    </w:tblStylePr>
    <w:tblStylePr w:type="band2Vert">
      <w:tcPr>
        <w:tcBorders>
          <w:left w:val="single" w:color="7E7E7E" w:themeColor="text1" w:themeTint="80" w:sz="4" w:space="0"/>
          <w:right w:val="single" w:color="7E7E7E" w:themeColor="text1" w:themeTint="80" w:sz="4" w:space="0"/>
        </w:tcBorders>
      </w:tcPr>
    </w:tblStylePr>
    <w:tblStylePr w:type="band1Horz">
      <w:tcPr>
        <w:tcBorders>
          <w:top w:val="single" w:color="7E7E7E" w:themeColor="text1" w:themeTint="80" w:sz="4" w:space="0"/>
          <w:bottom w:val="single" w:color="7E7E7E" w:themeColor="text1" w:themeTint="80" w:sz="4" w:space="0"/>
        </w:tcBorders>
      </w:tcPr>
    </w:tblStylePr>
  </w:style>
  <w:style w:type="table" w:customStyle="1" w:styleId="406">
    <w:name w:val="无格式表格 31"/>
    <w:basedOn w:val="88"/>
    <w:uiPriority w:val="43"/>
    <w:tblStylePr w:type="firstRow">
      <w:rPr>
        <w:b/>
        <w:bCs/>
        <w:caps/>
      </w:rPr>
      <w:tcPr>
        <w:tcBorders>
          <w:bottom w:val="single" w:color="7E7E7E" w:themeColor="text1" w:themeTint="80" w:sz="4" w:space="0"/>
        </w:tcBorders>
      </w:tcPr>
    </w:tblStylePr>
    <w:tblStylePr w:type="lastRow">
      <w:rPr>
        <w:b/>
        <w:bCs/>
        <w:caps/>
      </w:rPr>
      <w:tcPr>
        <w:tcBorders>
          <w:top w:val="nil"/>
        </w:tcBorders>
      </w:tcPr>
    </w:tblStylePr>
    <w:tblStylePr w:type="firstCol">
      <w:rPr>
        <w:b/>
        <w:bCs/>
        <w:caps/>
      </w:rPr>
      <w:tcPr>
        <w:tcBorders>
          <w:right w:val="single" w:color="7E7E7E" w:themeColor="text1" w:themeTint="80" w:sz="4" w:space="0"/>
        </w:tcBorders>
      </w:tcPr>
    </w:tblStylePr>
    <w:tblStylePr w:type="lastCol">
      <w:rPr>
        <w:b/>
        <w:bCs/>
        <w:caps/>
      </w:rPr>
      <w:tcPr>
        <w:tcBorders>
          <w:left w:val="nil"/>
        </w:tcBorders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</w:style>
  <w:style w:type="table" w:customStyle="1" w:styleId="407">
    <w:name w:val="无格式表格 41"/>
    <w:basedOn w:val="88"/>
    <w:uiPriority w:val="44"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</w:style>
  <w:style w:type="table" w:customStyle="1" w:styleId="408">
    <w:name w:val="无格式表格 51"/>
    <w:basedOn w:val="88"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409">
    <w:name w:val="纯文本 字符"/>
    <w:basedOn w:val="231"/>
    <w:link w:val="45"/>
    <w:uiPriority w:val="0"/>
    <w:rPr>
      <w:rFonts w:ascii="Consolas" w:hAnsi="Consolas" w:eastAsiaTheme="minorEastAsia" w:cstheme="minorBidi"/>
      <w:kern w:val="2"/>
      <w:sz w:val="21"/>
      <w:szCs w:val="21"/>
    </w:rPr>
  </w:style>
  <w:style w:type="paragraph" w:styleId="410">
    <w:name w:val="Quote"/>
    <w:basedOn w:val="1"/>
    <w:next w:val="1"/>
    <w:link w:val="411"/>
    <w:uiPriority w:val="99"/>
    <w:pPr>
      <w:spacing w:before="200" w:after="160"/>
      <w:ind w:left="864" w:right="864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411">
    <w:name w:val="引用 字符"/>
    <w:basedOn w:val="231"/>
    <w:link w:val="410"/>
    <w:uiPriority w:val="99"/>
    <w:rPr>
      <w:rFonts w:asciiTheme="minorHAnsi" w:hAnsiTheme="minorHAnsi" w:eastAsiaTheme="minorEastAsia" w:cstheme="minorBidi"/>
      <w:i/>
      <w:iCs/>
      <w:color w:val="404040" w:themeColor="text1" w:themeTint="BF"/>
      <w:kern w:val="2"/>
      <w:sz w:val="21"/>
      <w:szCs w:val="24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412">
    <w:name w:val="称呼 字符"/>
    <w:basedOn w:val="231"/>
    <w:link w:val="30"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413">
    <w:name w:val="签名 字符"/>
    <w:basedOn w:val="231"/>
    <w:link w:val="58"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414">
    <w:name w:val="智能超链接1"/>
    <w:basedOn w:val="231"/>
    <w:uiPriority w:val="0"/>
    <w:rPr>
      <w:u w:val="dotted"/>
    </w:rPr>
  </w:style>
  <w:style w:type="character" w:customStyle="1" w:styleId="415">
    <w:name w:val="Smart Link"/>
    <w:basedOn w:val="231"/>
    <w:semiHidden/>
    <w:unhideWhenUsed/>
    <w:uiPriority w:val="99"/>
    <w:rPr>
      <w:color w:val="0000FF"/>
      <w:u w:val="single"/>
      <w:shd w:val="clear" w:color="auto" w:fill="F3F2F1"/>
    </w:rPr>
  </w:style>
  <w:style w:type="character" w:customStyle="1" w:styleId="416">
    <w:name w:val="副标题 字符"/>
    <w:basedOn w:val="231"/>
    <w:link w:val="64"/>
    <w:uiPriority w:val="0"/>
    <w:rPr>
      <w:rFonts w:asciiTheme="minorHAnsi" w:hAnsiTheme="minorHAnsi" w:eastAsiaTheme="minorEastAsia" w:cstheme="minorBidi"/>
      <w:color w:val="595959" w:themeColor="text1" w:themeTint="A6"/>
      <w:spacing w:val="15"/>
      <w:kern w:val="2"/>
      <w:sz w:val="22"/>
      <w:szCs w:val="22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417">
    <w:name w:val="不明显强调1"/>
    <w:basedOn w:val="231"/>
    <w:qFormat/>
    <w:uiPriority w:val="1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418">
    <w:name w:val="不明显参考1"/>
    <w:basedOn w:val="231"/>
    <w:qFormat/>
    <w:uiPriority w:val="31"/>
    <w:rPr>
      <w:smallCap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table" w:customStyle="1" w:styleId="419">
    <w:name w:val="网格型浅色1"/>
    <w:basedOn w:val="88"/>
    <w:uiPriority w:val="40"/>
    <w:tblPr>
      <w:tblBorders>
        <w:top w:val="single" w:color="BEBEBE" w:themeColor="background1" w:themeShade="BF" w:sz="4" w:space="0"/>
        <w:left w:val="single" w:color="BEBEBE" w:themeColor="background1" w:themeShade="BF" w:sz="4" w:space="0"/>
        <w:bottom w:val="single" w:color="BEBEBE" w:themeColor="background1" w:themeShade="BF" w:sz="4" w:space="0"/>
        <w:right w:val="single" w:color="BEBEBE" w:themeColor="background1" w:themeShade="BF" w:sz="4" w:space="0"/>
        <w:insideH w:val="single" w:color="BEBEBE" w:themeColor="background1" w:themeShade="BF" w:sz="4" w:space="0"/>
        <w:insideV w:val="single" w:color="BEBEBE" w:themeColor="background1" w:themeShade="BF" w:sz="4" w:space="0"/>
      </w:tblBorders>
    </w:tblPr>
  </w:style>
  <w:style w:type="character" w:customStyle="1" w:styleId="420">
    <w:name w:val="标题 字符"/>
    <w:basedOn w:val="231"/>
    <w:link w:val="84"/>
    <w:uiPriority w:val="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customStyle="1" w:styleId="421">
    <w:name w:val="TOC 标题1"/>
    <w:basedOn w:val="3"/>
    <w:next w:val="1"/>
    <w:semiHidden/>
    <w:unhideWhenUsed/>
    <w:qFormat/>
    <w:uiPriority w:val="39"/>
    <w:pPr>
      <w:spacing w:before="240" w:after="0" w:line="240" w:lineRule="auto"/>
      <w:outlineLvl w:val="9"/>
    </w:pPr>
    <w:rPr>
      <w:rFonts w:asciiTheme="majorHAnsi" w:hAnsiTheme="majorHAnsi" w:eastAsiaTheme="majorEastAsia" w:cstheme="majorBidi"/>
      <w:b w:val="0"/>
      <w:bCs w:val="0"/>
      <w:color w:val="2E75B6" w:themeColor="accent1" w:themeShade="BF"/>
      <w:kern w:val="2"/>
      <w:sz w:val="32"/>
      <w:szCs w:val="32"/>
    </w:rPr>
  </w:style>
  <w:style w:type="character" w:customStyle="1" w:styleId="422">
    <w:name w:val="未处理的提及1"/>
    <w:basedOn w:val="231"/>
    <w:uiPriority w:val="0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numbering" Target="numbering.xml"/><Relationship Id="rId7" Type="http://schemas.openxmlformats.org/officeDocument/2006/relationships/image" Target="media/image4.pn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05E4373-7D5C-44B3-B998-77872C7DD0F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610</Words>
  <Characters>3406</Characters>
  <Lines>524</Lines>
  <Paragraphs>147</Paragraphs>
  <TotalTime>18</TotalTime>
  <ScaleCrop>false</ScaleCrop>
  <LinksUpToDate>false</LinksUpToDate>
  <CharactersWithSpaces>3915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2022-10-06T18:05:00Z</dcterms:created>
  <dc:creator>wangc</dc:creator>
  <dc:description>NE.Rep</dc:description>
  <cp:lastModifiedBy>修改批注</cp:lastModifiedBy>
  <dcterms:modified xsi:type="dcterms:W3CDTF">2022-10-09T10:12:54Z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31844DB5A941480C8462BEF1D54419DB</vt:lpwstr>
  </property>
  <property fmtid="{D5CDD505-2E9C-101B-9397-08002B2CF9AE}" pid="3" name="KSOProductBuildVer">
    <vt:lpwstr>2052-11.1.0.12358</vt:lpwstr>
  </property>
  <property fmtid="{D5CDD505-2E9C-101B-9397-08002B2CF9AE}" pid="4" name="LE1">
    <vt:filetime>2022-10-02T14:27:46Z</vt:filetime>
  </property>
  <property fmtid="{D5CDD505-2E9C-101B-9397-08002B2CF9AE}" pid="5" name="ReminderText">
    <vt:lpwstr>_9HDSXWSG</vt:lpwstr>
  </property>
</Properties>
</file>