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37D1" w14:textId="776D4A96" w:rsidR="00D04BCF" w:rsidRPr="00966C3A" w:rsidRDefault="00BB2D2A" w:rsidP="00966C3A">
      <w:pPr>
        <w:spacing w:after="240"/>
        <w:rPr>
          <w:b/>
          <w:bCs/>
          <w:sz w:val="28"/>
          <w:szCs w:val="28"/>
        </w:rPr>
      </w:pPr>
      <w:r w:rsidRPr="00966C3A">
        <w:rPr>
          <w:b/>
          <w:bCs/>
          <w:sz w:val="28"/>
          <w:szCs w:val="28"/>
        </w:rPr>
        <w:t>Supplementary Materials</w:t>
      </w:r>
    </w:p>
    <w:p w14:paraId="7A360BEA" w14:textId="450740B4" w:rsidR="00B5371D" w:rsidRPr="00B2293F" w:rsidRDefault="00B5371D" w:rsidP="00B5371D">
      <w:pPr>
        <w:pStyle w:val="Head"/>
        <w:spacing w:before="100" w:beforeAutospacing="1" w:after="240" w:line="360" w:lineRule="auto"/>
        <w:jc w:val="left"/>
      </w:pPr>
      <w:r w:rsidRPr="00B2293F">
        <w:t>Visualizing field-effect</w:t>
      </w:r>
      <w:r>
        <w:t>s</w:t>
      </w:r>
      <w:r w:rsidRPr="00B2293F">
        <w:t xml:space="preserve"> and chemical passivation </w:t>
      </w:r>
      <w:r>
        <w:t>in</w:t>
      </w:r>
      <w:r w:rsidRPr="00B2293F">
        <w:t xml:space="preserve"> efficient </w:t>
      </w:r>
      <w:r w:rsidRPr="00F772AA">
        <w:t>2D/3D heterojunction</w:t>
      </w:r>
      <w:r w:rsidRPr="00B2293F">
        <w:rPr>
          <w:color w:val="000000" w:themeColor="text1"/>
          <w:sz w:val="24"/>
          <w:szCs w:val="24"/>
        </w:rPr>
        <w:t xml:space="preserve"> </w:t>
      </w:r>
      <w:r w:rsidRPr="00B2293F">
        <w:t>perovskite solar cells and modules</w:t>
      </w:r>
    </w:p>
    <w:p w14:paraId="0673F790" w14:textId="77777777" w:rsidR="00B5371D" w:rsidRPr="00B2293F" w:rsidRDefault="00B5371D" w:rsidP="00B5371D">
      <w:pPr>
        <w:pStyle w:val="Paragraph"/>
        <w:tabs>
          <w:tab w:val="left" w:pos="8130"/>
        </w:tabs>
        <w:spacing w:line="360" w:lineRule="auto"/>
        <w:ind w:firstLine="0"/>
        <w:jc w:val="both"/>
        <w:rPr>
          <w:color w:val="000000" w:themeColor="text1"/>
          <w:vertAlign w:val="superscript"/>
        </w:rPr>
      </w:pPr>
      <w:proofErr w:type="spellStart"/>
      <w:r w:rsidRPr="00B2293F">
        <w:rPr>
          <w:color w:val="000000" w:themeColor="text1"/>
        </w:rPr>
        <w:t>Weichuang</w:t>
      </w:r>
      <w:proofErr w:type="spellEnd"/>
      <w:r w:rsidRPr="00B2293F">
        <w:rPr>
          <w:color w:val="000000" w:themeColor="text1"/>
        </w:rPr>
        <w:t xml:space="preserve"> Yang</w:t>
      </w:r>
      <w:r w:rsidRPr="00B2293F">
        <w:rPr>
          <w:color w:val="000000" w:themeColor="text1"/>
          <w:vertAlign w:val="superscript"/>
        </w:rPr>
        <w:t>1,7</w:t>
      </w:r>
      <w:r w:rsidRPr="00B2293F">
        <w:rPr>
          <w:color w:val="000000" w:themeColor="text1"/>
          <w:vertAlign w:val="superscript"/>
          <w:lang w:eastAsia="zh-CN"/>
        </w:rPr>
        <w:t>,9</w:t>
      </w:r>
      <w:r w:rsidRPr="00B2293F">
        <w:rPr>
          <w:color w:val="000000" w:themeColor="text1"/>
        </w:rPr>
        <w:t>, Bin Ding</w:t>
      </w:r>
      <w:r w:rsidRPr="00B2293F">
        <w:rPr>
          <w:color w:val="000000" w:themeColor="text1"/>
          <w:vertAlign w:val="superscript"/>
        </w:rPr>
        <w:t>2,9</w:t>
      </w:r>
      <w:r w:rsidRPr="00B2293F">
        <w:rPr>
          <w:color w:val="000000" w:themeColor="text1"/>
        </w:rPr>
        <w:t xml:space="preserve">, </w:t>
      </w:r>
      <w:proofErr w:type="spellStart"/>
      <w:r w:rsidRPr="00B2293F">
        <w:rPr>
          <w:color w:val="000000" w:themeColor="text1"/>
        </w:rPr>
        <w:t>Zhenhai</w:t>
      </w:r>
      <w:proofErr w:type="spellEnd"/>
      <w:r w:rsidRPr="00B2293F">
        <w:rPr>
          <w:color w:val="000000" w:themeColor="text1"/>
        </w:rPr>
        <w:t xml:space="preserve"> Yang</w:t>
      </w:r>
      <w:r w:rsidRPr="00B2293F">
        <w:rPr>
          <w:color w:val="000000" w:themeColor="text1"/>
          <w:vertAlign w:val="superscript"/>
        </w:rPr>
        <w:t>1,3,9</w:t>
      </w:r>
      <w:r w:rsidRPr="00B2293F">
        <w:rPr>
          <w:color w:val="000000" w:themeColor="text1"/>
        </w:rPr>
        <w:t>, Zedong Lin</w:t>
      </w:r>
      <w:r w:rsidRPr="00B2293F">
        <w:rPr>
          <w:color w:val="000000" w:themeColor="text1"/>
          <w:vertAlign w:val="superscript"/>
        </w:rPr>
        <w:t>5,6,9</w:t>
      </w:r>
      <w:r w:rsidRPr="00B2293F">
        <w:rPr>
          <w:color w:val="000000" w:themeColor="text1"/>
        </w:rPr>
        <w:t xml:space="preserve">, </w:t>
      </w:r>
      <w:proofErr w:type="spellStart"/>
      <w:r w:rsidRPr="00B2293F">
        <w:rPr>
          <w:color w:val="000000" w:themeColor="text1"/>
        </w:rPr>
        <w:t>J</w:t>
      </w:r>
      <w:r w:rsidRPr="00B2293F">
        <w:rPr>
          <w:color w:val="000000" w:themeColor="text1"/>
          <w:lang w:eastAsia="zh-CN"/>
        </w:rPr>
        <w:t>ingsong</w:t>
      </w:r>
      <w:proofErr w:type="spellEnd"/>
      <w:r w:rsidRPr="00B2293F">
        <w:rPr>
          <w:color w:val="000000" w:themeColor="text1"/>
        </w:rPr>
        <w:t xml:space="preserve"> S</w:t>
      </w:r>
      <w:r w:rsidRPr="00B2293F">
        <w:rPr>
          <w:color w:val="000000" w:themeColor="text1"/>
          <w:lang w:eastAsia="zh-CN"/>
        </w:rPr>
        <w:t>un</w:t>
      </w:r>
      <w:r w:rsidRPr="00B2293F">
        <w:rPr>
          <w:color w:val="000000" w:themeColor="text1"/>
          <w:vertAlign w:val="superscript"/>
          <w:lang w:eastAsia="zh-CN"/>
        </w:rPr>
        <w:t>1,8</w:t>
      </w:r>
      <w:r w:rsidRPr="00B2293F">
        <w:rPr>
          <w:color w:val="000000" w:themeColor="text1"/>
          <w:lang w:eastAsia="zh-CN"/>
        </w:rPr>
        <w:t>,</w:t>
      </w:r>
      <w:r w:rsidRPr="00B2293F">
        <w:rPr>
          <w:color w:val="000000" w:themeColor="text1"/>
        </w:rPr>
        <w:t xml:space="preserve"> </w:t>
      </w:r>
      <w:proofErr w:type="spellStart"/>
      <w:r w:rsidRPr="00B2293F">
        <w:rPr>
          <w:color w:val="000000" w:themeColor="text1"/>
        </w:rPr>
        <w:t>YuanYuan</w:t>
      </w:r>
      <w:proofErr w:type="spellEnd"/>
      <w:r w:rsidRPr="00B2293F">
        <w:rPr>
          <w:color w:val="000000" w:themeColor="text1"/>
        </w:rPr>
        <w:t xml:space="preserve"> Meng</w:t>
      </w:r>
      <w:r w:rsidRPr="00B2293F">
        <w:rPr>
          <w:color w:val="000000" w:themeColor="text1"/>
          <w:vertAlign w:val="superscript"/>
        </w:rPr>
        <w:t>1</w:t>
      </w:r>
      <w:r w:rsidRPr="00B2293F">
        <w:rPr>
          <w:color w:val="000000" w:themeColor="text1"/>
        </w:rPr>
        <w:t>, Jiang Sheng</w:t>
      </w:r>
      <w:r w:rsidRPr="00B2293F">
        <w:rPr>
          <w:color w:val="000000" w:themeColor="text1"/>
          <w:vertAlign w:val="superscript"/>
        </w:rPr>
        <w:t xml:space="preserve">1 </w:t>
      </w:r>
      <w:r w:rsidRPr="00B2293F">
        <w:rPr>
          <w:color w:val="000000" w:themeColor="text1"/>
          <w:vertAlign w:val="superscript"/>
        </w:rPr>
        <w:sym w:font="Wingdings" w:char="F02A"/>
      </w:r>
      <w:r w:rsidRPr="00B2293F">
        <w:rPr>
          <w:color w:val="000000" w:themeColor="text1"/>
        </w:rPr>
        <w:t>, Yong Ding</w:t>
      </w:r>
      <w:r w:rsidRPr="00B2293F">
        <w:rPr>
          <w:color w:val="000000" w:themeColor="text1"/>
          <w:vertAlign w:val="superscript"/>
        </w:rPr>
        <w:t>2,4</w:t>
      </w:r>
      <w:r w:rsidRPr="00B2293F">
        <w:rPr>
          <w:color w:val="000000" w:themeColor="text1"/>
        </w:rPr>
        <w:t xml:space="preserve"> </w:t>
      </w:r>
      <w:r w:rsidRPr="00B2293F">
        <w:rPr>
          <w:color w:val="000000" w:themeColor="text1"/>
          <w:vertAlign w:val="superscript"/>
        </w:rPr>
        <w:sym w:font="Wingdings" w:char="F02A"/>
      </w:r>
      <w:r w:rsidRPr="00B2293F">
        <w:rPr>
          <w:color w:val="000000" w:themeColor="text1"/>
        </w:rPr>
        <w:t xml:space="preserve">, </w:t>
      </w:r>
      <w:proofErr w:type="spellStart"/>
      <w:r w:rsidRPr="00B2293F">
        <w:rPr>
          <w:color w:val="000000" w:themeColor="text1"/>
        </w:rPr>
        <w:t>Jichun</w:t>
      </w:r>
      <w:proofErr w:type="spellEnd"/>
      <w:r w:rsidRPr="00B2293F">
        <w:rPr>
          <w:color w:val="000000" w:themeColor="text1"/>
        </w:rPr>
        <w:t xml:space="preserve"> Ye</w:t>
      </w:r>
      <w:r w:rsidRPr="00B2293F">
        <w:rPr>
          <w:color w:val="000000" w:themeColor="text1"/>
          <w:vertAlign w:val="superscript"/>
        </w:rPr>
        <w:t xml:space="preserve">1 </w:t>
      </w:r>
      <w:r w:rsidRPr="00B2293F">
        <w:rPr>
          <w:color w:val="000000" w:themeColor="text1"/>
          <w:vertAlign w:val="superscript"/>
        </w:rPr>
        <w:sym w:font="Wingdings" w:char="F02A"/>
      </w:r>
      <w:r w:rsidRPr="00B2293F">
        <w:rPr>
          <w:color w:val="000000" w:themeColor="text1"/>
        </w:rPr>
        <w:t>, Paul J. Dyson</w:t>
      </w:r>
      <w:r w:rsidRPr="00B2293F">
        <w:rPr>
          <w:color w:val="000000" w:themeColor="text1"/>
          <w:vertAlign w:val="superscript"/>
        </w:rPr>
        <w:t>2</w:t>
      </w:r>
      <w:r w:rsidRPr="00B2293F">
        <w:rPr>
          <w:color w:val="000000" w:themeColor="text1"/>
        </w:rPr>
        <w:t>, and Mohammad Khaja Nazeeruddin</w:t>
      </w:r>
      <w:r w:rsidRPr="00B2293F">
        <w:rPr>
          <w:color w:val="000000" w:themeColor="text1"/>
          <w:vertAlign w:val="superscript"/>
        </w:rPr>
        <w:t xml:space="preserve">2 </w:t>
      </w:r>
      <w:r w:rsidRPr="00B2293F">
        <w:rPr>
          <w:color w:val="000000" w:themeColor="text1"/>
          <w:vertAlign w:val="superscript"/>
        </w:rPr>
        <w:sym w:font="Wingdings" w:char="F02A"/>
      </w:r>
    </w:p>
    <w:p w14:paraId="29ED03FD" w14:textId="77777777" w:rsidR="00B5371D" w:rsidRPr="00B2293F" w:rsidRDefault="00B5371D" w:rsidP="00B5371D">
      <w:pPr>
        <w:pStyle w:val="Paragraph"/>
        <w:tabs>
          <w:tab w:val="left" w:pos="8130"/>
        </w:tabs>
        <w:spacing w:before="240" w:line="360" w:lineRule="auto"/>
        <w:ind w:firstLine="0"/>
        <w:jc w:val="both"/>
        <w:rPr>
          <w:color w:val="000000" w:themeColor="text1"/>
        </w:rPr>
      </w:pPr>
      <w:r w:rsidRPr="00B2293F">
        <w:rPr>
          <w:color w:val="000000" w:themeColor="text1"/>
          <w:vertAlign w:val="superscript"/>
        </w:rPr>
        <w:t>1</w:t>
      </w:r>
      <w:r w:rsidRPr="00B2293F">
        <w:rPr>
          <w:color w:val="000000" w:themeColor="text1"/>
        </w:rPr>
        <w:t>Zhejiang Provincial Engineering Research Center of Energy Optoelectronic Materials and Devices</w:t>
      </w:r>
      <w:r>
        <w:rPr>
          <w:color w:val="000000" w:themeColor="text1"/>
          <w:lang w:eastAsia="zh-CN"/>
        </w:rPr>
        <w:t>,</w:t>
      </w:r>
      <w:r w:rsidRPr="00B2293F">
        <w:rPr>
          <w:color w:val="000000" w:themeColor="text1"/>
        </w:rPr>
        <w:t xml:space="preserve"> Ningbo Institute of Materials Technology and Engineering, Chinese Academy of Sciences (CAS), Ningbo, P. R. China.</w:t>
      </w:r>
    </w:p>
    <w:p w14:paraId="04BECEFD" w14:textId="77777777" w:rsidR="00B5371D" w:rsidRPr="00B2293F" w:rsidRDefault="00B5371D" w:rsidP="00B5371D">
      <w:pPr>
        <w:snapToGrid w:val="0"/>
        <w:spacing w:before="120" w:line="360" w:lineRule="auto"/>
        <w:jc w:val="both"/>
        <w:rPr>
          <w:color w:val="000000" w:themeColor="text1"/>
          <w:szCs w:val="24"/>
          <w:vertAlign w:val="superscript"/>
        </w:rPr>
      </w:pPr>
      <w:r w:rsidRPr="00B2293F">
        <w:rPr>
          <w:color w:val="000000" w:themeColor="text1"/>
          <w:szCs w:val="24"/>
          <w:vertAlign w:val="superscript"/>
        </w:rPr>
        <w:t>2</w:t>
      </w:r>
      <w:r w:rsidRPr="00B2293F">
        <w:rPr>
          <w:color w:val="000000" w:themeColor="text1"/>
          <w:szCs w:val="24"/>
        </w:rPr>
        <w:t xml:space="preserve">Institute of Chemical Sciences and Engineering, </w:t>
      </w:r>
      <w:r w:rsidRPr="00283D77">
        <w:rPr>
          <w:color w:val="000000" w:themeColor="text1"/>
          <w:szCs w:val="24"/>
        </w:rPr>
        <w:t xml:space="preserve">École Polytechnique </w:t>
      </w:r>
      <w:proofErr w:type="spellStart"/>
      <w:r w:rsidRPr="00283D77">
        <w:rPr>
          <w:color w:val="000000" w:themeColor="text1"/>
          <w:szCs w:val="24"/>
        </w:rPr>
        <w:t>Fédérale</w:t>
      </w:r>
      <w:proofErr w:type="spellEnd"/>
      <w:r w:rsidRPr="00283D77">
        <w:rPr>
          <w:color w:val="000000" w:themeColor="text1"/>
          <w:szCs w:val="24"/>
        </w:rPr>
        <w:t xml:space="preserve"> de Lausanne (EPFL)</w:t>
      </w:r>
      <w:r>
        <w:rPr>
          <w:color w:val="000000" w:themeColor="text1"/>
          <w:szCs w:val="24"/>
        </w:rPr>
        <w:t>,</w:t>
      </w:r>
      <w:r w:rsidRPr="00B2293F">
        <w:rPr>
          <w:color w:val="000000" w:themeColor="text1"/>
          <w:szCs w:val="24"/>
        </w:rPr>
        <w:t xml:space="preserve"> Sion, Switzerland.</w:t>
      </w:r>
    </w:p>
    <w:p w14:paraId="27177DBA" w14:textId="77777777" w:rsidR="00B5371D" w:rsidRPr="00B2293F" w:rsidRDefault="00B5371D" w:rsidP="00B5371D">
      <w:pPr>
        <w:snapToGrid w:val="0"/>
        <w:spacing w:before="120" w:line="360" w:lineRule="auto"/>
        <w:jc w:val="both"/>
        <w:rPr>
          <w:color w:val="000000" w:themeColor="text1"/>
          <w:szCs w:val="24"/>
        </w:rPr>
      </w:pPr>
      <w:r w:rsidRPr="00B2293F">
        <w:rPr>
          <w:color w:val="000000" w:themeColor="text1"/>
          <w:szCs w:val="24"/>
          <w:vertAlign w:val="superscript"/>
        </w:rPr>
        <w:t>3</w:t>
      </w:r>
      <w:r w:rsidRPr="00B2293F">
        <w:rPr>
          <w:color w:val="000000" w:themeColor="text1"/>
          <w:szCs w:val="24"/>
        </w:rPr>
        <w:t>School of Optoelectronic Science and Engineering &amp; Collaborative Innovation Center of Suzhou Nano Science and Technology</w:t>
      </w:r>
      <w:r>
        <w:rPr>
          <w:color w:val="000000" w:themeColor="text1"/>
          <w:szCs w:val="24"/>
        </w:rPr>
        <w:t>,</w:t>
      </w:r>
      <w:r w:rsidRPr="00B2293F">
        <w:rPr>
          <w:color w:val="000000" w:themeColor="text1"/>
          <w:szCs w:val="24"/>
        </w:rPr>
        <w:t xml:space="preserve"> Key Lab of Advanced Optical Manufacturing Technologies of Jiangsu Province &amp; Key Lab of Modern Optical Technologies of Education Ministry of China, Soochow University</w:t>
      </w:r>
      <w:r>
        <w:rPr>
          <w:color w:val="000000" w:themeColor="text1"/>
          <w:szCs w:val="24"/>
        </w:rPr>
        <w:t>,</w:t>
      </w:r>
      <w:r w:rsidRPr="00B2293F">
        <w:rPr>
          <w:color w:val="000000" w:themeColor="text1"/>
          <w:szCs w:val="24"/>
        </w:rPr>
        <w:t xml:space="preserve"> Suzhou, P. R. China.</w:t>
      </w:r>
    </w:p>
    <w:p w14:paraId="4B3F1CCA" w14:textId="77777777" w:rsidR="00B5371D" w:rsidRPr="00B2293F" w:rsidRDefault="00B5371D" w:rsidP="00B5371D">
      <w:pPr>
        <w:snapToGrid w:val="0"/>
        <w:spacing w:before="120" w:line="360" w:lineRule="auto"/>
        <w:jc w:val="both"/>
        <w:rPr>
          <w:color w:val="000000" w:themeColor="text1"/>
          <w:szCs w:val="24"/>
          <w:vertAlign w:val="superscript"/>
        </w:rPr>
      </w:pPr>
      <w:r w:rsidRPr="00B2293F">
        <w:rPr>
          <w:color w:val="000000" w:themeColor="text1"/>
          <w:szCs w:val="24"/>
          <w:vertAlign w:val="superscript"/>
        </w:rPr>
        <w:t>4</w:t>
      </w:r>
      <w:r w:rsidRPr="00B2293F">
        <w:rPr>
          <w:color w:val="000000" w:themeColor="text1"/>
          <w:szCs w:val="24"/>
        </w:rPr>
        <w:t>State Key Laboratory of Alternate Electrical Power System with Renewable Energy Sources, North China Electric Power University</w:t>
      </w:r>
      <w:r>
        <w:rPr>
          <w:color w:val="000000" w:themeColor="text1"/>
          <w:szCs w:val="24"/>
        </w:rPr>
        <w:t>,</w:t>
      </w:r>
      <w:r w:rsidRPr="00B2293F">
        <w:rPr>
          <w:color w:val="000000" w:themeColor="text1"/>
          <w:szCs w:val="24"/>
        </w:rPr>
        <w:t xml:space="preserve"> Beijing, P. R. China</w:t>
      </w:r>
      <w:r w:rsidRPr="00B2293F">
        <w:rPr>
          <w:color w:val="000000" w:themeColor="text1"/>
          <w:szCs w:val="24"/>
          <w:lang w:eastAsia="zh-CN"/>
        </w:rPr>
        <w:t>.</w:t>
      </w:r>
    </w:p>
    <w:p w14:paraId="4F405184" w14:textId="77777777" w:rsidR="00B5371D" w:rsidRPr="00B2293F" w:rsidRDefault="00B5371D" w:rsidP="00B5371D">
      <w:pPr>
        <w:snapToGrid w:val="0"/>
        <w:spacing w:before="120" w:line="360" w:lineRule="auto"/>
        <w:jc w:val="both"/>
        <w:rPr>
          <w:color w:val="000000" w:themeColor="text1"/>
          <w:szCs w:val="24"/>
        </w:rPr>
      </w:pPr>
      <w:r w:rsidRPr="00B2293F">
        <w:rPr>
          <w:color w:val="000000" w:themeColor="text1"/>
          <w:szCs w:val="24"/>
          <w:vertAlign w:val="superscript"/>
        </w:rPr>
        <w:t>5</w:t>
      </w:r>
      <w:r w:rsidRPr="00B2293F">
        <w:rPr>
          <w:color w:val="000000" w:themeColor="text1"/>
          <w:szCs w:val="24"/>
        </w:rPr>
        <w:t>Guangdong Provincial Key Lab of Nano-Micro Materials Research, School of Chemical Biology and Biotechnology, Shenzhen Graduate School, Peking University</w:t>
      </w:r>
      <w:r>
        <w:rPr>
          <w:color w:val="000000" w:themeColor="text1"/>
          <w:szCs w:val="24"/>
        </w:rPr>
        <w:t>,</w:t>
      </w:r>
      <w:r w:rsidRPr="00B2293F">
        <w:rPr>
          <w:color w:val="000000" w:themeColor="text1"/>
          <w:szCs w:val="24"/>
        </w:rPr>
        <w:t xml:space="preserve"> Shenzhen, P. R. China.</w:t>
      </w:r>
    </w:p>
    <w:p w14:paraId="71841083" w14:textId="77777777" w:rsidR="00B5371D" w:rsidRPr="00B2293F" w:rsidRDefault="00B5371D" w:rsidP="00B5371D">
      <w:pPr>
        <w:snapToGrid w:val="0"/>
        <w:spacing w:before="120" w:line="360" w:lineRule="auto"/>
        <w:jc w:val="both"/>
        <w:rPr>
          <w:color w:val="000000" w:themeColor="text1"/>
          <w:szCs w:val="24"/>
        </w:rPr>
      </w:pPr>
      <w:r w:rsidRPr="00B2293F">
        <w:rPr>
          <w:color w:val="000000" w:themeColor="text1"/>
          <w:szCs w:val="24"/>
          <w:vertAlign w:val="superscript"/>
        </w:rPr>
        <w:t>6</w:t>
      </w:r>
      <w:r w:rsidRPr="00B2293F">
        <w:rPr>
          <w:color w:val="000000" w:themeColor="text1"/>
          <w:szCs w:val="24"/>
        </w:rPr>
        <w:t>Institute of Biomedical Engineering, Shenzhen Bay Laboratory</w:t>
      </w:r>
      <w:r>
        <w:rPr>
          <w:color w:val="000000" w:themeColor="text1"/>
          <w:szCs w:val="24"/>
        </w:rPr>
        <w:t>,</w:t>
      </w:r>
      <w:r w:rsidRPr="00B2293F">
        <w:rPr>
          <w:color w:val="000000" w:themeColor="text1"/>
          <w:szCs w:val="24"/>
        </w:rPr>
        <w:t xml:space="preserve"> Shenzhen, P. R. China.</w:t>
      </w:r>
    </w:p>
    <w:p w14:paraId="727A7071" w14:textId="77777777" w:rsidR="00B5371D" w:rsidRPr="00B2293F" w:rsidRDefault="00B5371D" w:rsidP="00B5371D">
      <w:pPr>
        <w:snapToGrid w:val="0"/>
        <w:spacing w:before="120" w:line="360" w:lineRule="auto"/>
        <w:jc w:val="both"/>
        <w:rPr>
          <w:color w:val="000000" w:themeColor="text1"/>
          <w:szCs w:val="24"/>
        </w:rPr>
      </w:pPr>
      <w:r w:rsidRPr="00B2293F">
        <w:rPr>
          <w:color w:val="000000" w:themeColor="text1"/>
          <w:szCs w:val="24"/>
          <w:vertAlign w:val="superscript"/>
        </w:rPr>
        <w:t>7</w:t>
      </w:r>
      <w:r w:rsidRPr="00B2293F">
        <w:rPr>
          <w:color w:val="000000" w:themeColor="text1"/>
          <w:szCs w:val="24"/>
        </w:rPr>
        <w:t>University of Chinese Academy of Sciences</w:t>
      </w:r>
      <w:r>
        <w:rPr>
          <w:color w:val="000000" w:themeColor="text1"/>
          <w:szCs w:val="24"/>
        </w:rPr>
        <w:t>,</w:t>
      </w:r>
      <w:r w:rsidRPr="00B2293F">
        <w:rPr>
          <w:color w:val="000000" w:themeColor="text1"/>
          <w:szCs w:val="24"/>
        </w:rPr>
        <w:t xml:space="preserve"> Beijing, P. R. China.</w:t>
      </w:r>
    </w:p>
    <w:p w14:paraId="5E388CD2" w14:textId="77777777" w:rsidR="00B5371D" w:rsidRPr="00B2293F" w:rsidRDefault="00B5371D" w:rsidP="00B5371D">
      <w:pPr>
        <w:snapToGrid w:val="0"/>
        <w:spacing w:before="120" w:line="360" w:lineRule="auto"/>
        <w:jc w:val="both"/>
        <w:rPr>
          <w:szCs w:val="24"/>
        </w:rPr>
      </w:pPr>
      <w:r w:rsidRPr="00B2293F">
        <w:rPr>
          <w:szCs w:val="24"/>
          <w:vertAlign w:val="superscript"/>
        </w:rPr>
        <w:t>8</w:t>
      </w:r>
      <w:r w:rsidRPr="00B2293F">
        <w:rPr>
          <w:szCs w:val="24"/>
        </w:rPr>
        <w:t xml:space="preserve">Zhejiang Energy Group R&amp;D 152 </w:t>
      </w:r>
      <w:proofErr w:type="spellStart"/>
      <w:r w:rsidRPr="00B2293F">
        <w:rPr>
          <w:szCs w:val="24"/>
        </w:rPr>
        <w:t>Tianmushan</w:t>
      </w:r>
      <w:proofErr w:type="spellEnd"/>
      <w:r w:rsidRPr="00B2293F">
        <w:rPr>
          <w:szCs w:val="24"/>
        </w:rPr>
        <w:t xml:space="preserve"> Road, </w:t>
      </w:r>
      <w:proofErr w:type="spellStart"/>
      <w:r w:rsidRPr="00B2293F">
        <w:rPr>
          <w:szCs w:val="24"/>
        </w:rPr>
        <w:t>Xihu</w:t>
      </w:r>
      <w:proofErr w:type="spellEnd"/>
      <w:r w:rsidRPr="00B2293F">
        <w:rPr>
          <w:szCs w:val="24"/>
        </w:rPr>
        <w:t xml:space="preserve"> District, Hangzhou City 310003, China.</w:t>
      </w:r>
    </w:p>
    <w:p w14:paraId="3A7F322D" w14:textId="77777777" w:rsidR="00B5371D" w:rsidRPr="00B2293F" w:rsidRDefault="00B5371D" w:rsidP="00B5371D">
      <w:pPr>
        <w:snapToGrid w:val="0"/>
        <w:spacing w:before="120" w:line="360" w:lineRule="auto"/>
        <w:jc w:val="both"/>
        <w:rPr>
          <w:szCs w:val="24"/>
          <w:lang w:eastAsia="zh-CN"/>
        </w:rPr>
      </w:pPr>
      <w:r w:rsidRPr="00B2293F">
        <w:rPr>
          <w:szCs w:val="24"/>
          <w:vertAlign w:val="superscript"/>
          <w:lang w:eastAsia="zh-CN"/>
        </w:rPr>
        <w:t>9</w:t>
      </w:r>
      <w:r w:rsidRPr="00B2293F">
        <w:rPr>
          <w:color w:val="000000" w:themeColor="text1"/>
          <w:szCs w:val="24"/>
        </w:rPr>
        <w:t>These authors contributed equally to this work.</w:t>
      </w:r>
    </w:p>
    <w:p w14:paraId="3CB4B2AD" w14:textId="77777777" w:rsidR="00B5371D" w:rsidRPr="00B2293F" w:rsidRDefault="00B5371D" w:rsidP="00B5371D">
      <w:pPr>
        <w:pStyle w:val="Paragraph"/>
        <w:spacing w:line="360" w:lineRule="auto"/>
        <w:ind w:firstLine="0"/>
      </w:pPr>
      <w:r w:rsidRPr="00B2293F">
        <w:t>*Corresponding author</w:t>
      </w:r>
      <w:r>
        <w:t>s</w:t>
      </w:r>
      <w:r w:rsidRPr="00B2293F">
        <w:t>. Email: shengjiang@nimte.ac.cn; dingy@ncepu.edu.cn; jichun.ye@nimte.ac.cn; mdkhaja.nazeeruddin@epfl.ch</w:t>
      </w:r>
    </w:p>
    <w:p w14:paraId="56364198" w14:textId="7B3777E0" w:rsidR="00015F74" w:rsidRDefault="00015F74" w:rsidP="00B5371D">
      <w:pPr>
        <w:pStyle w:val="Head"/>
        <w:spacing w:before="100" w:beforeAutospacing="1" w:after="240" w:line="360" w:lineRule="auto"/>
        <w:jc w:val="left"/>
      </w:pPr>
      <w:r>
        <w:br w:type="page"/>
      </w:r>
      <w:bookmarkStart w:id="0" w:name="Tables"/>
      <w:bookmarkStart w:id="1" w:name="MaterialsMethods"/>
      <w:bookmarkEnd w:id="0"/>
      <w:bookmarkEnd w:id="1"/>
      <w:r w:rsidRPr="00B43B31">
        <w:lastRenderedPageBreak/>
        <w:t>Methods</w:t>
      </w:r>
    </w:p>
    <w:p w14:paraId="7A7F4459" w14:textId="48DB6658" w:rsidR="00F74F95" w:rsidRPr="00915137" w:rsidRDefault="00397524" w:rsidP="006D2BEF">
      <w:pPr>
        <w:pStyle w:val="SMSubheading"/>
        <w:spacing w:before="120" w:line="360" w:lineRule="auto"/>
        <w:rPr>
          <w:b/>
          <w:bCs/>
          <w:u w:val="none"/>
        </w:rPr>
      </w:pPr>
      <w:r w:rsidRPr="00915137">
        <w:rPr>
          <w:b/>
          <w:bCs/>
          <w:u w:val="none"/>
        </w:rPr>
        <w:t>Materials and reagents</w:t>
      </w:r>
    </w:p>
    <w:p w14:paraId="67368AEE" w14:textId="77777777" w:rsidR="00F76B85" w:rsidRDefault="00F76B85" w:rsidP="006D2BEF">
      <w:pPr>
        <w:pStyle w:val="SMText"/>
        <w:spacing w:before="120" w:line="360" w:lineRule="auto"/>
        <w:ind w:firstLine="482"/>
        <w:jc w:val="both"/>
        <w:rPr>
          <w:rFonts w:eastAsia="SimSun"/>
          <w:szCs w:val="24"/>
        </w:rPr>
      </w:pPr>
      <w:r w:rsidRPr="00872164">
        <w:rPr>
          <w:rFonts w:eastAsia="SimSun"/>
          <w:szCs w:val="24"/>
        </w:rPr>
        <w:t>The materials used in the experiments included: lead(ii) iodide (PbI</w:t>
      </w:r>
      <w:r w:rsidRPr="00872164">
        <w:rPr>
          <w:rFonts w:eastAsia="SimSun"/>
          <w:szCs w:val="24"/>
          <w:vertAlign w:val="subscript"/>
        </w:rPr>
        <w:t>2</w:t>
      </w:r>
      <w:r w:rsidRPr="00872164">
        <w:rPr>
          <w:rFonts w:eastAsia="SimSun"/>
          <w:szCs w:val="24"/>
        </w:rPr>
        <w:t>; 99.99%, TCI) , tin(ii) chloride dihydrate (SnCl</w:t>
      </w:r>
      <w:r w:rsidRPr="00872164">
        <w:rPr>
          <w:rFonts w:eastAsia="SimSun"/>
          <w:szCs w:val="24"/>
          <w:vertAlign w:val="subscript"/>
        </w:rPr>
        <w:t>2</w:t>
      </w:r>
      <w:r w:rsidRPr="00872164">
        <w:rPr>
          <w:rFonts w:eastAsia="SimSun"/>
          <w:szCs w:val="24"/>
        </w:rPr>
        <w:t>·2H</w:t>
      </w:r>
      <w:r w:rsidRPr="00872164">
        <w:rPr>
          <w:rFonts w:eastAsia="SimSun"/>
          <w:szCs w:val="24"/>
          <w:vertAlign w:val="subscript"/>
        </w:rPr>
        <w:t>2</w:t>
      </w:r>
      <w:r w:rsidRPr="00872164">
        <w:rPr>
          <w:rFonts w:eastAsia="SimSun"/>
          <w:szCs w:val="24"/>
        </w:rPr>
        <w:t xml:space="preserve">O; 98%, </w:t>
      </w:r>
      <w:proofErr w:type="spellStart"/>
      <w:r w:rsidRPr="00872164">
        <w:rPr>
          <w:rFonts w:eastAsia="SimSun"/>
          <w:szCs w:val="24"/>
        </w:rPr>
        <w:t>Acros</w:t>
      </w:r>
      <w:proofErr w:type="spellEnd"/>
      <w:r w:rsidRPr="00872164">
        <w:rPr>
          <w:rFonts w:eastAsia="SimSun"/>
          <w:szCs w:val="24"/>
        </w:rPr>
        <w:t>), ti</w:t>
      </w:r>
      <w:r w:rsidRPr="00872164">
        <w:rPr>
          <w:rFonts w:eastAsia="SimSun" w:hint="eastAsia"/>
          <w:szCs w:val="24"/>
        </w:rPr>
        <w:t>tan</w:t>
      </w:r>
      <w:r w:rsidRPr="00872164">
        <w:rPr>
          <w:rFonts w:eastAsia="SimSun"/>
          <w:szCs w:val="24"/>
        </w:rPr>
        <w:t>ium(iv) chloride (TiCl</w:t>
      </w:r>
      <w:r w:rsidRPr="00872164">
        <w:rPr>
          <w:rFonts w:eastAsia="SimSun"/>
          <w:szCs w:val="24"/>
          <w:vertAlign w:val="subscript"/>
        </w:rPr>
        <w:t>4</w:t>
      </w:r>
      <w:r w:rsidRPr="00872164">
        <w:rPr>
          <w:rFonts w:eastAsia="SimSun"/>
          <w:szCs w:val="24"/>
        </w:rPr>
        <w:t xml:space="preserve">; 99%, Sigma-Aldrich), hydrochloric acid (HCl; 37 </w:t>
      </w:r>
      <w:proofErr w:type="spellStart"/>
      <w:r w:rsidRPr="00872164">
        <w:rPr>
          <w:rFonts w:eastAsia="SimSun"/>
          <w:szCs w:val="24"/>
        </w:rPr>
        <w:t>wt</w:t>
      </w:r>
      <w:proofErr w:type="spellEnd"/>
      <w:r w:rsidRPr="00872164">
        <w:rPr>
          <w:rFonts w:eastAsia="SimSun"/>
          <w:szCs w:val="24"/>
        </w:rPr>
        <w:t>% in H</w:t>
      </w:r>
      <w:r w:rsidRPr="00872164">
        <w:rPr>
          <w:rFonts w:eastAsia="SimSun"/>
          <w:szCs w:val="24"/>
          <w:vertAlign w:val="subscript"/>
        </w:rPr>
        <w:t>2</w:t>
      </w:r>
      <w:r w:rsidRPr="00872164">
        <w:rPr>
          <w:rFonts w:eastAsia="SimSun"/>
          <w:szCs w:val="24"/>
        </w:rPr>
        <w:t>O, Sigma-Aldrich), methylammonium chloride (</w:t>
      </w:r>
      <w:proofErr w:type="spellStart"/>
      <w:r w:rsidRPr="00872164">
        <w:rPr>
          <w:rFonts w:eastAsia="SimSun"/>
          <w:szCs w:val="24"/>
        </w:rPr>
        <w:t>MACl</w:t>
      </w:r>
      <w:proofErr w:type="spellEnd"/>
      <w:r w:rsidRPr="00872164">
        <w:rPr>
          <w:rFonts w:eastAsia="SimSun"/>
          <w:szCs w:val="24"/>
        </w:rPr>
        <w:t xml:space="preserve">, 99.99%, </w:t>
      </w:r>
      <w:proofErr w:type="spellStart"/>
      <w:r w:rsidRPr="00872164">
        <w:rPr>
          <w:rFonts w:eastAsia="SimSun"/>
          <w:szCs w:val="24"/>
        </w:rPr>
        <w:t>Greatcell</w:t>
      </w:r>
      <w:proofErr w:type="spellEnd"/>
      <w:r w:rsidRPr="00872164">
        <w:rPr>
          <w:rFonts w:eastAsia="SimSun"/>
          <w:szCs w:val="24"/>
        </w:rPr>
        <w:t xml:space="preserve"> solar), </w:t>
      </w:r>
      <w:proofErr w:type="spellStart"/>
      <w:r w:rsidRPr="00872164">
        <w:rPr>
          <w:rFonts w:eastAsia="SimSun"/>
          <w:szCs w:val="24"/>
        </w:rPr>
        <w:t>formamidinium</w:t>
      </w:r>
      <w:proofErr w:type="spellEnd"/>
      <w:r w:rsidRPr="00872164">
        <w:rPr>
          <w:rFonts w:eastAsia="SimSun"/>
          <w:szCs w:val="24"/>
        </w:rPr>
        <w:t xml:space="preserve"> iodide (FAI; 99.99%, </w:t>
      </w:r>
      <w:proofErr w:type="spellStart"/>
      <w:r w:rsidRPr="00872164">
        <w:rPr>
          <w:rFonts w:eastAsia="SimSun"/>
          <w:szCs w:val="24"/>
        </w:rPr>
        <w:t>Greatcell</w:t>
      </w:r>
      <w:proofErr w:type="spellEnd"/>
      <w:r w:rsidRPr="00872164">
        <w:rPr>
          <w:rFonts w:eastAsia="SimSun"/>
          <w:szCs w:val="24"/>
        </w:rPr>
        <w:t xml:space="preserve"> solar) N,N-dimethylformamide (DMF; 99.8%, Sigma-Aldrich), dimethyl sulfoxide (DMSO; 99.9%, Sigma-Aldrich), 2-propanol (99.5%, Sigma-Aldrich), chlorobenzene (99.8%, Sigma-Aldrich), Spiro-</w:t>
      </w:r>
      <w:proofErr w:type="spellStart"/>
      <w:r w:rsidRPr="00872164">
        <w:rPr>
          <w:rFonts w:eastAsia="SimSun"/>
          <w:szCs w:val="24"/>
        </w:rPr>
        <w:t>OMeTAD</w:t>
      </w:r>
      <w:proofErr w:type="spellEnd"/>
      <w:r w:rsidRPr="00872164">
        <w:rPr>
          <w:rFonts w:eastAsia="SimSun"/>
          <w:szCs w:val="24"/>
        </w:rPr>
        <w:t xml:space="preserve"> (</w:t>
      </w:r>
      <w:proofErr w:type="spellStart"/>
      <w:r w:rsidRPr="00872164">
        <w:rPr>
          <w:rFonts w:eastAsia="SimSun"/>
          <w:szCs w:val="24"/>
        </w:rPr>
        <w:t>Borun</w:t>
      </w:r>
      <w:proofErr w:type="spellEnd"/>
      <w:r w:rsidRPr="00872164">
        <w:rPr>
          <w:rFonts w:eastAsia="SimSun"/>
          <w:szCs w:val="24"/>
        </w:rPr>
        <w:t xml:space="preserve"> Tech.), 4-tert-butylpyridine (</w:t>
      </w:r>
      <w:proofErr w:type="spellStart"/>
      <w:r w:rsidRPr="00872164">
        <w:rPr>
          <w:rFonts w:eastAsia="SimSun"/>
          <w:szCs w:val="24"/>
        </w:rPr>
        <w:t>tBP</w:t>
      </w:r>
      <w:proofErr w:type="spellEnd"/>
      <w:r w:rsidRPr="00872164">
        <w:rPr>
          <w:rFonts w:eastAsia="SimSun"/>
          <w:szCs w:val="24"/>
        </w:rPr>
        <w:t>; Sigma-Aldrich), bis(</w:t>
      </w:r>
      <w:proofErr w:type="spellStart"/>
      <w:r w:rsidRPr="00872164">
        <w:rPr>
          <w:rFonts w:eastAsia="SimSun"/>
          <w:szCs w:val="24"/>
        </w:rPr>
        <w:t>trifluoromethane</w:t>
      </w:r>
      <w:proofErr w:type="spellEnd"/>
      <w:r w:rsidRPr="00872164">
        <w:rPr>
          <w:rFonts w:eastAsia="SimSun"/>
          <w:szCs w:val="24"/>
        </w:rPr>
        <w:t>)</w:t>
      </w:r>
      <w:proofErr w:type="spellStart"/>
      <w:r w:rsidRPr="00872164">
        <w:rPr>
          <w:rFonts w:eastAsia="SimSun"/>
          <w:szCs w:val="24"/>
        </w:rPr>
        <w:t>sulfonimide</w:t>
      </w:r>
      <w:proofErr w:type="spellEnd"/>
      <w:r w:rsidRPr="00872164">
        <w:rPr>
          <w:rFonts w:eastAsia="SimSun"/>
          <w:szCs w:val="24"/>
        </w:rPr>
        <w:t xml:space="preserve"> lithium salt (Li-TFSI; 99.95%, Sigma-Aldrich), FK209 Co(iii) TFSI salt (Sigma-Aldrich), acetonitrile (ACN; 99.8%, Sigma-Aldrich).</w:t>
      </w:r>
    </w:p>
    <w:p w14:paraId="65E2BB22" w14:textId="7754761F" w:rsidR="007319BB" w:rsidRPr="00DF2D23" w:rsidRDefault="00B673AA" w:rsidP="006D2BEF">
      <w:pPr>
        <w:pStyle w:val="SMText"/>
        <w:spacing w:before="120" w:line="360" w:lineRule="auto"/>
        <w:ind w:firstLine="0"/>
        <w:rPr>
          <w:b/>
          <w:bCs/>
          <w:color w:val="000000" w:themeColor="text1"/>
          <w:szCs w:val="24"/>
          <w:lang w:val="fr-CH"/>
        </w:rPr>
      </w:pPr>
      <w:r w:rsidRPr="00DF2D23">
        <w:rPr>
          <w:b/>
          <w:bCs/>
          <w:color w:val="000000" w:themeColor="text1"/>
          <w:szCs w:val="24"/>
          <w:lang w:val="fr-CH"/>
        </w:rPr>
        <w:t>Cs</w:t>
      </w:r>
      <w:r w:rsidRPr="00DF2D23">
        <w:rPr>
          <w:b/>
          <w:bCs/>
          <w:color w:val="000000" w:themeColor="text1"/>
          <w:szCs w:val="24"/>
          <w:vertAlign w:val="subscript"/>
          <w:lang w:val="fr-CH"/>
        </w:rPr>
        <w:t>0.05</w:t>
      </w:r>
      <w:r w:rsidRPr="00DF2D23">
        <w:rPr>
          <w:b/>
          <w:bCs/>
          <w:color w:val="000000" w:themeColor="text1"/>
          <w:szCs w:val="24"/>
          <w:lang w:val="fr-CH"/>
        </w:rPr>
        <w:t>MA</w:t>
      </w:r>
      <w:r w:rsidRPr="00DF2D23">
        <w:rPr>
          <w:b/>
          <w:bCs/>
          <w:color w:val="000000" w:themeColor="text1"/>
          <w:szCs w:val="24"/>
          <w:vertAlign w:val="subscript"/>
          <w:lang w:val="fr-CH"/>
        </w:rPr>
        <w:t>0.05</w:t>
      </w:r>
      <w:r w:rsidRPr="00DF2D23">
        <w:rPr>
          <w:b/>
          <w:bCs/>
          <w:color w:val="000000" w:themeColor="text1"/>
          <w:szCs w:val="24"/>
          <w:lang w:val="fr-CH"/>
        </w:rPr>
        <w:t>FA</w:t>
      </w:r>
      <w:r w:rsidRPr="00DF2D23">
        <w:rPr>
          <w:b/>
          <w:bCs/>
          <w:color w:val="000000" w:themeColor="text1"/>
          <w:szCs w:val="24"/>
          <w:vertAlign w:val="subscript"/>
          <w:lang w:val="fr-CH"/>
        </w:rPr>
        <w:t>0.9</w:t>
      </w:r>
      <w:r w:rsidRPr="00DF2D23">
        <w:rPr>
          <w:b/>
          <w:bCs/>
          <w:color w:val="000000" w:themeColor="text1"/>
          <w:szCs w:val="24"/>
          <w:lang w:val="fr-CH"/>
        </w:rPr>
        <w:t>PbI</w:t>
      </w:r>
      <w:r w:rsidRPr="00DF2D23">
        <w:rPr>
          <w:b/>
          <w:bCs/>
          <w:color w:val="000000" w:themeColor="text1"/>
          <w:szCs w:val="24"/>
          <w:vertAlign w:val="subscript"/>
          <w:lang w:val="fr-CH"/>
        </w:rPr>
        <w:t>3</w:t>
      </w:r>
      <w:r w:rsidRPr="00DF2D23">
        <w:rPr>
          <w:b/>
          <w:bCs/>
          <w:color w:val="000000" w:themeColor="text1"/>
          <w:szCs w:val="24"/>
          <w:lang w:val="fr-CH"/>
        </w:rPr>
        <w:t xml:space="preserve"> </w:t>
      </w:r>
      <w:proofErr w:type="spellStart"/>
      <w:r w:rsidRPr="00DF2D23">
        <w:rPr>
          <w:b/>
          <w:bCs/>
          <w:color w:val="000000" w:themeColor="text1"/>
          <w:szCs w:val="24"/>
          <w:lang w:val="fr-CH"/>
        </w:rPr>
        <w:t>perovskite</w:t>
      </w:r>
      <w:proofErr w:type="spellEnd"/>
      <w:r w:rsidRPr="00DF2D23">
        <w:rPr>
          <w:b/>
          <w:bCs/>
          <w:color w:val="000000" w:themeColor="text1"/>
          <w:szCs w:val="24"/>
          <w:lang w:val="fr-CH"/>
        </w:rPr>
        <w:t xml:space="preserve"> </w:t>
      </w:r>
      <w:proofErr w:type="spellStart"/>
      <w:r w:rsidRPr="00DF2D23">
        <w:rPr>
          <w:b/>
          <w:bCs/>
          <w:color w:val="000000" w:themeColor="text1"/>
          <w:szCs w:val="24"/>
          <w:lang w:val="fr-CH"/>
        </w:rPr>
        <w:t>precursor</w:t>
      </w:r>
      <w:proofErr w:type="spellEnd"/>
    </w:p>
    <w:p w14:paraId="10E80D8E" w14:textId="77777777" w:rsidR="00C319FA" w:rsidRPr="00181425" w:rsidRDefault="00C319FA" w:rsidP="006D2BEF">
      <w:pPr>
        <w:snapToGrid w:val="0"/>
        <w:spacing w:before="120" w:line="360" w:lineRule="auto"/>
        <w:ind w:firstLineChars="200" w:firstLine="480"/>
        <w:jc w:val="both"/>
        <w:rPr>
          <w:color w:val="000000" w:themeColor="text1"/>
          <w:szCs w:val="24"/>
        </w:rPr>
      </w:pPr>
      <w:r w:rsidRPr="00733F3A">
        <w:rPr>
          <w:rFonts w:eastAsia="SimSun"/>
          <w:szCs w:val="24"/>
        </w:rPr>
        <w:t xml:space="preserve">The </w:t>
      </w:r>
      <w:r>
        <w:rPr>
          <w:rFonts w:eastAsia="SimSun"/>
          <w:szCs w:val="24"/>
        </w:rPr>
        <w:t xml:space="preserve">3D </w:t>
      </w:r>
      <w:r w:rsidRPr="00733F3A">
        <w:rPr>
          <w:rFonts w:eastAsia="SimSun"/>
          <w:szCs w:val="24"/>
        </w:rPr>
        <w:t>perovskite precursor solution (1.4 M) was prepared by adding 645.4 mg of PbI</w:t>
      </w:r>
      <w:r w:rsidRPr="00733F3A">
        <w:rPr>
          <w:rFonts w:eastAsia="SimSun"/>
          <w:szCs w:val="24"/>
          <w:vertAlign w:val="subscript"/>
        </w:rPr>
        <w:t>2</w:t>
      </w:r>
      <w:r w:rsidRPr="00733F3A">
        <w:rPr>
          <w:rFonts w:eastAsia="SimSun"/>
          <w:szCs w:val="24"/>
        </w:rPr>
        <w:t xml:space="preserve">, 216.7 mg of </w:t>
      </w:r>
      <w:proofErr w:type="spellStart"/>
      <w:r w:rsidRPr="00733F3A">
        <w:rPr>
          <w:rFonts w:eastAsia="SimSun"/>
          <w:szCs w:val="24"/>
        </w:rPr>
        <w:t>formamidium</w:t>
      </w:r>
      <w:proofErr w:type="spellEnd"/>
      <w:r w:rsidRPr="00733F3A">
        <w:rPr>
          <w:rFonts w:eastAsia="SimSun"/>
          <w:szCs w:val="24"/>
        </w:rPr>
        <w:t xml:space="preserve"> iodide (FAI), 11.1 mg of </w:t>
      </w:r>
      <w:proofErr w:type="spellStart"/>
      <w:r w:rsidRPr="00733F3A">
        <w:rPr>
          <w:rFonts w:eastAsia="SimSun"/>
          <w:szCs w:val="24"/>
        </w:rPr>
        <w:t>methylamonium</w:t>
      </w:r>
      <w:proofErr w:type="spellEnd"/>
      <w:r w:rsidRPr="00733F3A">
        <w:rPr>
          <w:rFonts w:eastAsia="SimSun"/>
          <w:szCs w:val="24"/>
        </w:rPr>
        <w:t xml:space="preserve"> iodide (MAI), and 11.8 mg of </w:t>
      </w:r>
      <w:proofErr w:type="spellStart"/>
      <w:r w:rsidRPr="00733F3A">
        <w:rPr>
          <w:rFonts w:eastAsia="SimSun"/>
          <w:szCs w:val="24"/>
        </w:rPr>
        <w:t>CsCl</w:t>
      </w:r>
      <w:proofErr w:type="spellEnd"/>
      <w:r w:rsidRPr="00733F3A">
        <w:rPr>
          <w:rFonts w:eastAsia="SimSun"/>
          <w:szCs w:val="24"/>
        </w:rPr>
        <w:t xml:space="preserve"> into 200 </w:t>
      </w:r>
      <w:proofErr w:type="spellStart"/>
      <w:r w:rsidRPr="00733F3A">
        <w:rPr>
          <w:rFonts w:eastAsia="SimSun"/>
          <w:szCs w:val="24"/>
        </w:rPr>
        <w:t>μL</w:t>
      </w:r>
      <w:proofErr w:type="spellEnd"/>
      <w:r w:rsidRPr="00733F3A">
        <w:rPr>
          <w:rFonts w:eastAsia="SimSun"/>
          <w:szCs w:val="24"/>
        </w:rPr>
        <w:t xml:space="preserve"> of N, N'-</w:t>
      </w:r>
      <w:proofErr w:type="spellStart"/>
      <w:r w:rsidRPr="00733F3A">
        <w:rPr>
          <w:rFonts w:eastAsia="SimSun"/>
          <w:szCs w:val="24"/>
        </w:rPr>
        <w:t>dimethylsulfoxide</w:t>
      </w:r>
      <w:proofErr w:type="spellEnd"/>
      <w:r w:rsidRPr="00733F3A">
        <w:rPr>
          <w:rFonts w:eastAsia="SimSun"/>
          <w:szCs w:val="24"/>
        </w:rPr>
        <w:t xml:space="preserve"> (DMSO) and 800 </w:t>
      </w:r>
      <w:proofErr w:type="spellStart"/>
      <w:r w:rsidRPr="00733F3A">
        <w:rPr>
          <w:rFonts w:eastAsia="SimSun"/>
          <w:szCs w:val="24"/>
        </w:rPr>
        <w:t>μL</w:t>
      </w:r>
      <w:proofErr w:type="spellEnd"/>
      <w:r w:rsidRPr="00733F3A">
        <w:rPr>
          <w:rFonts w:eastAsia="SimSun"/>
          <w:szCs w:val="24"/>
        </w:rPr>
        <w:t xml:space="preserve"> of </w:t>
      </w:r>
      <w:proofErr w:type="spellStart"/>
      <w:r w:rsidRPr="00733F3A">
        <w:rPr>
          <w:rFonts w:eastAsia="SimSun"/>
          <w:szCs w:val="24"/>
        </w:rPr>
        <w:t>dimethyformamide</w:t>
      </w:r>
      <w:proofErr w:type="spellEnd"/>
      <w:r w:rsidRPr="00733F3A">
        <w:rPr>
          <w:rFonts w:eastAsia="SimSun"/>
          <w:szCs w:val="24"/>
        </w:rPr>
        <w:t xml:space="preserve"> (DMF) mixture. The solution was then stirred for 2 h at 60 °C</w:t>
      </w:r>
      <w:r>
        <w:rPr>
          <w:rFonts w:eastAsia="SimSun"/>
          <w:szCs w:val="24"/>
        </w:rPr>
        <w:t xml:space="preserve"> </w:t>
      </w:r>
      <w:r w:rsidRPr="00181425">
        <w:rPr>
          <w:color w:val="000000" w:themeColor="text1"/>
          <w:szCs w:val="24"/>
        </w:rPr>
        <w:t xml:space="preserve">and filtered by 0.22 μm PTFE filters before film depositions. </w:t>
      </w:r>
    </w:p>
    <w:p w14:paraId="58B1A634" w14:textId="6C702375" w:rsidR="00C145E9" w:rsidRPr="00915137" w:rsidRDefault="00C145E9" w:rsidP="006D2BEF">
      <w:pPr>
        <w:pStyle w:val="SMText"/>
        <w:spacing w:before="120" w:line="360" w:lineRule="auto"/>
        <w:ind w:firstLine="0"/>
        <w:rPr>
          <w:b/>
          <w:bCs/>
          <w:color w:val="000000" w:themeColor="text1"/>
          <w:szCs w:val="24"/>
        </w:rPr>
      </w:pPr>
      <w:r w:rsidRPr="00915137">
        <w:rPr>
          <w:b/>
          <w:bCs/>
          <w:color w:val="000000" w:themeColor="text1"/>
          <w:szCs w:val="24"/>
        </w:rPr>
        <w:t>Fabrication of perovskite solar cells</w:t>
      </w:r>
    </w:p>
    <w:p w14:paraId="50318762" w14:textId="0932F9E6" w:rsidR="00C145E9" w:rsidRPr="00B85230" w:rsidRDefault="00C145E9" w:rsidP="006D2BEF">
      <w:pPr>
        <w:snapToGrid w:val="0"/>
        <w:spacing w:before="120" w:line="360" w:lineRule="auto"/>
        <w:ind w:firstLineChars="200" w:firstLine="480"/>
        <w:jc w:val="both"/>
        <w:rPr>
          <w:color w:val="000000" w:themeColor="text1"/>
          <w:szCs w:val="24"/>
        </w:rPr>
      </w:pPr>
      <w:r w:rsidRPr="00B85230">
        <w:rPr>
          <w:rFonts w:eastAsia="SimSun"/>
          <w:szCs w:val="24"/>
          <w:lang w:val="en-GB"/>
        </w:rPr>
        <w:t>The device with an architecture of FTO glass/compact TiO</w:t>
      </w:r>
      <w:r w:rsidRPr="00B85230">
        <w:rPr>
          <w:rFonts w:eastAsia="SimSun"/>
          <w:szCs w:val="24"/>
          <w:vertAlign w:val="subscript"/>
          <w:lang w:val="en-GB"/>
        </w:rPr>
        <w:t>2</w:t>
      </w:r>
      <w:r w:rsidRPr="00B85230">
        <w:rPr>
          <w:rFonts w:eastAsia="SimSun"/>
          <w:szCs w:val="24"/>
          <w:lang w:val="en-GB"/>
        </w:rPr>
        <w:t xml:space="preserve"> layer/compact SnO</w:t>
      </w:r>
      <w:r w:rsidRPr="00B85230">
        <w:rPr>
          <w:rFonts w:eastAsia="SimSun"/>
          <w:szCs w:val="24"/>
          <w:vertAlign w:val="subscript"/>
          <w:lang w:val="en-GB"/>
        </w:rPr>
        <w:t>2</w:t>
      </w:r>
      <w:r w:rsidRPr="00B85230">
        <w:rPr>
          <w:rFonts w:eastAsia="SimSun"/>
          <w:szCs w:val="24"/>
          <w:lang w:val="en-GB"/>
        </w:rPr>
        <w:t xml:space="preserve"> layer/</w:t>
      </w:r>
      <w:bookmarkStart w:id="2" w:name="_Hlk110935425"/>
      <w:r w:rsidRPr="00B85230">
        <w:rPr>
          <w:rFonts w:eastAsia="SimSun"/>
          <w:szCs w:val="24"/>
          <w:lang w:val="en-GB"/>
        </w:rPr>
        <w:t>Cs</w:t>
      </w:r>
      <w:r w:rsidRPr="00B85230">
        <w:rPr>
          <w:rFonts w:eastAsia="SimSun"/>
          <w:szCs w:val="24"/>
          <w:vertAlign w:val="subscript"/>
          <w:lang w:val="en-GB"/>
        </w:rPr>
        <w:t>0.05</w:t>
      </w:r>
      <w:r w:rsidRPr="00B85230">
        <w:rPr>
          <w:rFonts w:eastAsia="SimSun"/>
          <w:szCs w:val="24"/>
          <w:lang w:val="en-GB"/>
        </w:rPr>
        <w:t>MA</w:t>
      </w:r>
      <w:r w:rsidRPr="00B85230">
        <w:rPr>
          <w:rFonts w:eastAsia="SimSun"/>
          <w:szCs w:val="24"/>
          <w:vertAlign w:val="subscript"/>
          <w:lang w:val="en-GB"/>
        </w:rPr>
        <w:t>0.05</w:t>
      </w:r>
      <w:r w:rsidRPr="00B85230">
        <w:rPr>
          <w:rFonts w:eastAsia="SimSun"/>
          <w:szCs w:val="24"/>
          <w:lang w:val="en-GB"/>
        </w:rPr>
        <w:t>FA</w:t>
      </w:r>
      <w:r w:rsidRPr="00B85230">
        <w:rPr>
          <w:rFonts w:eastAsia="SimSun"/>
          <w:szCs w:val="24"/>
          <w:vertAlign w:val="subscript"/>
          <w:lang w:val="en-GB"/>
        </w:rPr>
        <w:t>0.9</w:t>
      </w:r>
      <w:r w:rsidRPr="00B85230">
        <w:rPr>
          <w:rFonts w:eastAsia="SimSun"/>
          <w:szCs w:val="24"/>
          <w:lang w:val="en-GB"/>
        </w:rPr>
        <w:t>PbI</w:t>
      </w:r>
      <w:r w:rsidRPr="00B85230">
        <w:rPr>
          <w:rFonts w:eastAsia="SimSun"/>
          <w:szCs w:val="24"/>
          <w:vertAlign w:val="subscript"/>
          <w:lang w:val="en-GB"/>
        </w:rPr>
        <w:t xml:space="preserve">3 </w:t>
      </w:r>
      <w:bookmarkEnd w:id="2"/>
      <w:r w:rsidRPr="00B85230">
        <w:rPr>
          <w:rFonts w:eastAsia="SimSun"/>
          <w:szCs w:val="24"/>
          <w:lang w:val="en-GB"/>
        </w:rPr>
        <w:t xml:space="preserve">(PVK)/passivation layer/spiro-OMeTAD (HTM)/Au structure was fabricated. </w:t>
      </w:r>
      <w:r w:rsidRPr="00B85230">
        <w:rPr>
          <w:rFonts w:eastAsia="SimSun"/>
          <w:szCs w:val="24"/>
        </w:rPr>
        <w:t>The patterned FTO substrate (Asahi FTO glass, 12-13 Ω cm</w:t>
      </w:r>
      <w:r w:rsidRPr="00B85230">
        <w:rPr>
          <w:rFonts w:eastAsia="Microsoft YaHei"/>
          <w:szCs w:val="24"/>
          <w:vertAlign w:val="superscript"/>
        </w:rPr>
        <w:t>−</w:t>
      </w:r>
      <w:r w:rsidRPr="00B85230">
        <w:rPr>
          <w:rFonts w:eastAsia="SimSun"/>
          <w:szCs w:val="24"/>
          <w:vertAlign w:val="superscript"/>
        </w:rPr>
        <w:t>2</w:t>
      </w:r>
      <w:r w:rsidRPr="00B85230">
        <w:rPr>
          <w:rFonts w:eastAsia="SimSun"/>
          <w:szCs w:val="24"/>
        </w:rPr>
        <w:t xml:space="preserve">) was sequentially cleaned with detergent (5% </w:t>
      </w:r>
      <w:proofErr w:type="spellStart"/>
      <w:r w:rsidRPr="00B85230">
        <w:rPr>
          <w:rFonts w:eastAsia="SimSun"/>
          <w:szCs w:val="24"/>
        </w:rPr>
        <w:t>Hellmanex</w:t>
      </w:r>
      <w:proofErr w:type="spellEnd"/>
      <w:r w:rsidRPr="00B85230">
        <w:rPr>
          <w:rFonts w:eastAsia="SimSun"/>
          <w:szCs w:val="24"/>
        </w:rPr>
        <w:t xml:space="preserve"> in water), deionized water, acetone, and isopropanol in the ultrasonic bath for 30 min, respectively. The FTO substrate was then further cleaned with ultraviolet-Ozone surface treatment for 15 min. The compact TiO</w:t>
      </w:r>
      <w:r w:rsidRPr="00B85230">
        <w:rPr>
          <w:rFonts w:eastAsia="SimSun"/>
          <w:szCs w:val="24"/>
          <w:vertAlign w:val="subscript"/>
        </w:rPr>
        <w:t>2</w:t>
      </w:r>
      <w:r w:rsidRPr="00B85230">
        <w:rPr>
          <w:rFonts w:eastAsia="SimSun"/>
          <w:szCs w:val="24"/>
        </w:rPr>
        <w:t xml:space="preserve"> layer (c-TiO</w:t>
      </w:r>
      <w:r w:rsidRPr="00B85230">
        <w:rPr>
          <w:rFonts w:eastAsia="SimSun"/>
          <w:szCs w:val="24"/>
          <w:vertAlign w:val="subscript"/>
        </w:rPr>
        <w:t>2</w:t>
      </w:r>
      <w:r w:rsidRPr="00B85230">
        <w:rPr>
          <w:rFonts w:eastAsia="SimSun"/>
          <w:szCs w:val="24"/>
        </w:rPr>
        <w:t>) and SnO</w:t>
      </w:r>
      <w:r w:rsidRPr="00B85230">
        <w:rPr>
          <w:rFonts w:eastAsia="SimSun"/>
          <w:szCs w:val="24"/>
          <w:vertAlign w:val="subscript"/>
        </w:rPr>
        <w:t>2</w:t>
      </w:r>
      <w:r w:rsidRPr="00B85230">
        <w:rPr>
          <w:rFonts w:eastAsia="SimSun"/>
          <w:szCs w:val="24"/>
        </w:rPr>
        <w:t xml:space="preserve"> layer (c-SnO</w:t>
      </w:r>
      <w:r w:rsidRPr="00B85230">
        <w:rPr>
          <w:rFonts w:eastAsia="SimSun"/>
          <w:szCs w:val="24"/>
          <w:vertAlign w:val="subscript"/>
        </w:rPr>
        <w:t>2</w:t>
      </w:r>
      <w:r w:rsidRPr="00B85230">
        <w:rPr>
          <w:rFonts w:eastAsia="SimSun"/>
          <w:szCs w:val="24"/>
        </w:rPr>
        <w:t>) were sequentially deposited on the clean FTO substrate by chemical bath deposition (CBD) method</w:t>
      </w:r>
      <w:r>
        <w:rPr>
          <w:rFonts w:eastAsia="SimSun"/>
          <w:szCs w:val="24"/>
        </w:rPr>
        <w:fldChar w:fldCharType="begin"/>
      </w:r>
      <w:r w:rsidR="006D2BEF">
        <w:rPr>
          <w:rFonts w:eastAsia="SimSun"/>
          <w:szCs w:val="24"/>
        </w:rPr>
        <w:instrText xml:space="preserve"> ADDIN EN.CITE &lt;EndNote&gt;&lt;Cite&gt;&lt;Author&gt;Ding&lt;/Author&gt;&lt;Year&gt;2018&lt;/Year&gt;&lt;RecNum&gt;293&lt;/RecNum&gt;&lt;DisplayText&gt;&lt;style face="superscript"&gt;1&lt;/style&gt;&lt;/DisplayText&gt;&lt;record&gt;&lt;rec-number&gt;293&lt;/rec-number&gt;&lt;foreign-keys&gt;&lt;key app="EN" db-id="90dwdfr94fapdvepa9hpwd9fpwr0t0zfrxt2" timestamp="1661220688"&gt;293&lt;/key&gt;&lt;/foreign-keys&gt;&lt;ref-type name="Journal Article"&gt;17&lt;/ref-type&gt;&lt;contributors&gt;&lt;authors&gt;&lt;author&gt;Ding, Bin&lt;/author&gt;&lt;author&gt;Huang, Shi-Yu&lt;/author&gt;&lt;author&gt;Chu, Qian-Qian&lt;/author&gt;&lt;author&gt;Li, Yan&lt;/author&gt;&lt;author&gt;Li, Cheng-Xin&lt;/author&gt;&lt;author&gt;Li, Chang-Jiu&lt;/author&gt;&lt;author&gt;Yang, Guan-Jun&lt;/author&gt;&lt;/authors&gt;&lt;/contributors&gt;&lt;titles&gt;&lt;title&gt;Low-temperature SnO2-modified TiO2 yields record efficiency for normal planar perovskite solar modules&lt;/title&gt;&lt;secondary-title&gt;Journal of Materials Chemistry A&lt;/secondary-title&gt;&lt;/titles&gt;&lt;periodical&gt;&lt;full-title&gt;Journal of Materials Chemistry A&lt;/full-title&gt;&lt;abbr-1&gt;J. Mater. Chem. A&lt;/abbr-1&gt;&lt;/periodical&gt;&lt;pages&gt;10233-10242&lt;/pages&gt;&lt;volume&gt;6&lt;/volume&gt;&lt;number&gt;22&lt;/number&gt;&lt;dates&gt;&lt;year&gt;2018&lt;/year&gt;&lt;/dates&gt;&lt;publisher&gt;The Royal Society of Chemistry&lt;/publisher&gt;&lt;isbn&gt;2050-7488&lt;/isbn&gt;&lt;work-type&gt;10.1039/C8TA01192C&lt;/work-type&gt;&lt;urls&gt;&lt;related-urls&gt;&lt;url&gt;http://dx.doi.org/10.1039/C8TA01192C&lt;/url&gt;&lt;/related-urls&gt;&lt;/urls&gt;&lt;electronic-resource-num&gt;10.1039/C8TA01192C&lt;/electronic-resource-num&gt;&lt;/record&gt;&lt;/Cite&gt;&lt;/EndNote&gt;</w:instrText>
      </w:r>
      <w:r>
        <w:rPr>
          <w:rFonts w:eastAsia="SimSun"/>
          <w:szCs w:val="24"/>
        </w:rPr>
        <w:fldChar w:fldCharType="separate"/>
      </w:r>
      <w:r w:rsidR="006D2BEF" w:rsidRPr="006D2BEF">
        <w:rPr>
          <w:rFonts w:eastAsia="SimSun"/>
          <w:noProof/>
          <w:szCs w:val="24"/>
          <w:vertAlign w:val="superscript"/>
        </w:rPr>
        <w:t>1</w:t>
      </w:r>
      <w:r>
        <w:rPr>
          <w:rFonts w:eastAsia="SimSun"/>
          <w:szCs w:val="24"/>
        </w:rPr>
        <w:fldChar w:fldCharType="end"/>
      </w:r>
      <w:r w:rsidRPr="00B85230">
        <w:rPr>
          <w:rFonts w:eastAsia="SimSun"/>
          <w:szCs w:val="24"/>
        </w:rPr>
        <w:t>. T</w:t>
      </w:r>
      <w:r w:rsidRPr="00B85230">
        <w:rPr>
          <w:rFonts w:eastAsia="SimSun" w:hint="eastAsia"/>
          <w:szCs w:val="24"/>
        </w:rPr>
        <w:t>he</w:t>
      </w:r>
      <w:r w:rsidRPr="00B85230">
        <w:rPr>
          <w:rFonts w:eastAsia="SimSun"/>
          <w:szCs w:val="24"/>
        </w:rPr>
        <w:t xml:space="preserve"> substrate was annealed on a hotplate at 190 ºC for 60 min. </w:t>
      </w:r>
      <w:r w:rsidRPr="00B85230">
        <w:rPr>
          <w:rFonts w:eastAsia="SimSun" w:hint="eastAsia"/>
          <w:szCs w:val="24"/>
        </w:rPr>
        <w:t>Then</w:t>
      </w:r>
      <w:r w:rsidRPr="00B85230">
        <w:rPr>
          <w:rFonts w:eastAsia="SimSun"/>
          <w:szCs w:val="24"/>
        </w:rPr>
        <w:t>, after UV-ozone treatment of the substrates for 15 min, the perovskite precursor solution was spin-coated onto the surface of the FTO/c-TiO</w:t>
      </w:r>
      <w:r w:rsidRPr="00B85230">
        <w:rPr>
          <w:rFonts w:eastAsia="SimSun"/>
          <w:szCs w:val="24"/>
          <w:vertAlign w:val="subscript"/>
        </w:rPr>
        <w:t>2</w:t>
      </w:r>
      <w:r w:rsidRPr="00B85230">
        <w:rPr>
          <w:rFonts w:eastAsia="SimSun"/>
          <w:szCs w:val="24"/>
        </w:rPr>
        <w:t>/c-SnO</w:t>
      </w:r>
      <w:r w:rsidRPr="00B85230">
        <w:rPr>
          <w:rFonts w:eastAsia="SimSun"/>
          <w:szCs w:val="24"/>
          <w:vertAlign w:val="subscript"/>
        </w:rPr>
        <w:t>2</w:t>
      </w:r>
      <w:r w:rsidRPr="00B85230">
        <w:rPr>
          <w:rFonts w:eastAsia="SimSun"/>
          <w:szCs w:val="24"/>
        </w:rPr>
        <w:t xml:space="preserve"> substrate at 1000 rpm for 10 s, accelerated to 5000 rpm for 5s and maintained at this speed for 20 s. This process was carried out in an </w:t>
      </w:r>
      <w:r w:rsidR="00DF2D23">
        <w:rPr>
          <w:rFonts w:eastAsia="SimSun"/>
          <w:szCs w:val="24"/>
        </w:rPr>
        <w:t>N2-filled</w:t>
      </w:r>
      <w:r w:rsidRPr="00B85230">
        <w:rPr>
          <w:rFonts w:eastAsia="SimSun"/>
          <w:szCs w:val="24"/>
        </w:rPr>
        <w:t xml:space="preserve"> glove box. </w:t>
      </w:r>
      <w:r w:rsidRPr="00B85230">
        <w:rPr>
          <w:rFonts w:eastAsia="SimSun"/>
          <w:szCs w:val="24"/>
        </w:rPr>
        <w:lastRenderedPageBreak/>
        <w:t>Then, the substrate was placed in a home-made rapid vacuum drying equipment, as previously reported</w:t>
      </w:r>
      <w:r>
        <w:rPr>
          <w:rFonts w:eastAsia="SimSun"/>
          <w:szCs w:val="24"/>
        </w:rPr>
        <w:fldChar w:fldCharType="begin"/>
      </w:r>
      <w:r w:rsidR="006D2BEF">
        <w:rPr>
          <w:rFonts w:eastAsia="SimSun"/>
          <w:szCs w:val="24"/>
        </w:rPr>
        <w:instrText xml:space="preserve"> ADDIN EN.CITE &lt;EndNote&gt;&lt;Cite&gt;&lt;Author&gt;Gao&lt;/Author&gt;&lt;Year&gt;2016&lt;/Year&gt;&lt;RecNum&gt;294&lt;/RecNum&gt;&lt;DisplayText&gt;&lt;style face="superscript"&gt;2&lt;/style&gt;&lt;/DisplayText&gt;&lt;record&gt;&lt;rec-number&gt;294&lt;/rec-number&gt;&lt;foreign-keys&gt;&lt;key app="EN" db-id="90dwdfr94fapdvepa9hpwd9fpwr0t0zfrxt2" timestamp="1661220812"&gt;294&lt;/key&gt;&lt;/foreign-keys&gt;&lt;ref-type name="Journal Article"&gt;17&lt;/ref-type&gt;&lt;contributors&gt;&lt;authors&gt;&lt;author&gt;Gao, Li-Li&lt;/author&gt;&lt;author&gt;Liang, Lu-Sheng&lt;/author&gt;&lt;author&gt;Song, Xiao-Xuan&lt;/author&gt;&lt;author&gt;Ding, Bin&lt;/author&gt;&lt;author&gt;Yang, Guan-Jun&lt;/author&gt;&lt;author&gt;Fan, Bin&lt;/author&gt;&lt;author&gt;Li, Cheng-Xin&lt;/author&gt;&lt;author&gt;Li, Chang-Jiu&lt;/author&gt;&lt;/authors&gt;&lt;/contributors&gt;&lt;titles&gt;&lt;title&gt;Preparation of flexible perovskite solar cells by a gas pump drying method on a plastic substrate&lt;/title&gt;&lt;secondary-title&gt;Journal of Materials Chemistry A&lt;/secondary-title&gt;&lt;/titles&gt;&lt;periodical&gt;&lt;full-title&gt;Journal of Materials Chemistry A&lt;/full-title&gt;&lt;abbr-1&gt;J. Mater. Chem. A&lt;/abbr-1&gt;&lt;/periodical&gt;&lt;pages&gt;3704-3710&lt;/pages&gt;&lt;volume&gt;4&lt;/volume&gt;&lt;number&gt;10&lt;/number&gt;&lt;dates&gt;&lt;year&gt;2016&lt;/year&gt;&lt;/dates&gt;&lt;publisher&gt;The Royal Society of Chemistry&lt;/publisher&gt;&lt;isbn&gt;2050-7488&lt;/isbn&gt;&lt;work-type&gt;10.1039/C6TA00230G&lt;/work-type&gt;&lt;urls&gt;&lt;related-urls&gt;&lt;url&gt;http://dx.doi.org/10.1039/C6TA00230G&lt;/url&gt;&lt;/related-urls&gt;&lt;/urls&gt;&lt;electronic-resource-num&gt;10.1039/C6TA00230G&lt;/electronic-resource-num&gt;&lt;/record&gt;&lt;/Cite&gt;&lt;/EndNote&gt;</w:instrText>
      </w:r>
      <w:r>
        <w:rPr>
          <w:rFonts w:eastAsia="SimSun"/>
          <w:szCs w:val="24"/>
        </w:rPr>
        <w:fldChar w:fldCharType="separate"/>
      </w:r>
      <w:r w:rsidR="006D2BEF" w:rsidRPr="006D2BEF">
        <w:rPr>
          <w:rFonts w:eastAsia="SimSun"/>
          <w:noProof/>
          <w:szCs w:val="24"/>
          <w:vertAlign w:val="superscript"/>
        </w:rPr>
        <w:t>2</w:t>
      </w:r>
      <w:r>
        <w:rPr>
          <w:rFonts w:eastAsia="SimSun"/>
          <w:szCs w:val="24"/>
        </w:rPr>
        <w:fldChar w:fldCharType="end"/>
      </w:r>
      <w:r w:rsidRPr="00B85230">
        <w:rPr>
          <w:rFonts w:eastAsia="SimSun"/>
          <w:szCs w:val="24"/>
        </w:rPr>
        <w:t>. After pumping for 20 s, a brown, transparent perovskite film with a mirror-like surface was obtained. The fresh perovskite layer was annealed at 100°C for 1 h and then at 150°C for 10 min. A hole transport</w:t>
      </w:r>
      <w:r w:rsidRPr="00B85230">
        <w:rPr>
          <w:rFonts w:eastAsia="SimSun" w:hint="eastAsia"/>
          <w:szCs w:val="24"/>
        </w:rPr>
        <w:t>ing</w:t>
      </w:r>
      <w:r w:rsidRPr="00B85230">
        <w:rPr>
          <w:rFonts w:eastAsia="SimSun"/>
          <w:szCs w:val="24"/>
        </w:rPr>
        <w:t xml:space="preserve"> layer</w:t>
      </w:r>
      <w:r>
        <w:rPr>
          <w:rFonts w:eastAsia="SimSun"/>
          <w:szCs w:val="24"/>
        </w:rPr>
        <w:t xml:space="preserve"> (HTL)</w:t>
      </w:r>
      <w:r w:rsidRPr="00B85230">
        <w:rPr>
          <w:rFonts w:eastAsia="SimSun"/>
          <w:szCs w:val="24"/>
        </w:rPr>
        <w:t xml:space="preserve"> was deposited on the perovskite film by depositing a doped spiro-OMeTAD solution at 3000 rpm for 30 s. The doped spiro-OMeTAD solution was prepared by dissolving 105 mg of spiro-</w:t>
      </w:r>
      <w:proofErr w:type="spellStart"/>
      <w:r w:rsidRPr="00B85230">
        <w:rPr>
          <w:rFonts w:eastAsia="SimSun"/>
          <w:szCs w:val="24"/>
        </w:rPr>
        <w:t>OMeTAD</w:t>
      </w:r>
      <w:proofErr w:type="spellEnd"/>
      <w:r w:rsidRPr="00B85230">
        <w:rPr>
          <w:rFonts w:eastAsia="SimSun"/>
          <w:szCs w:val="24"/>
        </w:rPr>
        <w:t xml:space="preserve"> and 41 </w:t>
      </w:r>
      <w:proofErr w:type="spellStart"/>
      <w:r w:rsidRPr="00B85230">
        <w:rPr>
          <w:rFonts w:eastAsia="SimSun"/>
          <w:szCs w:val="24"/>
        </w:rPr>
        <w:t>μL</w:t>
      </w:r>
      <w:proofErr w:type="spellEnd"/>
      <w:r w:rsidRPr="00B85230">
        <w:rPr>
          <w:rFonts w:eastAsia="SimSun"/>
          <w:szCs w:val="24"/>
        </w:rPr>
        <w:t xml:space="preserve"> of 4-tert-butylpyridine in 1343 </w:t>
      </w:r>
      <w:proofErr w:type="spellStart"/>
      <w:r w:rsidRPr="00B85230">
        <w:rPr>
          <w:rFonts w:eastAsia="SimSun"/>
          <w:szCs w:val="24"/>
        </w:rPr>
        <w:t>μL</w:t>
      </w:r>
      <w:proofErr w:type="spellEnd"/>
      <w:r w:rsidRPr="00B85230">
        <w:rPr>
          <w:rFonts w:eastAsia="SimSun"/>
          <w:szCs w:val="24"/>
        </w:rPr>
        <w:t xml:space="preserve"> of chlorobenzene with an additional 25 </w:t>
      </w:r>
      <w:proofErr w:type="spellStart"/>
      <w:r w:rsidRPr="00B85230">
        <w:rPr>
          <w:rFonts w:eastAsia="SimSun"/>
          <w:szCs w:val="24"/>
        </w:rPr>
        <w:t>μL</w:t>
      </w:r>
      <w:proofErr w:type="spellEnd"/>
      <w:r w:rsidRPr="00B85230">
        <w:rPr>
          <w:rFonts w:eastAsia="SimSun"/>
          <w:szCs w:val="24"/>
        </w:rPr>
        <w:t xml:space="preserve"> of bis(</w:t>
      </w:r>
      <w:proofErr w:type="spellStart"/>
      <w:r w:rsidRPr="00B85230">
        <w:rPr>
          <w:rFonts w:eastAsia="SimSun"/>
          <w:szCs w:val="24"/>
        </w:rPr>
        <w:t>trifluoromethane</w:t>
      </w:r>
      <w:proofErr w:type="spellEnd"/>
      <w:r w:rsidRPr="00B85230">
        <w:rPr>
          <w:rFonts w:eastAsia="SimSun"/>
          <w:szCs w:val="24"/>
        </w:rPr>
        <w:t>)</w:t>
      </w:r>
      <w:proofErr w:type="spellStart"/>
      <w:r w:rsidRPr="00B85230">
        <w:rPr>
          <w:rFonts w:eastAsia="SimSun"/>
          <w:szCs w:val="24"/>
        </w:rPr>
        <w:t>sulfonimide</w:t>
      </w:r>
      <w:proofErr w:type="spellEnd"/>
      <w:r w:rsidRPr="00B85230">
        <w:rPr>
          <w:rFonts w:eastAsia="SimSun"/>
          <w:szCs w:val="24"/>
        </w:rPr>
        <w:t xml:space="preserve"> lithium salt solution (517 mg/mL in acetonitrile) and 19 </w:t>
      </w:r>
      <w:proofErr w:type="spellStart"/>
      <w:r w:rsidRPr="00B85230">
        <w:rPr>
          <w:rFonts w:eastAsia="SimSun"/>
          <w:szCs w:val="24"/>
        </w:rPr>
        <w:t>μL</w:t>
      </w:r>
      <w:proofErr w:type="spellEnd"/>
      <w:r w:rsidRPr="00B85230">
        <w:rPr>
          <w:rFonts w:eastAsia="SimSun"/>
          <w:szCs w:val="24"/>
        </w:rPr>
        <w:t xml:space="preserve"> of cobalt-complex solution (376 mg/mL in acetonitrile). Finally, a ~70 nm-thick gold layer was evaporated on the spiro-OMeTAD layer as the back electrode.</w:t>
      </w:r>
    </w:p>
    <w:p w14:paraId="5CD93153" w14:textId="1B162476" w:rsidR="0096710C" w:rsidRPr="00915137" w:rsidRDefault="0096710C" w:rsidP="006D2BEF">
      <w:pPr>
        <w:pStyle w:val="SMText"/>
        <w:spacing w:before="120" w:line="360" w:lineRule="auto"/>
        <w:ind w:firstLine="0"/>
        <w:rPr>
          <w:b/>
          <w:bCs/>
          <w:color w:val="000000" w:themeColor="text1"/>
          <w:szCs w:val="24"/>
        </w:rPr>
      </w:pPr>
      <w:r w:rsidRPr="00915137">
        <w:rPr>
          <w:b/>
          <w:bCs/>
          <w:color w:val="000000" w:themeColor="text1"/>
          <w:szCs w:val="24"/>
        </w:rPr>
        <w:t>Fabrication of 3D/2D perovskite heterojunction</w:t>
      </w:r>
    </w:p>
    <w:p w14:paraId="3677C0EA" w14:textId="1FB4AA54" w:rsidR="0096710C" w:rsidRDefault="0096710C" w:rsidP="006D2BEF">
      <w:pPr>
        <w:snapToGrid w:val="0"/>
        <w:spacing w:before="120" w:line="360" w:lineRule="auto"/>
        <w:ind w:firstLineChars="200" w:firstLine="480"/>
        <w:jc w:val="both"/>
        <w:rPr>
          <w:color w:val="000000" w:themeColor="text1"/>
          <w:szCs w:val="24"/>
        </w:rPr>
      </w:pPr>
      <w:r w:rsidRPr="00181425">
        <w:rPr>
          <w:color w:val="000000" w:themeColor="text1"/>
          <w:szCs w:val="24"/>
        </w:rPr>
        <w:t xml:space="preserve">Before the HTL deposition, the as-prepared 3D perovskite films </w:t>
      </w:r>
      <w:r>
        <w:rPr>
          <w:color w:val="000000" w:themeColor="text1"/>
          <w:szCs w:val="24"/>
        </w:rPr>
        <w:t>were</w:t>
      </w:r>
      <w:r w:rsidRPr="00181425">
        <w:rPr>
          <w:color w:val="000000" w:themeColor="text1"/>
          <w:szCs w:val="24"/>
        </w:rPr>
        <w:t xml:space="preserve"> washed by 200 </w:t>
      </w:r>
      <w:proofErr w:type="spellStart"/>
      <w:r w:rsidRPr="00181425">
        <w:rPr>
          <w:color w:val="000000" w:themeColor="text1"/>
          <w:szCs w:val="24"/>
        </w:rPr>
        <w:t>μL</w:t>
      </w:r>
      <w:proofErr w:type="spellEnd"/>
      <w:r w:rsidRPr="00181425">
        <w:rPr>
          <w:color w:val="000000" w:themeColor="text1"/>
          <w:szCs w:val="24"/>
        </w:rPr>
        <w:t xml:space="preserve"> 2D perovskite precursor solutions at 5000 rpm and</w:t>
      </w:r>
      <w:r>
        <w:rPr>
          <w:color w:val="000000" w:themeColor="text1"/>
          <w:szCs w:val="24"/>
        </w:rPr>
        <w:t xml:space="preserve"> </w:t>
      </w:r>
      <w:r w:rsidRPr="00181425">
        <w:rPr>
          <w:color w:val="000000" w:themeColor="text1"/>
          <w:szCs w:val="24"/>
        </w:rPr>
        <w:t xml:space="preserve">annealed at 110°C for 5 min subsequently. The BAI-based (BABr-based) 2D perovskite precursor solutions used in the post-treatment process </w:t>
      </w:r>
      <w:r w:rsidR="00DF2D23">
        <w:rPr>
          <w:color w:val="000000" w:themeColor="text1"/>
          <w:szCs w:val="24"/>
        </w:rPr>
        <w:t>were</w:t>
      </w:r>
      <w:r w:rsidRPr="00181425">
        <w:rPr>
          <w:color w:val="000000" w:themeColor="text1"/>
          <w:szCs w:val="24"/>
        </w:rPr>
        <w:t xml:space="preserve"> 20 mg BAI (15 mg BAI) dissolved in 4 mL IPA. </w:t>
      </w:r>
    </w:p>
    <w:p w14:paraId="0DA89924" w14:textId="0EA581C2" w:rsidR="00C37E10" w:rsidRPr="00915137" w:rsidRDefault="00C37E10" w:rsidP="006D2BEF">
      <w:pPr>
        <w:pStyle w:val="SMText"/>
        <w:spacing w:before="120" w:line="360" w:lineRule="auto"/>
        <w:ind w:firstLine="0"/>
        <w:rPr>
          <w:b/>
          <w:bCs/>
          <w:color w:val="000000" w:themeColor="text1"/>
          <w:szCs w:val="24"/>
        </w:rPr>
      </w:pPr>
      <w:r w:rsidRPr="00915137">
        <w:rPr>
          <w:b/>
          <w:bCs/>
          <w:color w:val="000000" w:themeColor="text1"/>
          <w:szCs w:val="24"/>
        </w:rPr>
        <w:t>Fabrication of perovskite solar modules</w:t>
      </w:r>
    </w:p>
    <w:p w14:paraId="142FAB7E" w14:textId="2DA9DA85" w:rsidR="00C37E10" w:rsidRPr="002614D3" w:rsidRDefault="00C37E10" w:rsidP="006D2BEF">
      <w:pPr>
        <w:spacing w:before="120" w:line="360" w:lineRule="auto"/>
        <w:ind w:firstLineChars="200" w:firstLine="480"/>
        <w:jc w:val="both"/>
        <w:rPr>
          <w:rFonts w:eastAsia="SimSun"/>
          <w:szCs w:val="24"/>
        </w:rPr>
      </w:pPr>
      <w:r w:rsidRPr="00A074C0">
        <w:rPr>
          <w:rFonts w:eastAsia="SimSun"/>
          <w:szCs w:val="24"/>
        </w:rPr>
        <w:t>Perovskite solar modules, with 8 sub-cells connected in series, were fabricated on FTO glass substrates with a size of 6.5×7.0 cm</w:t>
      </w:r>
      <w:r w:rsidRPr="00A074C0">
        <w:rPr>
          <w:rFonts w:eastAsia="SimSun"/>
          <w:szCs w:val="24"/>
          <w:vertAlign w:val="superscript"/>
        </w:rPr>
        <w:t>2</w:t>
      </w:r>
      <w:r w:rsidRPr="00A074C0">
        <w:rPr>
          <w:rFonts w:eastAsia="SimSun"/>
          <w:szCs w:val="24"/>
        </w:rPr>
        <w:t>. The series interconnection of the module was realized by P1, P2, and P3 lines, which were patterned using a laser scribing system with a 1064 nm and a power of 20 W (</w:t>
      </w:r>
      <w:proofErr w:type="spellStart"/>
      <w:r w:rsidRPr="00A074C0">
        <w:rPr>
          <w:rFonts w:eastAsia="SimSun"/>
          <w:szCs w:val="24"/>
        </w:rPr>
        <w:t>Trotec</w:t>
      </w:r>
      <w:proofErr w:type="spellEnd"/>
      <w:r w:rsidRPr="00A074C0">
        <w:rPr>
          <w:rFonts w:eastAsia="SimSun"/>
          <w:szCs w:val="24"/>
        </w:rPr>
        <w:t xml:space="preserve">). The FTO substrate was pre-patterned for P1 (width of 40 </w:t>
      </w:r>
      <w:proofErr w:type="spellStart"/>
      <w:r w:rsidRPr="00A074C0">
        <w:rPr>
          <w:rFonts w:eastAsia="SimSun"/>
          <w:szCs w:val="24"/>
        </w:rPr>
        <w:t>μm</w:t>
      </w:r>
      <w:proofErr w:type="spellEnd"/>
      <w:r w:rsidRPr="00A074C0">
        <w:rPr>
          <w:rFonts w:eastAsia="SimSun"/>
          <w:szCs w:val="24"/>
        </w:rPr>
        <w:t>) by means of 60% laser power under a speed of 300 mm/s with a frequency of 65 kHz and pulse width of 120 ns. The subsequent processes for the preparation of c-TiO</w:t>
      </w:r>
      <w:r w:rsidRPr="00A074C0">
        <w:rPr>
          <w:rFonts w:eastAsia="SimSun"/>
          <w:szCs w:val="24"/>
          <w:vertAlign w:val="subscript"/>
        </w:rPr>
        <w:t>2</w:t>
      </w:r>
      <w:r w:rsidRPr="00A074C0">
        <w:rPr>
          <w:rFonts w:eastAsia="SimSun"/>
          <w:szCs w:val="24"/>
        </w:rPr>
        <w:t>/c-SnO</w:t>
      </w:r>
      <w:r w:rsidRPr="00A074C0">
        <w:rPr>
          <w:rFonts w:eastAsia="SimSun"/>
          <w:szCs w:val="24"/>
          <w:vertAlign w:val="subscript"/>
        </w:rPr>
        <w:t>2</w:t>
      </w:r>
      <w:r w:rsidRPr="00A074C0">
        <w:rPr>
          <w:rFonts w:eastAsia="SimSun"/>
          <w:szCs w:val="24"/>
        </w:rPr>
        <w:t xml:space="preserve"> substrates are the same </w:t>
      </w:r>
      <w:r w:rsidR="00DF2D23">
        <w:rPr>
          <w:rFonts w:eastAsia="SimSun"/>
          <w:szCs w:val="24"/>
        </w:rPr>
        <w:t>as</w:t>
      </w:r>
      <w:r w:rsidRPr="00A074C0">
        <w:rPr>
          <w:rFonts w:eastAsia="SimSun"/>
          <w:szCs w:val="24"/>
        </w:rPr>
        <w:t xml:space="preserve"> the small-area device procedures. Besides, the perovskite precursor deposition and fabrication procedures were also similar to that of the small-size solar cells except for the concentration of perovskite precursor. 1.35 M of perovskite precursor was employed to do the perovskite layer by using spin-coated method and custom-made gas-induced pump method. The perovskite precursor was spin-coated on the c-TiO</w:t>
      </w:r>
      <w:r w:rsidRPr="00A074C0">
        <w:rPr>
          <w:rFonts w:eastAsia="SimSun"/>
          <w:szCs w:val="24"/>
          <w:vertAlign w:val="subscript"/>
        </w:rPr>
        <w:t>2</w:t>
      </w:r>
      <w:r w:rsidRPr="00A074C0">
        <w:rPr>
          <w:rFonts w:eastAsia="SimSun"/>
          <w:szCs w:val="24"/>
        </w:rPr>
        <w:t>/c-SnO</w:t>
      </w:r>
      <w:r w:rsidRPr="00A074C0">
        <w:rPr>
          <w:rFonts w:eastAsia="SimSun"/>
          <w:szCs w:val="24"/>
          <w:vertAlign w:val="subscript"/>
        </w:rPr>
        <w:t>2</w:t>
      </w:r>
      <w:r w:rsidRPr="00A074C0">
        <w:rPr>
          <w:rFonts w:eastAsia="SimSun"/>
          <w:szCs w:val="24"/>
        </w:rPr>
        <w:t xml:space="preserve"> substrates. The perovskite films were annealed at 100 ºC for 1 h and 150ºC for 10 min. After cooling down to room temperature, the procedures to spin-coat passivation layer and the spiro-OMeTAD layer are similar </w:t>
      </w:r>
      <w:r w:rsidR="00DF2D23">
        <w:rPr>
          <w:rFonts w:eastAsia="SimSun"/>
          <w:szCs w:val="24"/>
        </w:rPr>
        <w:t>to</w:t>
      </w:r>
      <w:r w:rsidRPr="00A074C0">
        <w:rPr>
          <w:rFonts w:eastAsia="SimSun"/>
          <w:szCs w:val="24"/>
        </w:rPr>
        <w:t xml:space="preserve"> those of the small-size devices. The P2 lines (a width of 250 μm) were patterned before the Au evaporation process step with an </w:t>
      </w:r>
      <w:r w:rsidRPr="00A074C0">
        <w:rPr>
          <w:rFonts w:eastAsia="SimSun"/>
          <w:szCs w:val="24"/>
        </w:rPr>
        <w:lastRenderedPageBreak/>
        <w:t xml:space="preserve">average laser power of 15% under a speed of 1000 mm/s and frequency of 65 kHz for </w:t>
      </w:r>
      <w:r w:rsidR="00DF2D23">
        <w:rPr>
          <w:rFonts w:eastAsia="SimSun"/>
          <w:szCs w:val="24"/>
        </w:rPr>
        <w:t xml:space="preserve">a </w:t>
      </w:r>
      <w:r w:rsidRPr="00A074C0">
        <w:rPr>
          <w:rFonts w:eastAsia="SimSun"/>
          <w:szCs w:val="24"/>
        </w:rPr>
        <w:t xml:space="preserve">pulse duration of 120 ns. When a 70 nm-thick Au layer was deposited, the P3 line (width of 40 </w:t>
      </w:r>
      <w:proofErr w:type="spellStart"/>
      <w:r w:rsidRPr="00A074C0">
        <w:rPr>
          <w:rFonts w:eastAsia="SimSun"/>
          <w:szCs w:val="24"/>
        </w:rPr>
        <w:t>μm</w:t>
      </w:r>
      <w:proofErr w:type="spellEnd"/>
      <w:r w:rsidRPr="00A074C0">
        <w:rPr>
          <w:rFonts w:eastAsia="SimSun"/>
          <w:szCs w:val="24"/>
        </w:rPr>
        <w:t xml:space="preserve">) was fabricated under the same scribing condition as the P2 line. The distance between P1 and P3 was around 370 μm, and a geometric fill factor (GFF) </w:t>
      </w:r>
      <w:r w:rsidR="00DF2D23">
        <w:rPr>
          <w:rFonts w:eastAsia="SimSun"/>
          <w:szCs w:val="24"/>
        </w:rPr>
        <w:t>was</w:t>
      </w:r>
      <w:r w:rsidRPr="00A074C0">
        <w:rPr>
          <w:rFonts w:eastAsia="SimSun"/>
          <w:szCs w:val="24"/>
        </w:rPr>
        <w:t xml:space="preserve"> around 93.7%. </w:t>
      </w:r>
    </w:p>
    <w:p w14:paraId="4E5F51AF" w14:textId="326E2003" w:rsidR="000D29A2" w:rsidRPr="00915137" w:rsidRDefault="000D29A2" w:rsidP="006D2BEF">
      <w:pPr>
        <w:pStyle w:val="SMText"/>
        <w:spacing w:before="120" w:line="360" w:lineRule="auto"/>
        <w:ind w:firstLine="0"/>
        <w:rPr>
          <w:b/>
          <w:bCs/>
          <w:color w:val="000000" w:themeColor="text1"/>
          <w:szCs w:val="24"/>
        </w:rPr>
      </w:pPr>
      <w:r w:rsidRPr="00915137">
        <w:rPr>
          <w:rFonts w:hint="eastAsia"/>
          <w:b/>
          <w:bCs/>
          <w:color w:val="000000" w:themeColor="text1"/>
          <w:szCs w:val="24"/>
        </w:rPr>
        <w:t>C</w:t>
      </w:r>
      <w:r w:rsidRPr="00915137">
        <w:rPr>
          <w:b/>
          <w:bCs/>
          <w:color w:val="000000" w:themeColor="text1"/>
          <w:szCs w:val="24"/>
        </w:rPr>
        <w:t>haracterization</w:t>
      </w:r>
    </w:p>
    <w:p w14:paraId="4523BB9B" w14:textId="57E2AB2F" w:rsidR="000D29A2" w:rsidRPr="007A3992" w:rsidRDefault="000D29A2" w:rsidP="006D2BEF">
      <w:pPr>
        <w:snapToGrid w:val="0"/>
        <w:spacing w:before="120" w:line="360" w:lineRule="auto"/>
        <w:jc w:val="both"/>
        <w:rPr>
          <w:color w:val="000000" w:themeColor="text1"/>
          <w:szCs w:val="24"/>
        </w:rPr>
      </w:pPr>
      <w:r w:rsidRPr="00815F44">
        <w:rPr>
          <w:color w:val="000000" w:themeColor="text1"/>
          <w:szCs w:val="24"/>
        </w:rPr>
        <w:t xml:space="preserve">The SEM images </w:t>
      </w:r>
      <w:r>
        <w:rPr>
          <w:color w:val="000000" w:themeColor="text1"/>
          <w:szCs w:val="24"/>
        </w:rPr>
        <w:t>were</w:t>
      </w:r>
      <w:r w:rsidRPr="00815F44">
        <w:rPr>
          <w:color w:val="000000" w:themeColor="text1"/>
          <w:szCs w:val="24"/>
        </w:rPr>
        <w:t xml:space="preserve"> </w:t>
      </w:r>
      <w:r>
        <w:rPr>
          <w:color w:val="000000" w:themeColor="text1"/>
          <w:szCs w:val="24"/>
        </w:rPr>
        <w:t xml:space="preserve">captured </w:t>
      </w:r>
      <w:r w:rsidRPr="00815F44">
        <w:rPr>
          <w:color w:val="000000" w:themeColor="text1"/>
          <w:szCs w:val="24"/>
        </w:rPr>
        <w:t xml:space="preserve">by </w:t>
      </w:r>
      <w:r>
        <w:rPr>
          <w:color w:val="000000" w:themeColor="text1"/>
          <w:szCs w:val="24"/>
        </w:rPr>
        <w:t xml:space="preserve">a </w:t>
      </w:r>
      <w:r w:rsidRPr="00815F44">
        <w:rPr>
          <w:color w:val="000000" w:themeColor="text1"/>
          <w:szCs w:val="24"/>
        </w:rPr>
        <w:t>field</w:t>
      </w:r>
      <w:r>
        <w:rPr>
          <w:color w:val="000000" w:themeColor="text1"/>
          <w:szCs w:val="24"/>
        </w:rPr>
        <w:t>-</w:t>
      </w:r>
      <w:r w:rsidRPr="00815F44">
        <w:rPr>
          <w:color w:val="000000" w:themeColor="text1"/>
          <w:szCs w:val="24"/>
        </w:rPr>
        <w:t xml:space="preserve">emission </w:t>
      </w:r>
      <w:r>
        <w:rPr>
          <w:color w:val="000000" w:themeColor="text1"/>
          <w:szCs w:val="24"/>
        </w:rPr>
        <w:t>SEM (</w:t>
      </w:r>
      <w:r w:rsidRPr="00E005DF">
        <w:rPr>
          <w:color w:val="000000" w:themeColor="text1"/>
          <w:szCs w:val="24"/>
        </w:rPr>
        <w:t>Hitachi,</w:t>
      </w:r>
      <w:r>
        <w:rPr>
          <w:color w:val="000000" w:themeColor="text1"/>
          <w:szCs w:val="24"/>
        </w:rPr>
        <w:t xml:space="preserve"> </w:t>
      </w:r>
      <w:r w:rsidRPr="00E005DF">
        <w:rPr>
          <w:color w:val="000000" w:themeColor="text1"/>
          <w:szCs w:val="24"/>
        </w:rPr>
        <w:t>S4800).</w:t>
      </w:r>
      <w:r w:rsidRPr="004B3A68">
        <w:t xml:space="preserve"> </w:t>
      </w:r>
      <w:r w:rsidRPr="004B3A68">
        <w:rPr>
          <w:color w:val="000000" w:themeColor="text1"/>
          <w:szCs w:val="24"/>
        </w:rPr>
        <w:t xml:space="preserve">The absorbance spectra were recorded by an ultraviolet and visible spectrophotometer (Tianjin </w:t>
      </w:r>
      <w:proofErr w:type="spellStart"/>
      <w:r w:rsidRPr="004B3A68">
        <w:rPr>
          <w:color w:val="000000" w:themeColor="text1"/>
          <w:szCs w:val="24"/>
        </w:rPr>
        <w:t>Tuopu</w:t>
      </w:r>
      <w:proofErr w:type="spellEnd"/>
      <w:r w:rsidRPr="004B3A68">
        <w:rPr>
          <w:color w:val="000000" w:themeColor="text1"/>
          <w:szCs w:val="24"/>
        </w:rPr>
        <w:t xml:space="preserve"> Instrument Co., Ltd, GS54T)</w:t>
      </w:r>
      <w:r>
        <w:rPr>
          <w:color w:val="000000" w:themeColor="text1"/>
          <w:szCs w:val="24"/>
        </w:rPr>
        <w:t>.</w:t>
      </w:r>
      <w:r w:rsidRPr="00A067B2">
        <w:t xml:space="preserve"> </w:t>
      </w:r>
      <w:r>
        <w:rPr>
          <w:color w:val="000000" w:themeColor="text1"/>
          <w:szCs w:val="24"/>
        </w:rPr>
        <w:t>The G</w:t>
      </w:r>
      <w:r w:rsidRPr="00A067B2">
        <w:rPr>
          <w:color w:val="000000" w:themeColor="text1"/>
          <w:szCs w:val="24"/>
        </w:rPr>
        <w:t>IWAXS</w:t>
      </w:r>
      <w:r>
        <w:rPr>
          <w:color w:val="000000" w:themeColor="text1"/>
          <w:szCs w:val="24"/>
        </w:rPr>
        <w:t xml:space="preserve"> patterns were collected by </w:t>
      </w:r>
      <w:proofErr w:type="spellStart"/>
      <w:r>
        <w:rPr>
          <w:color w:val="000000" w:themeColor="text1"/>
          <w:szCs w:val="24"/>
        </w:rPr>
        <w:t>X</w:t>
      </w:r>
      <w:r w:rsidRPr="0047239B">
        <w:rPr>
          <w:color w:val="000000" w:themeColor="text1"/>
          <w:szCs w:val="24"/>
        </w:rPr>
        <w:t>euss</w:t>
      </w:r>
      <w:proofErr w:type="spellEnd"/>
      <w:r w:rsidRPr="0047239B">
        <w:rPr>
          <w:color w:val="000000" w:themeColor="text1"/>
          <w:szCs w:val="24"/>
        </w:rPr>
        <w:t xml:space="preserve"> </w:t>
      </w:r>
      <w:proofErr w:type="spellStart"/>
      <w:r>
        <w:rPr>
          <w:color w:val="000000" w:themeColor="text1"/>
          <w:szCs w:val="24"/>
        </w:rPr>
        <w:t>W</w:t>
      </w:r>
      <w:r w:rsidRPr="0047239B">
        <w:rPr>
          <w:color w:val="000000" w:themeColor="text1"/>
          <w:szCs w:val="24"/>
        </w:rPr>
        <w:t>axs</w:t>
      </w:r>
      <w:proofErr w:type="spellEnd"/>
      <w:r w:rsidRPr="0047239B">
        <w:rPr>
          <w:color w:val="000000" w:themeColor="text1"/>
          <w:szCs w:val="24"/>
        </w:rPr>
        <w:t>/</w:t>
      </w:r>
      <w:proofErr w:type="spellStart"/>
      <w:r>
        <w:rPr>
          <w:color w:val="000000" w:themeColor="text1"/>
          <w:szCs w:val="24"/>
        </w:rPr>
        <w:t>S</w:t>
      </w:r>
      <w:r w:rsidRPr="0047239B">
        <w:rPr>
          <w:color w:val="000000" w:themeColor="text1"/>
          <w:szCs w:val="24"/>
        </w:rPr>
        <w:t>axs</w:t>
      </w:r>
      <w:proofErr w:type="spellEnd"/>
      <w:r w:rsidRPr="0047239B">
        <w:rPr>
          <w:color w:val="000000" w:themeColor="text1"/>
          <w:szCs w:val="24"/>
        </w:rPr>
        <w:t xml:space="preserve"> </w:t>
      </w:r>
      <w:r>
        <w:rPr>
          <w:color w:val="000000" w:themeColor="text1"/>
          <w:szCs w:val="24"/>
        </w:rPr>
        <w:t>S</w:t>
      </w:r>
      <w:r w:rsidRPr="0047239B">
        <w:rPr>
          <w:color w:val="000000" w:themeColor="text1"/>
          <w:szCs w:val="24"/>
        </w:rPr>
        <w:t>ystem</w:t>
      </w:r>
      <w:r>
        <w:rPr>
          <w:color w:val="000000" w:themeColor="text1"/>
          <w:szCs w:val="24"/>
        </w:rPr>
        <w:t xml:space="preserve"> (</w:t>
      </w:r>
      <w:proofErr w:type="spellStart"/>
      <w:r>
        <w:rPr>
          <w:color w:val="000000" w:themeColor="text1"/>
          <w:szCs w:val="24"/>
        </w:rPr>
        <w:t>X</w:t>
      </w:r>
      <w:r w:rsidRPr="00FD18A9">
        <w:rPr>
          <w:color w:val="000000" w:themeColor="text1"/>
          <w:szCs w:val="24"/>
        </w:rPr>
        <w:t>enocs</w:t>
      </w:r>
      <w:proofErr w:type="spellEnd"/>
      <w:r>
        <w:rPr>
          <w:color w:val="000000" w:themeColor="text1"/>
          <w:szCs w:val="24"/>
        </w:rPr>
        <w:t xml:space="preserve">, </w:t>
      </w:r>
      <w:r w:rsidRPr="00FD18A9">
        <w:rPr>
          <w:color w:val="000000" w:themeColor="text1"/>
          <w:szCs w:val="24"/>
        </w:rPr>
        <w:t>France</w:t>
      </w:r>
      <w:r>
        <w:rPr>
          <w:color w:val="000000" w:themeColor="text1"/>
          <w:szCs w:val="24"/>
        </w:rPr>
        <w:t xml:space="preserve">) (1.54 </w:t>
      </w:r>
      <w:r w:rsidRPr="0019508E">
        <w:rPr>
          <w:rFonts w:hint="eastAsia"/>
          <w:color w:val="000000" w:themeColor="text1"/>
          <w:szCs w:val="24"/>
        </w:rPr>
        <w:t>Å</w:t>
      </w:r>
      <w:r>
        <w:rPr>
          <w:color w:val="000000" w:themeColor="text1"/>
          <w:szCs w:val="24"/>
        </w:rPr>
        <w:t>)</w:t>
      </w:r>
      <w:r>
        <w:rPr>
          <w:rFonts w:hint="eastAsia"/>
          <w:color w:val="000000" w:themeColor="text1"/>
          <w:szCs w:val="24"/>
        </w:rPr>
        <w:t>. X</w:t>
      </w:r>
      <w:r>
        <w:rPr>
          <w:color w:val="000000" w:themeColor="text1"/>
          <w:szCs w:val="24"/>
        </w:rPr>
        <w:t xml:space="preserve">RD was employed on </w:t>
      </w:r>
      <w:r w:rsidRPr="00407BB7">
        <w:rPr>
          <w:color w:val="000000" w:themeColor="text1"/>
          <w:szCs w:val="24"/>
        </w:rPr>
        <w:t>Bruker AXS D8 Advance with Cu Kα radiation</w:t>
      </w:r>
      <w:r>
        <w:rPr>
          <w:color w:val="000000" w:themeColor="text1"/>
          <w:szCs w:val="24"/>
        </w:rPr>
        <w:t>.</w:t>
      </w:r>
      <w:r>
        <w:rPr>
          <w:rFonts w:hint="eastAsia"/>
          <w:color w:val="000000" w:themeColor="text1"/>
          <w:szCs w:val="24"/>
        </w:rPr>
        <w:t xml:space="preserve"> </w:t>
      </w:r>
      <w:r w:rsidRPr="00E35F48">
        <w:rPr>
          <w:color w:val="000000" w:themeColor="text1"/>
          <w:szCs w:val="24"/>
        </w:rPr>
        <w:t xml:space="preserve">Atom force microscopy (AFM) </w:t>
      </w:r>
      <w:r>
        <w:rPr>
          <w:color w:val="000000" w:themeColor="text1"/>
          <w:szCs w:val="24"/>
        </w:rPr>
        <w:t xml:space="preserve">and KPFM </w:t>
      </w:r>
      <w:r w:rsidRPr="00E35F48">
        <w:rPr>
          <w:color w:val="000000" w:themeColor="text1"/>
          <w:szCs w:val="24"/>
        </w:rPr>
        <w:t xml:space="preserve">images were observed on </w:t>
      </w:r>
      <w:r>
        <w:rPr>
          <w:color w:val="000000" w:themeColor="text1"/>
          <w:szCs w:val="24"/>
        </w:rPr>
        <w:t xml:space="preserve">a </w:t>
      </w:r>
      <w:r w:rsidRPr="003311A9">
        <w:rPr>
          <w:color w:val="000000" w:themeColor="text1"/>
          <w:szCs w:val="24"/>
        </w:rPr>
        <w:t xml:space="preserve">Scanning probe microscope </w:t>
      </w:r>
      <w:r>
        <w:rPr>
          <w:color w:val="000000" w:themeColor="text1"/>
          <w:szCs w:val="24"/>
        </w:rPr>
        <w:t>(</w:t>
      </w:r>
      <w:r w:rsidR="00DF2D23">
        <w:rPr>
          <w:color w:val="000000" w:themeColor="text1"/>
          <w:szCs w:val="24"/>
        </w:rPr>
        <w:t>Dimension</w:t>
      </w:r>
      <w:r w:rsidRPr="008A59A0">
        <w:rPr>
          <w:color w:val="000000" w:themeColor="text1"/>
          <w:szCs w:val="24"/>
        </w:rPr>
        <w:t xml:space="preserve"> ICON, Bruker, USA)</w:t>
      </w:r>
      <w:r>
        <w:rPr>
          <w:rFonts w:hint="eastAsia"/>
          <w:color w:val="000000" w:themeColor="text1"/>
          <w:szCs w:val="24"/>
        </w:rPr>
        <w:t>.</w:t>
      </w:r>
      <w:r>
        <w:rPr>
          <w:color w:val="000000" w:themeColor="text1"/>
          <w:szCs w:val="24"/>
        </w:rPr>
        <w:t xml:space="preserve"> </w:t>
      </w:r>
      <w:r w:rsidRPr="0069351C">
        <w:rPr>
          <w:color w:val="000000" w:themeColor="text1"/>
          <w:szCs w:val="24"/>
        </w:rPr>
        <w:t xml:space="preserve">The </w:t>
      </w:r>
      <w:r>
        <w:rPr>
          <w:color w:val="000000" w:themeColor="text1"/>
          <w:szCs w:val="24"/>
        </w:rPr>
        <w:t>UPS</w:t>
      </w:r>
      <w:r w:rsidRPr="0069351C">
        <w:rPr>
          <w:color w:val="000000" w:themeColor="text1"/>
          <w:szCs w:val="24"/>
        </w:rPr>
        <w:t xml:space="preserve"> and </w:t>
      </w:r>
      <w:r>
        <w:rPr>
          <w:color w:val="000000" w:themeColor="text1"/>
          <w:szCs w:val="24"/>
        </w:rPr>
        <w:t>XPS</w:t>
      </w:r>
      <w:r w:rsidRPr="0069351C">
        <w:rPr>
          <w:color w:val="000000" w:themeColor="text1"/>
          <w:szCs w:val="24"/>
        </w:rPr>
        <w:t xml:space="preserve"> </w:t>
      </w:r>
      <w:r>
        <w:rPr>
          <w:color w:val="000000" w:themeColor="text1"/>
          <w:szCs w:val="24"/>
        </w:rPr>
        <w:t xml:space="preserve">measurement </w:t>
      </w:r>
      <w:r w:rsidRPr="0069351C">
        <w:rPr>
          <w:color w:val="000000" w:themeColor="text1"/>
          <w:szCs w:val="24"/>
        </w:rPr>
        <w:t xml:space="preserve">were </w:t>
      </w:r>
      <w:r>
        <w:rPr>
          <w:color w:val="000000" w:themeColor="text1"/>
          <w:szCs w:val="24"/>
        </w:rPr>
        <w:t>taken by</w:t>
      </w:r>
      <w:r w:rsidRPr="0069351C">
        <w:rPr>
          <w:color w:val="000000" w:themeColor="text1"/>
          <w:szCs w:val="24"/>
        </w:rPr>
        <w:t xml:space="preserve"> a </w:t>
      </w:r>
      <w:proofErr w:type="spellStart"/>
      <w:r w:rsidRPr="0069351C">
        <w:rPr>
          <w:color w:val="000000" w:themeColor="text1"/>
          <w:szCs w:val="24"/>
        </w:rPr>
        <w:t>Kratos</w:t>
      </w:r>
      <w:proofErr w:type="spellEnd"/>
      <w:r w:rsidRPr="0069351C">
        <w:rPr>
          <w:color w:val="000000" w:themeColor="text1"/>
          <w:szCs w:val="24"/>
        </w:rPr>
        <w:t xml:space="preserve"> AXIS ULTRA DALD</w:t>
      </w:r>
      <w:r w:rsidR="00DF2D23">
        <w:rPr>
          <w:color w:val="000000" w:themeColor="text1"/>
          <w:szCs w:val="24"/>
        </w:rPr>
        <w:t>,</w:t>
      </w:r>
      <w:r w:rsidRPr="0069351C">
        <w:rPr>
          <w:color w:val="000000" w:themeColor="text1"/>
          <w:szCs w:val="24"/>
        </w:rPr>
        <w:t xml:space="preserve"> and the UPS </w:t>
      </w:r>
      <w:r w:rsidR="00DF2D23">
        <w:rPr>
          <w:color w:val="000000" w:themeColor="text1"/>
          <w:szCs w:val="24"/>
        </w:rPr>
        <w:t xml:space="preserve">was </w:t>
      </w:r>
      <w:r w:rsidRPr="0069351C">
        <w:rPr>
          <w:color w:val="000000" w:themeColor="text1"/>
          <w:szCs w:val="24"/>
        </w:rPr>
        <w:t>measured under the He I (21.22 eV) emission line</w:t>
      </w:r>
      <w:r>
        <w:rPr>
          <w:color w:val="000000" w:themeColor="text1"/>
          <w:szCs w:val="24"/>
        </w:rPr>
        <w:t xml:space="preserve"> under 10 V bias voltage</w:t>
      </w:r>
      <w:r w:rsidRPr="0069351C">
        <w:rPr>
          <w:color w:val="000000" w:themeColor="text1"/>
          <w:szCs w:val="24"/>
        </w:rPr>
        <w:t>.</w:t>
      </w:r>
      <w:r w:rsidRPr="00CD036F">
        <w:t xml:space="preserve"> </w:t>
      </w:r>
      <w:proofErr w:type="spellStart"/>
      <w:r w:rsidRPr="00CD036F">
        <w:rPr>
          <w:color w:val="000000" w:themeColor="text1"/>
          <w:szCs w:val="24"/>
        </w:rPr>
        <w:t>TrPL</w:t>
      </w:r>
      <w:proofErr w:type="spellEnd"/>
      <w:r>
        <w:rPr>
          <w:rFonts w:hint="eastAsia"/>
          <w:color w:val="000000" w:themeColor="text1"/>
          <w:szCs w:val="24"/>
        </w:rPr>
        <w:t xml:space="preserve"> </w:t>
      </w:r>
      <w:r w:rsidRPr="00CD036F">
        <w:rPr>
          <w:color w:val="000000" w:themeColor="text1"/>
          <w:szCs w:val="24"/>
        </w:rPr>
        <w:t>decay</w:t>
      </w:r>
      <w:r>
        <w:rPr>
          <w:color w:val="000000" w:themeColor="text1"/>
          <w:szCs w:val="24"/>
        </w:rPr>
        <w:t>s</w:t>
      </w:r>
      <w:r w:rsidRPr="00CD036F">
        <w:rPr>
          <w:color w:val="000000" w:themeColor="text1"/>
          <w:szCs w:val="24"/>
        </w:rPr>
        <w:t xml:space="preserve"> </w:t>
      </w:r>
      <w:r>
        <w:rPr>
          <w:color w:val="000000" w:themeColor="text1"/>
          <w:szCs w:val="24"/>
        </w:rPr>
        <w:t>were</w:t>
      </w:r>
      <w:r w:rsidRPr="00CD036F">
        <w:rPr>
          <w:color w:val="000000" w:themeColor="text1"/>
          <w:szCs w:val="24"/>
        </w:rPr>
        <w:t xml:space="preserve"> induced by using </w:t>
      </w:r>
      <w:proofErr w:type="spellStart"/>
      <w:r w:rsidRPr="00CD036F">
        <w:rPr>
          <w:color w:val="000000" w:themeColor="text1"/>
          <w:szCs w:val="24"/>
        </w:rPr>
        <w:t>FluoTime</w:t>
      </w:r>
      <w:proofErr w:type="spellEnd"/>
      <w:r w:rsidRPr="00CD036F">
        <w:rPr>
          <w:color w:val="000000" w:themeColor="text1"/>
          <w:szCs w:val="24"/>
        </w:rPr>
        <w:t xml:space="preserve"> 300 (</w:t>
      </w:r>
      <w:proofErr w:type="spellStart"/>
      <w:r w:rsidRPr="00CD036F">
        <w:rPr>
          <w:color w:val="000000" w:themeColor="text1"/>
          <w:szCs w:val="24"/>
        </w:rPr>
        <w:t>PicoQuant</w:t>
      </w:r>
      <w:proofErr w:type="spellEnd"/>
      <w:r w:rsidRPr="00CD036F">
        <w:rPr>
          <w:color w:val="000000" w:themeColor="text1"/>
          <w:szCs w:val="24"/>
        </w:rPr>
        <w:t>) with a 450 nm laser.</w:t>
      </w:r>
      <w:r>
        <w:rPr>
          <w:color w:val="000000" w:themeColor="text1"/>
          <w:szCs w:val="24"/>
        </w:rPr>
        <w:t xml:space="preserve"> TAS was measured by SOL-F-K-HP-T in 800 nm</w:t>
      </w:r>
      <w:r>
        <w:rPr>
          <w:rFonts w:hint="eastAsia"/>
          <w:color w:val="000000" w:themeColor="text1"/>
          <w:szCs w:val="24"/>
        </w:rPr>
        <w:t>.</w:t>
      </w:r>
      <w:r>
        <w:rPr>
          <w:color w:val="000000" w:themeColor="text1"/>
          <w:szCs w:val="24"/>
        </w:rPr>
        <w:t xml:space="preserve"> </w:t>
      </w:r>
      <w:r w:rsidRPr="00DA75B2">
        <w:rPr>
          <w:color w:val="000000" w:themeColor="text1"/>
          <w:szCs w:val="24"/>
        </w:rPr>
        <w:t>Steady-state PL spectra were observed by a fluorescence spectrometer (HORIBA, FL3-111)</w:t>
      </w:r>
      <w:r w:rsidR="00BD2FB0" w:rsidRPr="00DA75B2">
        <w:rPr>
          <w:color w:val="000000" w:themeColor="text1"/>
          <w:szCs w:val="24"/>
        </w:rPr>
        <w:t xml:space="preserve"> with </w:t>
      </w:r>
      <w:r w:rsidR="00DF2D23">
        <w:rPr>
          <w:color w:val="000000" w:themeColor="text1"/>
          <w:szCs w:val="24"/>
        </w:rPr>
        <w:t>an</w:t>
      </w:r>
      <w:r w:rsidR="00BD2FB0" w:rsidRPr="00DA75B2">
        <w:rPr>
          <w:color w:val="000000" w:themeColor="text1"/>
          <w:szCs w:val="24"/>
        </w:rPr>
        <w:t xml:space="preserve"> excitation wavelength of 470 nm</w:t>
      </w:r>
      <w:r w:rsidRPr="00DA75B2">
        <w:rPr>
          <w:color w:val="000000" w:themeColor="text1"/>
          <w:szCs w:val="24"/>
        </w:rPr>
        <w:t xml:space="preserve">. </w:t>
      </w:r>
      <w:proofErr w:type="spellStart"/>
      <w:r w:rsidR="00766F06" w:rsidRPr="00DA75B2">
        <w:rPr>
          <w:color w:val="000000" w:themeColor="text1"/>
          <w:szCs w:val="24"/>
        </w:rPr>
        <w:t>TrPL</w:t>
      </w:r>
      <w:proofErr w:type="spellEnd"/>
      <w:r w:rsidR="00766F06" w:rsidRPr="00DA75B2">
        <w:rPr>
          <w:color w:val="000000" w:themeColor="text1"/>
          <w:szCs w:val="24"/>
        </w:rPr>
        <w:t xml:space="preserve"> measurements were conducted by a </w:t>
      </w:r>
      <w:r w:rsidR="007A3992" w:rsidRPr="00DA75B2">
        <w:rPr>
          <w:color w:val="000000" w:themeColor="text1"/>
          <w:szCs w:val="24"/>
        </w:rPr>
        <w:t>FLS1000 (HORIBA)</w:t>
      </w:r>
      <w:r w:rsidR="00DF2D23">
        <w:rPr>
          <w:color w:val="000000" w:themeColor="text1"/>
          <w:szCs w:val="24"/>
        </w:rPr>
        <w:t>,</w:t>
      </w:r>
      <w:r w:rsidR="007A3992" w:rsidRPr="00DA75B2">
        <w:rPr>
          <w:rFonts w:hint="eastAsia"/>
          <w:color w:val="000000" w:themeColor="text1"/>
          <w:szCs w:val="24"/>
          <w:lang w:eastAsia="zh-CN"/>
        </w:rPr>
        <w:t xml:space="preserve"> </w:t>
      </w:r>
      <w:r w:rsidR="007A3992" w:rsidRPr="00DA75B2">
        <w:rPr>
          <w:color w:val="000000" w:themeColor="text1"/>
          <w:szCs w:val="24"/>
          <w:lang w:eastAsia="zh-CN"/>
        </w:rPr>
        <w:t xml:space="preserve">and </w:t>
      </w:r>
      <w:r w:rsidR="00766F06" w:rsidRPr="00DA75B2">
        <w:rPr>
          <w:color w:val="000000" w:themeColor="text1"/>
          <w:szCs w:val="24"/>
        </w:rPr>
        <w:t>the excitation wavelength is 475 nm.</w:t>
      </w:r>
      <w:r w:rsidR="00766F06">
        <w:rPr>
          <w:color w:val="000000" w:themeColor="text1"/>
          <w:szCs w:val="24"/>
        </w:rPr>
        <w:t xml:space="preserve"> </w:t>
      </w:r>
      <w:r>
        <w:rPr>
          <w:color w:val="000000" w:themeColor="text1"/>
          <w:szCs w:val="24"/>
        </w:rPr>
        <w:t>All the voltage-current measurements were</w:t>
      </w:r>
      <w:r w:rsidRPr="00602423">
        <w:rPr>
          <w:color w:val="000000" w:themeColor="text1"/>
          <w:szCs w:val="24"/>
        </w:rPr>
        <w:t xml:space="preserve"> </w:t>
      </w:r>
      <w:r w:rsidRPr="008D6D09">
        <w:rPr>
          <w:color w:val="000000" w:themeColor="text1"/>
          <w:szCs w:val="24"/>
        </w:rPr>
        <w:t>carried out by using a Keysight B2901A Source Meter</w:t>
      </w:r>
      <w:r>
        <w:rPr>
          <w:color w:val="000000" w:themeColor="text1"/>
          <w:szCs w:val="24"/>
        </w:rPr>
        <w:t xml:space="preserve">. For the in-house </w:t>
      </w:r>
      <w:r w:rsidRPr="00766F06">
        <w:rPr>
          <w:color w:val="000000" w:themeColor="text1"/>
          <w:szCs w:val="24"/>
        </w:rPr>
        <w:t>PCE</w:t>
      </w:r>
      <w:r>
        <w:rPr>
          <w:color w:val="000000" w:themeColor="text1"/>
          <w:szCs w:val="24"/>
        </w:rPr>
        <w:t xml:space="preserve"> measurements of solar cells, a </w:t>
      </w:r>
      <w:r w:rsidRPr="008D6D09">
        <w:rPr>
          <w:color w:val="000000" w:themeColor="text1"/>
          <w:szCs w:val="24"/>
        </w:rPr>
        <w:t xml:space="preserve">simulated one-sun AM 1.5G illumination (100 </w:t>
      </w:r>
      <w:proofErr w:type="spellStart"/>
      <w:r w:rsidRPr="008D6D09">
        <w:rPr>
          <w:color w:val="000000" w:themeColor="text1"/>
          <w:szCs w:val="24"/>
        </w:rPr>
        <w:t>mW</w:t>
      </w:r>
      <w:proofErr w:type="spellEnd"/>
      <w:r w:rsidRPr="008D6D09">
        <w:rPr>
          <w:color w:val="000000" w:themeColor="text1"/>
          <w:szCs w:val="24"/>
        </w:rPr>
        <w:t>/cm</w:t>
      </w:r>
      <w:r w:rsidRPr="00AC2C1A">
        <w:rPr>
          <w:color w:val="000000" w:themeColor="text1"/>
          <w:szCs w:val="24"/>
          <w:vertAlign w:val="superscript"/>
        </w:rPr>
        <w:t>2</w:t>
      </w:r>
      <w:r w:rsidRPr="008D6D09">
        <w:rPr>
          <w:color w:val="000000" w:themeColor="text1"/>
          <w:szCs w:val="24"/>
        </w:rPr>
        <w:t>) with a solar simulator (</w:t>
      </w:r>
      <w:proofErr w:type="spellStart"/>
      <w:r w:rsidRPr="008D6D09">
        <w:rPr>
          <w:color w:val="000000" w:themeColor="text1"/>
          <w:szCs w:val="24"/>
        </w:rPr>
        <w:t>Enlitech</w:t>
      </w:r>
      <w:proofErr w:type="spellEnd"/>
      <w:r w:rsidRPr="008D6D09">
        <w:rPr>
          <w:color w:val="000000" w:themeColor="text1"/>
          <w:szCs w:val="24"/>
        </w:rPr>
        <w:t>, SS-F5-3A)</w:t>
      </w:r>
      <w:r>
        <w:rPr>
          <w:color w:val="000000" w:themeColor="text1"/>
          <w:szCs w:val="24"/>
        </w:rPr>
        <w:t xml:space="preserve"> are used as the light source. The TPV, CV, EIS measurements are conducted on a</w:t>
      </w:r>
      <w:r>
        <w:rPr>
          <w:rFonts w:hint="eastAsia"/>
          <w:color w:val="000000" w:themeColor="text1"/>
          <w:szCs w:val="24"/>
        </w:rPr>
        <w:t>n</w:t>
      </w:r>
      <w:r>
        <w:rPr>
          <w:color w:val="000000" w:themeColor="text1"/>
          <w:szCs w:val="24"/>
        </w:rPr>
        <w:t xml:space="preserve"> </w:t>
      </w:r>
      <w:r w:rsidRPr="001A222E">
        <w:rPr>
          <w:color w:val="000000" w:themeColor="text1"/>
          <w:szCs w:val="24"/>
        </w:rPr>
        <w:t>electrochemical analyzer</w:t>
      </w:r>
      <w:r>
        <w:rPr>
          <w:color w:val="000000" w:themeColor="text1"/>
          <w:szCs w:val="24"/>
        </w:rPr>
        <w:t xml:space="preserve"> (Shanghai </w:t>
      </w:r>
      <w:proofErr w:type="spellStart"/>
      <w:r>
        <w:rPr>
          <w:color w:val="000000" w:themeColor="text1"/>
          <w:szCs w:val="24"/>
        </w:rPr>
        <w:t>Chenhua</w:t>
      </w:r>
      <w:proofErr w:type="spellEnd"/>
      <w:r>
        <w:rPr>
          <w:color w:val="000000" w:themeColor="text1"/>
          <w:szCs w:val="24"/>
        </w:rPr>
        <w:t xml:space="preserve"> Instrument, </w:t>
      </w:r>
      <w:r w:rsidRPr="00F179FD">
        <w:rPr>
          <w:color w:val="000000" w:themeColor="text1"/>
          <w:szCs w:val="24"/>
        </w:rPr>
        <w:t>CHI600E</w:t>
      </w:r>
      <w:r>
        <w:rPr>
          <w:color w:val="000000" w:themeColor="text1"/>
          <w:szCs w:val="24"/>
        </w:rPr>
        <w:t xml:space="preserve">). </w:t>
      </w:r>
      <w:r w:rsidRPr="00731826">
        <w:rPr>
          <w:szCs w:val="24"/>
        </w:rPr>
        <w:t xml:space="preserve">Device stability of PSCs was monitored under continuous light soaking (White LED, 100 </w:t>
      </w:r>
      <w:proofErr w:type="spellStart"/>
      <w:r w:rsidRPr="00731826">
        <w:rPr>
          <w:szCs w:val="24"/>
        </w:rPr>
        <w:t>mW</w:t>
      </w:r>
      <w:proofErr w:type="spellEnd"/>
      <w:r w:rsidRPr="00731826">
        <w:rPr>
          <w:szCs w:val="24"/>
        </w:rPr>
        <w:t>/cm</w:t>
      </w:r>
      <w:r w:rsidRPr="00731826">
        <w:rPr>
          <w:szCs w:val="24"/>
          <w:vertAlign w:val="superscript"/>
        </w:rPr>
        <w:t>2</w:t>
      </w:r>
      <w:r w:rsidRPr="00731826">
        <w:rPr>
          <w:szCs w:val="24"/>
        </w:rPr>
        <w:t>) at the MPP condition in a nitrogen glovebox (O</w:t>
      </w:r>
      <w:r w:rsidRPr="00731826">
        <w:rPr>
          <w:szCs w:val="24"/>
          <w:vertAlign w:val="subscript"/>
        </w:rPr>
        <w:t>2</w:t>
      </w:r>
      <w:r w:rsidRPr="00731826">
        <w:rPr>
          <w:szCs w:val="24"/>
        </w:rPr>
        <w:t xml:space="preserve"> </w:t>
      </w:r>
      <w:r w:rsidRPr="00731826">
        <w:rPr>
          <w:rFonts w:hint="eastAsia"/>
          <w:szCs w:val="24"/>
        </w:rPr>
        <w:t>≤</w:t>
      </w:r>
      <w:r w:rsidRPr="00731826">
        <w:rPr>
          <w:szCs w:val="24"/>
        </w:rPr>
        <w:t xml:space="preserve"> 20 ppm, H</w:t>
      </w:r>
      <w:r w:rsidRPr="00731826">
        <w:rPr>
          <w:szCs w:val="24"/>
          <w:vertAlign w:val="subscript"/>
        </w:rPr>
        <w:t>2</w:t>
      </w:r>
      <w:r w:rsidRPr="00731826">
        <w:rPr>
          <w:szCs w:val="24"/>
        </w:rPr>
        <w:t xml:space="preserve">O </w:t>
      </w:r>
      <w:r w:rsidRPr="00731826">
        <w:rPr>
          <w:rFonts w:hint="eastAsia"/>
          <w:szCs w:val="24"/>
        </w:rPr>
        <w:t>≤</w:t>
      </w:r>
      <w:r w:rsidRPr="00731826">
        <w:rPr>
          <w:szCs w:val="24"/>
        </w:rPr>
        <w:t xml:space="preserve"> 5 ppm). During the measurement, the </w:t>
      </w:r>
      <w:r w:rsidR="00A817B7">
        <w:rPr>
          <w:rFonts w:hint="eastAsia"/>
          <w:szCs w:val="24"/>
          <w:lang w:eastAsia="zh-CN"/>
        </w:rPr>
        <w:t>de</w:t>
      </w:r>
      <w:r w:rsidR="00A817B7">
        <w:rPr>
          <w:szCs w:val="24"/>
        </w:rPr>
        <w:t xml:space="preserve">vice </w:t>
      </w:r>
      <w:r w:rsidRPr="00731826">
        <w:rPr>
          <w:szCs w:val="24"/>
        </w:rPr>
        <w:t xml:space="preserve">temperature is kept at around </w:t>
      </w:r>
      <w:r w:rsidR="00A817B7">
        <w:rPr>
          <w:szCs w:val="24"/>
        </w:rPr>
        <w:t>50</w:t>
      </w:r>
      <w:r w:rsidR="003200FF">
        <w:rPr>
          <w:szCs w:val="24"/>
        </w:rPr>
        <w:t xml:space="preserve"> </w:t>
      </w:r>
      <w:r w:rsidRPr="00731826">
        <w:rPr>
          <w:rFonts w:ascii="Arial" w:hAnsi="Arial" w:cs="Arial"/>
          <w:szCs w:val="24"/>
        </w:rPr>
        <w:t>°</w:t>
      </w:r>
      <w:r w:rsidRPr="00731826">
        <w:rPr>
          <w:szCs w:val="24"/>
        </w:rPr>
        <w:t xml:space="preserve">C. </w:t>
      </w:r>
    </w:p>
    <w:p w14:paraId="5EC23B96" w14:textId="77777777" w:rsidR="003F26B5" w:rsidRPr="00731826" w:rsidRDefault="003F26B5" w:rsidP="006D2BEF">
      <w:pPr>
        <w:snapToGrid w:val="0"/>
        <w:spacing w:before="120" w:line="360" w:lineRule="auto"/>
        <w:jc w:val="both"/>
        <w:rPr>
          <w:color w:val="000000" w:themeColor="text1"/>
          <w:szCs w:val="24"/>
        </w:rPr>
      </w:pPr>
    </w:p>
    <w:p w14:paraId="7DCDD3F3" w14:textId="57BA74E8" w:rsidR="00B673AA" w:rsidRPr="003F26B5" w:rsidRDefault="00B673AA" w:rsidP="006D2BEF">
      <w:pPr>
        <w:spacing w:line="360" w:lineRule="auto"/>
        <w:rPr>
          <w:rFonts w:eastAsia="Arial Unicode MS"/>
          <w:b/>
          <w:bCs/>
          <w:color w:val="000000" w:themeColor="text1"/>
          <w:kern w:val="24"/>
          <w:szCs w:val="24"/>
        </w:rPr>
      </w:pPr>
    </w:p>
    <w:p w14:paraId="6B56C0FE" w14:textId="77777777" w:rsidR="00E06CD8" w:rsidRDefault="00E06CD8" w:rsidP="006D2BEF">
      <w:pPr>
        <w:spacing w:line="360" w:lineRule="auto"/>
        <w:rPr>
          <w:b/>
          <w:bCs/>
          <w:kern w:val="32"/>
          <w:szCs w:val="24"/>
        </w:rPr>
      </w:pPr>
      <w:r>
        <w:br w:type="page"/>
      </w:r>
    </w:p>
    <w:p w14:paraId="12923ABF" w14:textId="69F4B1D2" w:rsidR="00015F74" w:rsidRDefault="00BB2D2A" w:rsidP="006D2BEF">
      <w:pPr>
        <w:pStyle w:val="SMHeading"/>
        <w:spacing w:line="360" w:lineRule="auto"/>
      </w:pPr>
      <w:r>
        <w:lastRenderedPageBreak/>
        <w:t>Supplementary</w:t>
      </w:r>
      <w:r w:rsidR="00015F74">
        <w:t xml:space="preserve"> Text</w:t>
      </w:r>
    </w:p>
    <w:p w14:paraId="35ACA7AC" w14:textId="77777777" w:rsidR="003F26B5" w:rsidRPr="00915137" w:rsidRDefault="003F26B5" w:rsidP="006D2BEF">
      <w:pPr>
        <w:pStyle w:val="SMText"/>
        <w:spacing w:before="120" w:line="360" w:lineRule="auto"/>
        <w:ind w:firstLine="0"/>
        <w:rPr>
          <w:b/>
          <w:bCs/>
          <w:color w:val="000000" w:themeColor="text1"/>
          <w:szCs w:val="24"/>
        </w:rPr>
      </w:pPr>
      <w:r w:rsidRPr="00915137">
        <w:rPr>
          <w:b/>
          <w:bCs/>
          <w:color w:val="000000" w:themeColor="text1"/>
          <w:szCs w:val="24"/>
        </w:rPr>
        <w:t>DFT Calculations</w:t>
      </w:r>
    </w:p>
    <w:p w14:paraId="3BA94927" w14:textId="560E1BEF" w:rsidR="003F26B5" w:rsidRPr="00181425" w:rsidRDefault="003F26B5" w:rsidP="006D2BEF">
      <w:pPr>
        <w:snapToGrid w:val="0"/>
        <w:spacing w:before="120" w:line="360" w:lineRule="auto"/>
        <w:ind w:firstLineChars="200" w:firstLine="480"/>
        <w:jc w:val="both"/>
        <w:rPr>
          <w:szCs w:val="24"/>
        </w:rPr>
      </w:pPr>
      <w:r w:rsidRPr="00181425">
        <w:rPr>
          <w:szCs w:val="24"/>
        </w:rPr>
        <w:t>The DFT calculations</w:t>
      </w:r>
      <w:r>
        <w:rPr>
          <w:szCs w:val="24"/>
        </w:rPr>
        <w:t xml:space="preserve"> based on the tool of</w:t>
      </w:r>
      <w:r w:rsidRPr="00181425">
        <w:rPr>
          <w:szCs w:val="24"/>
        </w:rPr>
        <w:t xml:space="preserve"> the Vienna </w:t>
      </w:r>
      <w:r w:rsidRPr="00181425">
        <w:rPr>
          <w:i/>
          <w:iCs/>
          <w:szCs w:val="24"/>
        </w:rPr>
        <w:t>ab initio</w:t>
      </w:r>
      <w:r w:rsidRPr="00181425">
        <w:rPr>
          <w:szCs w:val="24"/>
        </w:rPr>
        <w:t xml:space="preserve"> simulation package (VASP)</w:t>
      </w:r>
      <w:r>
        <w:rPr>
          <w:szCs w:val="24"/>
        </w:rPr>
        <w:t xml:space="preserve"> were</w:t>
      </w:r>
      <w:r w:rsidRPr="00181425">
        <w:rPr>
          <w:szCs w:val="24"/>
        </w:rPr>
        <w:t xml:space="preserve"> carried out</w:t>
      </w:r>
      <w:r>
        <w:rPr>
          <w:szCs w:val="24"/>
        </w:rPr>
        <w:fldChar w:fldCharType="begin"/>
      </w:r>
      <w:r w:rsidR="006D2BEF">
        <w:rPr>
          <w:szCs w:val="24"/>
        </w:rPr>
        <w:instrText xml:space="preserve"> ADDIN EN.CITE &lt;EndNote&gt;&lt;Cite&gt;&lt;Author&gt;Kresse&lt;/Author&gt;&lt;Year&gt;1996&lt;/Year&gt;&lt;RecNum&gt;295&lt;/RecNum&gt;&lt;DisplayText&gt;&lt;style face="superscript"&gt;3&lt;/style&gt;&lt;/DisplayText&gt;&lt;record&gt;&lt;rec-number&gt;295&lt;/rec-number&gt;&lt;foreign-keys&gt;&lt;key app="EN" db-id="90dwdfr94fapdvepa9hpwd9fpwr0t0zfrxt2" timestamp="1661222670"&gt;295&lt;/key&gt;&lt;/foreign-keys&gt;&lt;ref-type name="Journal Article"&gt;17&lt;/ref-type&gt;&lt;contributors&gt;&lt;authors&gt;&lt;author&gt;Kresse, G.&lt;/author&gt;&lt;author&gt;Furthmüller, J.&lt;/author&gt;&lt;/authors&gt;&lt;/contributors&gt;&lt;titles&gt;&lt;title&gt;Efficiency of ab-initio total energy calculations for metals and semiconductors using a plane-wave basis set&lt;/title&gt;&lt;secondary-title&gt;Computational Materials Science&lt;/secondary-title&gt;&lt;/titles&gt;&lt;periodical&gt;&lt;full-title&gt;Computational Materials Science&lt;/full-title&gt;&lt;abbr-1&gt;Comput. Mater. Sci&lt;/abbr-1&gt;&lt;/periodical&gt;&lt;pages&gt;15-50&lt;/pages&gt;&lt;volume&gt;6&lt;/volume&gt;&lt;number&gt;1&lt;/number&gt;&lt;dates&gt;&lt;year&gt;1996&lt;/year&gt;&lt;pub-dates&gt;&lt;date&gt;1996/07/01/&lt;/date&gt;&lt;/pub-dates&gt;&lt;/dates&gt;&lt;isbn&gt;0927-0256&lt;/isbn&gt;&lt;urls&gt;&lt;related-urls&gt;&lt;url&gt;https://www.sciencedirect.com/science/article/pii/0927025696000080&lt;/url&gt;&lt;/related-urls&gt;&lt;/urls&gt;&lt;electronic-resource-num&gt;https://doi.org/10.1016/0927-0256(96)00008-0&lt;/electronic-resource-num&gt;&lt;/record&gt;&lt;/Cite&gt;&lt;/EndNote&gt;</w:instrText>
      </w:r>
      <w:r>
        <w:rPr>
          <w:szCs w:val="24"/>
        </w:rPr>
        <w:fldChar w:fldCharType="separate"/>
      </w:r>
      <w:r w:rsidR="006D2BEF" w:rsidRPr="006D2BEF">
        <w:rPr>
          <w:noProof/>
          <w:szCs w:val="24"/>
          <w:vertAlign w:val="superscript"/>
        </w:rPr>
        <w:t>3</w:t>
      </w:r>
      <w:r>
        <w:rPr>
          <w:szCs w:val="24"/>
        </w:rPr>
        <w:fldChar w:fldCharType="end"/>
      </w:r>
      <w:r w:rsidRPr="00181425">
        <w:rPr>
          <w:szCs w:val="24"/>
        </w:rPr>
        <w:t xml:space="preserve">. The core-valence electron interaction </w:t>
      </w:r>
      <w:r>
        <w:rPr>
          <w:szCs w:val="24"/>
        </w:rPr>
        <w:t>wa</w:t>
      </w:r>
      <w:r w:rsidRPr="00181425">
        <w:rPr>
          <w:szCs w:val="24"/>
        </w:rPr>
        <w:t>s described by the projector-augmented wave (PAW) method</w:t>
      </w:r>
      <w:r>
        <w:rPr>
          <w:szCs w:val="24"/>
        </w:rPr>
        <w:fldChar w:fldCharType="begin"/>
      </w:r>
      <w:r w:rsidR="006D2BEF">
        <w:rPr>
          <w:szCs w:val="24"/>
        </w:rPr>
        <w:instrText xml:space="preserve"> ADDIN EN.CITE &lt;EndNote&gt;&lt;Cite&gt;&lt;Author&gt;Binek&lt;/Author&gt;&lt;Year&gt;2015&lt;/Year&gt;&lt;RecNum&gt;296&lt;/RecNum&gt;&lt;DisplayText&gt;&lt;style face="superscript"&gt;4&lt;/style&gt;&lt;/DisplayText&gt;&lt;record&gt;&lt;rec-number&gt;296&lt;/rec-number&gt;&lt;foreign-keys&gt;&lt;key app="EN" db-id="90dwdfr94fapdvepa9hpwd9fpwr0t0zfrxt2" timestamp="1661222708"&gt;296&lt;/key&gt;&lt;/foreign-keys&gt;&lt;ref-type name="Journal Article"&gt;17&lt;/ref-type&gt;&lt;contributors&gt;&lt;authors&gt;&lt;author&gt;Binek, A.&lt;/author&gt;&lt;author&gt;Hanusch, F. C.&lt;/author&gt;&lt;author&gt;Docampo, P.&lt;/author&gt;&lt;author&gt;Bein, T.&lt;/author&gt;&lt;/authors&gt;&lt;/contributors&gt;&lt;auth-address&gt;Department of Chemistry and Center for NanoScience (CeNS), University of Munich (LMU) Butenandtstr. 5-13 (Haus E), 81377 Munich, Germany.&lt;/auth-address&gt;&lt;titles&gt;&lt;title&gt;Stabilization of the Trigonal High-Temperature Phase of Formamidinium Lead Iodide&lt;/title&gt;&lt;secondary-title&gt;J Phys Chem Lett&lt;/secondary-title&gt;&lt;alt-title&gt;The journal of physical chemistry letters&lt;/alt-title&gt;&lt;/titles&gt;&lt;pages&gt;1249-53&lt;/pages&gt;&lt;volume&gt;6&lt;/volume&gt;&lt;number&gt;7&lt;/number&gt;&lt;edition&gt;2015/08/12&lt;/edition&gt;&lt;keywords&gt;&lt;keyword&gt;FAPbI3&lt;/keyword&gt;&lt;keyword&gt;formamidinium lead iodide&lt;/keyword&gt;&lt;keyword&gt;hybrid perovskite&lt;/keyword&gt;&lt;keyword&gt;phase stabilization&lt;/keyword&gt;&lt;keyword&gt;temperature-dependent XRD&lt;/keyword&gt;&lt;/keywords&gt;&lt;dates&gt;&lt;year&gt;2015&lt;/year&gt;&lt;pub-dates&gt;&lt;date&gt;Apr 2&lt;/date&gt;&lt;/pub-dates&gt;&lt;/dates&gt;&lt;isbn&gt;1948-7185&lt;/isbn&gt;&lt;accession-num&gt;26262982&lt;/accession-num&gt;&lt;urls&gt;&lt;/urls&gt;&lt;electronic-resource-num&gt;10.1021/acs.jpclett.5b00380&lt;/electronic-resource-num&gt;&lt;remote-database-provider&gt;NLM&lt;/remote-database-provider&gt;&lt;language&gt;eng&lt;/language&gt;&lt;/record&gt;&lt;/Cite&gt;&lt;/EndNote&gt;</w:instrText>
      </w:r>
      <w:r>
        <w:rPr>
          <w:szCs w:val="24"/>
        </w:rPr>
        <w:fldChar w:fldCharType="separate"/>
      </w:r>
      <w:r w:rsidR="006D2BEF" w:rsidRPr="006D2BEF">
        <w:rPr>
          <w:noProof/>
          <w:szCs w:val="24"/>
          <w:vertAlign w:val="superscript"/>
        </w:rPr>
        <w:t>4</w:t>
      </w:r>
      <w:r>
        <w:rPr>
          <w:szCs w:val="24"/>
        </w:rPr>
        <w:fldChar w:fldCharType="end"/>
      </w:r>
      <w:r w:rsidRPr="00181425">
        <w:rPr>
          <w:szCs w:val="24"/>
        </w:rPr>
        <w:t xml:space="preserve">. The exchange correlation </w:t>
      </w:r>
      <w:r w:rsidR="00DF2D23">
        <w:rPr>
          <w:szCs w:val="24"/>
        </w:rPr>
        <w:t>function</w:t>
      </w:r>
      <w:r w:rsidRPr="00181425">
        <w:rPr>
          <w:szCs w:val="24"/>
        </w:rPr>
        <w:t xml:space="preserve"> </w:t>
      </w:r>
      <w:r>
        <w:rPr>
          <w:szCs w:val="24"/>
        </w:rPr>
        <w:t>wa</w:t>
      </w:r>
      <w:r w:rsidRPr="00181425">
        <w:rPr>
          <w:szCs w:val="24"/>
        </w:rPr>
        <w:t xml:space="preserve">s treated by the generalized gradient approximation in </w:t>
      </w:r>
      <w:proofErr w:type="spellStart"/>
      <w:r w:rsidRPr="00181425">
        <w:rPr>
          <w:szCs w:val="24"/>
        </w:rPr>
        <w:t>Perdew</w:t>
      </w:r>
      <w:proofErr w:type="spellEnd"/>
      <w:r w:rsidRPr="00181425">
        <w:rPr>
          <w:szCs w:val="24"/>
        </w:rPr>
        <w:t xml:space="preserve">, Burke and </w:t>
      </w:r>
      <w:proofErr w:type="spellStart"/>
      <w:r w:rsidRPr="00181425">
        <w:rPr>
          <w:szCs w:val="24"/>
        </w:rPr>
        <w:t>Ernzerhof</w:t>
      </w:r>
      <w:proofErr w:type="spellEnd"/>
      <w:r w:rsidRPr="00181425">
        <w:rPr>
          <w:szCs w:val="24"/>
        </w:rPr>
        <w:t xml:space="preserve"> (GGA-PBE)</w:t>
      </w:r>
      <w:r>
        <w:rPr>
          <w:szCs w:val="24"/>
        </w:rPr>
        <w:fldChar w:fldCharType="begin"/>
      </w:r>
      <w:r w:rsidR="006D2BEF">
        <w:rPr>
          <w:szCs w:val="24"/>
        </w:rPr>
        <w:instrText xml:space="preserve"> ADDIN EN.CITE &lt;EndNote&gt;&lt;Cite&gt;&lt;Author&gt;Perdew&lt;/Author&gt;&lt;Year&gt;1996&lt;/Year&gt;&lt;RecNum&gt;297&lt;/RecNum&gt;&lt;DisplayText&gt;&lt;style face="superscript"&gt;5&lt;/style&gt;&lt;/DisplayText&gt;&lt;record&gt;&lt;rec-number&gt;297&lt;/rec-number&gt;&lt;foreign-keys&gt;&lt;key app="EN" db-id="90dwdfr94fapdvepa9hpwd9fpwr0t0zfrxt2" timestamp="1661222746"&gt;297&lt;/key&gt;&lt;/foreign-keys&gt;&lt;ref-type name="Journal Article"&gt;17&lt;/ref-type&gt;&lt;contributors&gt;&lt;authors&gt;&lt;author&gt;Perdew, J. P.&lt;/author&gt;&lt;author&gt;Burke, K.&lt;/author&gt;&lt;author&gt;Ernzerhof, M.&lt;/author&gt;&lt;/authors&gt;&lt;/contributors&gt;&lt;titles&gt;&lt;title&gt;Generalized Gradient Approximation Made Simple&lt;/title&gt;&lt;secondary-title&gt;Phys Rev Lett&lt;/secondary-title&gt;&lt;alt-title&gt;Physical review letters&lt;/alt-title&gt;&lt;/titles&gt;&lt;alt-periodical&gt;&lt;full-title&gt;Physical Review Letters&lt;/full-title&gt;&lt;abbr-1&gt;Phys. Rev. Lett.&lt;/abbr-1&gt;&lt;/alt-periodical&gt;&lt;pages&gt;3865-3868&lt;/pages&gt;&lt;volume&gt;77&lt;/volume&gt;&lt;number&gt;18&lt;/number&gt;&lt;edition&gt;1996/10/28&lt;/edition&gt;&lt;dates&gt;&lt;year&gt;1996&lt;/year&gt;&lt;pub-dates&gt;&lt;date&gt;Oct 28&lt;/date&gt;&lt;/pub-dates&gt;&lt;/dates&gt;&lt;isbn&gt;0031-9007&lt;/isbn&gt;&lt;accession-num&gt;10062328&lt;/accession-num&gt;&lt;urls&gt;&lt;/urls&gt;&lt;electronic-resource-num&gt;10.1103/PhysRevLett.77.3865&lt;/electronic-resource-num&gt;&lt;remote-database-provider&gt;NLM&lt;/remote-database-provider&gt;&lt;language&gt;eng&lt;/language&gt;&lt;/record&gt;&lt;/Cite&gt;&lt;/EndNote&gt;</w:instrText>
      </w:r>
      <w:r>
        <w:rPr>
          <w:szCs w:val="24"/>
        </w:rPr>
        <w:fldChar w:fldCharType="separate"/>
      </w:r>
      <w:r w:rsidR="006D2BEF" w:rsidRPr="006D2BEF">
        <w:rPr>
          <w:noProof/>
          <w:szCs w:val="24"/>
          <w:vertAlign w:val="superscript"/>
        </w:rPr>
        <w:t>5</w:t>
      </w:r>
      <w:r>
        <w:rPr>
          <w:szCs w:val="24"/>
        </w:rPr>
        <w:fldChar w:fldCharType="end"/>
      </w:r>
      <w:r w:rsidRPr="00181425">
        <w:rPr>
          <w:szCs w:val="24"/>
        </w:rPr>
        <w:t xml:space="preserve">. A plane-wave energy cutoff of 400 eV </w:t>
      </w:r>
      <w:r>
        <w:rPr>
          <w:szCs w:val="24"/>
        </w:rPr>
        <w:t>wa</w:t>
      </w:r>
      <w:r w:rsidRPr="00181425">
        <w:rPr>
          <w:szCs w:val="24"/>
        </w:rPr>
        <w:t xml:space="preserve">s used </w:t>
      </w:r>
      <w:r>
        <w:rPr>
          <w:szCs w:val="24"/>
        </w:rPr>
        <w:t>for this simulation</w:t>
      </w:r>
      <w:r w:rsidRPr="00181425">
        <w:rPr>
          <w:szCs w:val="24"/>
        </w:rPr>
        <w:t xml:space="preserve">. For the electronic self-consistent loop, the convergence of total energy </w:t>
      </w:r>
      <w:r>
        <w:rPr>
          <w:szCs w:val="24"/>
        </w:rPr>
        <w:t>wa</w:t>
      </w:r>
      <w:r w:rsidRPr="00181425">
        <w:rPr>
          <w:szCs w:val="24"/>
        </w:rPr>
        <w:t>s set as 1</w:t>
      </w:r>
      <w:r w:rsidRPr="00181425">
        <w:rPr>
          <w:szCs w:val="24"/>
        </w:rPr>
        <w:sym w:font="Symbol" w:char="F0B4"/>
      </w:r>
      <w:r w:rsidRPr="00181425">
        <w:rPr>
          <w:szCs w:val="24"/>
        </w:rPr>
        <w:t>10</w:t>
      </w:r>
      <w:r>
        <w:rPr>
          <w:szCs w:val="24"/>
          <w:vertAlign w:val="superscript"/>
        </w:rPr>
        <w:t>‒</w:t>
      </w:r>
      <w:r w:rsidRPr="00181425">
        <w:rPr>
          <w:szCs w:val="24"/>
          <w:vertAlign w:val="superscript"/>
        </w:rPr>
        <w:t>5</w:t>
      </w:r>
      <w:r w:rsidRPr="00181425">
        <w:rPr>
          <w:szCs w:val="24"/>
        </w:rPr>
        <w:t xml:space="preserve"> eV. For the structure optimization, the convergence of ion forces </w:t>
      </w:r>
      <w:r>
        <w:rPr>
          <w:szCs w:val="24"/>
        </w:rPr>
        <w:t>wa</w:t>
      </w:r>
      <w:r w:rsidRPr="00181425">
        <w:rPr>
          <w:szCs w:val="24"/>
        </w:rPr>
        <w:t>s set as 0.03 eV</w:t>
      </w:r>
      <w:r w:rsidRPr="00181425">
        <w:rPr>
          <w:color w:val="000000"/>
          <w:szCs w:val="24"/>
        </w:rPr>
        <w:t xml:space="preserve"> </w:t>
      </w:r>
      <w:r w:rsidRPr="00181425">
        <w:rPr>
          <w:szCs w:val="24"/>
        </w:rPr>
        <w:t>Å</w:t>
      </w:r>
      <w:r>
        <w:rPr>
          <w:szCs w:val="24"/>
          <w:vertAlign w:val="superscript"/>
        </w:rPr>
        <w:t>‒</w:t>
      </w:r>
      <w:r w:rsidRPr="00181425">
        <w:rPr>
          <w:szCs w:val="24"/>
          <w:vertAlign w:val="superscript"/>
        </w:rPr>
        <w:t>1</w:t>
      </w:r>
      <w:r w:rsidRPr="00181425">
        <w:rPr>
          <w:szCs w:val="24"/>
        </w:rPr>
        <w:t xml:space="preserve">. The </w:t>
      </w:r>
      <w:r w:rsidRPr="00181425">
        <w:rPr>
          <w:rStyle w:val="fontstyle01"/>
          <w:szCs w:val="24"/>
        </w:rPr>
        <w:sym w:font="Symbol" w:char="F047"/>
      </w:r>
      <w:r w:rsidRPr="00181425">
        <w:rPr>
          <w:rStyle w:val="fontstyle01"/>
          <w:szCs w:val="24"/>
        </w:rPr>
        <w:t>-centered k-point</w:t>
      </w:r>
      <w:r w:rsidRPr="00181425">
        <w:rPr>
          <w:szCs w:val="24"/>
        </w:rPr>
        <w:t xml:space="preserve"> mesh </w:t>
      </w:r>
      <w:r>
        <w:rPr>
          <w:szCs w:val="24"/>
        </w:rPr>
        <w:t>wa</w:t>
      </w:r>
      <w:r w:rsidRPr="00181425">
        <w:rPr>
          <w:szCs w:val="24"/>
        </w:rPr>
        <w:t>s set as 4</w:t>
      </w:r>
      <w:r w:rsidRPr="00181425">
        <w:rPr>
          <w:szCs w:val="24"/>
        </w:rPr>
        <w:sym w:font="Symbol" w:char="F0B4"/>
      </w:r>
      <w:r w:rsidRPr="00181425">
        <w:rPr>
          <w:szCs w:val="24"/>
        </w:rPr>
        <w:t>4</w:t>
      </w:r>
      <w:r w:rsidRPr="00181425">
        <w:rPr>
          <w:szCs w:val="24"/>
        </w:rPr>
        <w:sym w:font="Symbol" w:char="F0B4"/>
      </w:r>
      <w:r w:rsidRPr="00181425">
        <w:rPr>
          <w:szCs w:val="24"/>
        </w:rPr>
        <w:t xml:space="preserve">1. The VASPKIT software </w:t>
      </w:r>
      <w:r>
        <w:rPr>
          <w:szCs w:val="24"/>
        </w:rPr>
        <w:t>wa</w:t>
      </w:r>
      <w:r w:rsidRPr="00181425">
        <w:rPr>
          <w:szCs w:val="24"/>
        </w:rPr>
        <w:t>s used for work function calculation</w:t>
      </w:r>
      <w:r>
        <w:rPr>
          <w:szCs w:val="24"/>
        </w:rPr>
        <w:fldChar w:fldCharType="begin"/>
      </w:r>
      <w:r w:rsidR="006D2BEF">
        <w:rPr>
          <w:szCs w:val="24"/>
        </w:rPr>
        <w:instrText xml:space="preserve"> ADDIN EN.CITE &lt;EndNote&gt;&lt;Cite&gt;&lt;Author&gt;Wang&lt;/Author&gt;&lt;Year&gt;2021&lt;/Year&gt;&lt;RecNum&gt;298&lt;/RecNum&gt;&lt;DisplayText&gt;&lt;style face="superscript"&gt;6&lt;/style&gt;&lt;/DisplayText&gt;&lt;record&gt;&lt;rec-number&gt;298&lt;/rec-number&gt;&lt;foreign-keys&gt;&lt;key app="EN" db-id="90dwdfr94fapdvepa9hpwd9fpwr0t0zfrxt2" timestamp="1661222838"&gt;298&lt;/key&gt;&lt;/foreign-keys&gt;&lt;ref-type name="Journal Article"&gt;17&lt;/ref-type&gt;&lt;contributors&gt;&lt;authors&gt;&lt;author&gt;Wang, Vei&lt;/author&gt;&lt;author&gt;Xu, Nan&lt;/author&gt;&lt;author&gt;Liu, Jin-Cheng&lt;/author&gt;&lt;author&gt;Tang, Gang&lt;/author&gt;&lt;author&gt;Geng, Wen-Tong&lt;/author&gt;&lt;/authors&gt;&lt;/contributors&gt;&lt;titles&gt;&lt;title&gt;VASPKIT: A user-friendly interface facilitating high-throughput computing and analysis using VASP code&lt;/title&gt;&lt;secondary-title&gt;Computer Physics Communications&lt;/secondary-title&gt;&lt;/titles&gt;&lt;periodical&gt;&lt;full-title&gt;Computer Physics Communications&lt;/full-title&gt;&lt;abbr-1&gt;Comput. Phys. Commun.&lt;/abbr-1&gt;&lt;/periodical&gt;&lt;pages&gt;108033&lt;/pages&gt;&lt;volume&gt;267&lt;/volume&gt;&lt;keywords&gt;&lt;keyword&gt;High-throughput&lt;/keyword&gt;&lt;keyword&gt;Elastic mechanics&lt;/keyword&gt;&lt;keyword&gt;Electronic properties&lt;/keyword&gt;&lt;keyword&gt;Optical properties&lt;/keyword&gt;&lt;keyword&gt;Molecular dynamics&lt;/keyword&gt;&lt;keyword&gt;Wave-function&lt;/keyword&gt;&lt;/keywords&gt;&lt;dates&gt;&lt;year&gt;2021&lt;/year&gt;&lt;pub-dates&gt;&lt;date&gt;2021/10/01/&lt;/date&gt;&lt;/pub-dates&gt;&lt;/dates&gt;&lt;isbn&gt;0010-4655&lt;/isbn&gt;&lt;urls&gt;&lt;related-urls&gt;&lt;url&gt;https://www.sciencedirect.com/science/article/pii/S0010465521001454&lt;/url&gt;&lt;/related-urls&gt;&lt;/urls&gt;&lt;electronic-resource-num&gt;https://doi.org/10.1016/j.cpc.2021.108033&lt;/electronic-resource-num&gt;&lt;/record&gt;&lt;/Cite&gt;&lt;/EndNote&gt;</w:instrText>
      </w:r>
      <w:r>
        <w:rPr>
          <w:szCs w:val="24"/>
        </w:rPr>
        <w:fldChar w:fldCharType="separate"/>
      </w:r>
      <w:r w:rsidR="006D2BEF" w:rsidRPr="006D2BEF">
        <w:rPr>
          <w:noProof/>
          <w:szCs w:val="24"/>
          <w:vertAlign w:val="superscript"/>
        </w:rPr>
        <w:t>6</w:t>
      </w:r>
      <w:r>
        <w:rPr>
          <w:szCs w:val="24"/>
        </w:rPr>
        <w:fldChar w:fldCharType="end"/>
      </w:r>
      <w:r w:rsidRPr="00181425">
        <w:rPr>
          <w:szCs w:val="24"/>
        </w:rPr>
        <w:t>.</w:t>
      </w:r>
    </w:p>
    <w:p w14:paraId="68682493" w14:textId="79E30166" w:rsidR="003F26B5" w:rsidRPr="00181425" w:rsidRDefault="003F26B5" w:rsidP="006D2BEF">
      <w:pPr>
        <w:snapToGrid w:val="0"/>
        <w:spacing w:before="120" w:line="360" w:lineRule="auto"/>
        <w:ind w:firstLineChars="200" w:firstLine="480"/>
        <w:jc w:val="both"/>
        <w:rPr>
          <w:szCs w:val="24"/>
        </w:rPr>
      </w:pPr>
      <w:r w:rsidRPr="00181425">
        <w:rPr>
          <w:szCs w:val="24"/>
        </w:rPr>
        <w:t>The bulk FAPbI</w:t>
      </w:r>
      <w:r w:rsidRPr="00181425">
        <w:rPr>
          <w:szCs w:val="24"/>
          <w:vertAlign w:val="subscript"/>
        </w:rPr>
        <w:t>3</w:t>
      </w:r>
      <w:r w:rsidRPr="00181425">
        <w:rPr>
          <w:szCs w:val="24"/>
        </w:rPr>
        <w:t xml:space="preserve"> with the symmetry group Pmm2 (a</w:t>
      </w:r>
      <w:r>
        <w:rPr>
          <w:szCs w:val="24"/>
        </w:rPr>
        <w:t xml:space="preserve"> </w:t>
      </w:r>
      <w:r w:rsidRPr="00181425">
        <w:rPr>
          <w:szCs w:val="24"/>
        </w:rPr>
        <w:t>=</w:t>
      </w:r>
      <w:r>
        <w:rPr>
          <w:szCs w:val="24"/>
        </w:rPr>
        <w:t xml:space="preserve"> </w:t>
      </w:r>
      <w:r w:rsidRPr="00181425">
        <w:rPr>
          <w:szCs w:val="24"/>
        </w:rPr>
        <w:t>b</w:t>
      </w:r>
      <w:r>
        <w:rPr>
          <w:szCs w:val="24"/>
        </w:rPr>
        <w:t xml:space="preserve"> </w:t>
      </w:r>
      <w:r w:rsidRPr="00181425">
        <w:rPr>
          <w:szCs w:val="24"/>
        </w:rPr>
        <w:t>=</w:t>
      </w:r>
      <w:r>
        <w:rPr>
          <w:szCs w:val="24"/>
        </w:rPr>
        <w:t xml:space="preserve"> </w:t>
      </w:r>
      <w:r w:rsidRPr="00181425">
        <w:rPr>
          <w:szCs w:val="24"/>
        </w:rPr>
        <w:t>c</w:t>
      </w:r>
      <w:r>
        <w:rPr>
          <w:szCs w:val="24"/>
        </w:rPr>
        <w:t xml:space="preserve"> </w:t>
      </w:r>
      <w:r w:rsidRPr="00181425">
        <w:rPr>
          <w:szCs w:val="24"/>
        </w:rPr>
        <w:t>=</w:t>
      </w:r>
      <w:r>
        <w:rPr>
          <w:szCs w:val="24"/>
        </w:rPr>
        <w:t xml:space="preserve"> </w:t>
      </w:r>
      <w:r w:rsidRPr="00181425">
        <w:rPr>
          <w:szCs w:val="24"/>
        </w:rPr>
        <w:t xml:space="preserve">6.36 Å, </w:t>
      </w:r>
      <w:r w:rsidRPr="00181425">
        <w:rPr>
          <w:i/>
          <w:iCs/>
          <w:szCs w:val="24"/>
        </w:rPr>
        <w:sym w:font="Symbol" w:char="F061"/>
      </w:r>
      <w:r>
        <w:rPr>
          <w:i/>
          <w:iCs/>
          <w:szCs w:val="24"/>
        </w:rPr>
        <w:t xml:space="preserve"> </w:t>
      </w:r>
      <w:r w:rsidRPr="00181425">
        <w:rPr>
          <w:szCs w:val="24"/>
        </w:rPr>
        <w:t>=</w:t>
      </w:r>
      <w:r>
        <w:rPr>
          <w:szCs w:val="24"/>
        </w:rPr>
        <w:t xml:space="preserve"> </w:t>
      </w:r>
      <w:r w:rsidRPr="00181425">
        <w:rPr>
          <w:i/>
          <w:iCs/>
          <w:szCs w:val="24"/>
        </w:rPr>
        <w:sym w:font="Symbol" w:char="F062"/>
      </w:r>
      <w:r>
        <w:rPr>
          <w:i/>
          <w:iCs/>
          <w:szCs w:val="24"/>
        </w:rPr>
        <w:t xml:space="preserve"> </w:t>
      </w:r>
      <w:r w:rsidRPr="00181425">
        <w:rPr>
          <w:szCs w:val="24"/>
        </w:rPr>
        <w:t>=</w:t>
      </w:r>
      <w:r>
        <w:rPr>
          <w:szCs w:val="24"/>
        </w:rPr>
        <w:t xml:space="preserve"> </w:t>
      </w:r>
      <w:r w:rsidRPr="00181425">
        <w:rPr>
          <w:i/>
          <w:iCs/>
          <w:szCs w:val="24"/>
        </w:rPr>
        <w:sym w:font="Symbol" w:char="F067"/>
      </w:r>
      <w:r>
        <w:rPr>
          <w:i/>
          <w:iCs/>
          <w:szCs w:val="24"/>
        </w:rPr>
        <w:t xml:space="preserve"> </w:t>
      </w:r>
      <w:r w:rsidRPr="00181425">
        <w:rPr>
          <w:szCs w:val="24"/>
        </w:rPr>
        <w:t>=</w:t>
      </w:r>
      <w:r>
        <w:rPr>
          <w:szCs w:val="24"/>
        </w:rPr>
        <w:t xml:space="preserve"> </w:t>
      </w:r>
      <w:r w:rsidRPr="00181425">
        <w:rPr>
          <w:szCs w:val="24"/>
        </w:rPr>
        <w:t>90</w:t>
      </w:r>
      <w:r w:rsidRPr="00181425">
        <w:rPr>
          <w:szCs w:val="24"/>
          <w:vertAlign w:val="superscript"/>
        </w:rPr>
        <w:sym w:font="Symbol" w:char="F0B0"/>
      </w:r>
      <w:r w:rsidRPr="00181425">
        <w:rPr>
          <w:szCs w:val="24"/>
        </w:rPr>
        <w:t xml:space="preserve">) </w:t>
      </w:r>
      <w:r>
        <w:rPr>
          <w:szCs w:val="24"/>
        </w:rPr>
        <w:t>wa</w:t>
      </w:r>
      <w:r w:rsidRPr="00181425">
        <w:rPr>
          <w:szCs w:val="24"/>
        </w:rPr>
        <w:t>s optimized. Then</w:t>
      </w:r>
      <w:r>
        <w:rPr>
          <w:szCs w:val="24"/>
        </w:rPr>
        <w:t>,</w:t>
      </w:r>
      <w:r w:rsidRPr="00181425">
        <w:rPr>
          <w:szCs w:val="24"/>
        </w:rPr>
        <w:t xml:space="preserve"> it </w:t>
      </w:r>
      <w:r>
        <w:rPr>
          <w:szCs w:val="24"/>
        </w:rPr>
        <w:t>wa</w:t>
      </w:r>
      <w:r w:rsidRPr="00181425">
        <w:rPr>
          <w:szCs w:val="24"/>
        </w:rPr>
        <w:t>s cut along the (0 -1 0) plane with FA on the surface and expanded as 1</w:t>
      </w:r>
      <w:r w:rsidRPr="00181425">
        <w:rPr>
          <w:szCs w:val="24"/>
        </w:rPr>
        <w:sym w:font="Symbol" w:char="F0B4"/>
      </w:r>
      <w:r w:rsidRPr="00181425">
        <w:rPr>
          <w:szCs w:val="24"/>
        </w:rPr>
        <w:t>2</w:t>
      </w:r>
      <w:r w:rsidRPr="00181425">
        <w:rPr>
          <w:szCs w:val="24"/>
        </w:rPr>
        <w:sym w:font="Symbol" w:char="F0B4"/>
      </w:r>
      <w:r w:rsidRPr="00181425">
        <w:rPr>
          <w:szCs w:val="24"/>
        </w:rPr>
        <w:t xml:space="preserve">1 supercell </w:t>
      </w:r>
      <w:bookmarkStart w:id="3" w:name="_Hlk98611787"/>
      <w:r>
        <w:rPr>
          <w:szCs w:val="24"/>
        </w:rPr>
        <w:t>[</w:t>
      </w:r>
      <w:r w:rsidRPr="00181425">
        <w:rPr>
          <w:szCs w:val="24"/>
        </w:rPr>
        <w:t>FAPbI</w:t>
      </w:r>
      <w:r w:rsidRPr="00181425">
        <w:rPr>
          <w:szCs w:val="24"/>
          <w:vertAlign w:val="subscript"/>
        </w:rPr>
        <w:t>3</w:t>
      </w:r>
      <w:r w:rsidRPr="00181425">
        <w:rPr>
          <w:szCs w:val="24"/>
        </w:rPr>
        <w:t xml:space="preserve"> (0 -1 0)</w:t>
      </w:r>
      <w:bookmarkEnd w:id="3"/>
      <w:r>
        <w:rPr>
          <w:szCs w:val="24"/>
        </w:rPr>
        <w:t>]</w:t>
      </w:r>
      <w:r w:rsidRPr="00181425">
        <w:rPr>
          <w:szCs w:val="24"/>
        </w:rPr>
        <w:t>. The FA molecule in the surface of FAPbI</w:t>
      </w:r>
      <w:r w:rsidRPr="00181425">
        <w:rPr>
          <w:szCs w:val="24"/>
          <w:vertAlign w:val="subscript"/>
        </w:rPr>
        <w:t>3</w:t>
      </w:r>
      <w:r w:rsidRPr="00181425">
        <w:rPr>
          <w:szCs w:val="24"/>
        </w:rPr>
        <w:t xml:space="preserve"> (0 -1 0) </w:t>
      </w:r>
      <w:r>
        <w:rPr>
          <w:szCs w:val="24"/>
        </w:rPr>
        <w:t>wa</w:t>
      </w:r>
      <w:r w:rsidRPr="00181425">
        <w:rPr>
          <w:szCs w:val="24"/>
        </w:rPr>
        <w:t xml:space="preserve">s replaced by the BA to construct BA surface modified </w:t>
      </w:r>
      <w:r>
        <w:rPr>
          <w:szCs w:val="24"/>
        </w:rPr>
        <w:t xml:space="preserve">by </w:t>
      </w:r>
      <w:r w:rsidRPr="00181425">
        <w:rPr>
          <w:szCs w:val="24"/>
        </w:rPr>
        <w:t>FAPbI</w:t>
      </w:r>
      <w:r w:rsidRPr="00181425">
        <w:rPr>
          <w:szCs w:val="24"/>
          <w:vertAlign w:val="subscript"/>
        </w:rPr>
        <w:t>3</w:t>
      </w:r>
      <w:r w:rsidRPr="00181425">
        <w:rPr>
          <w:szCs w:val="24"/>
        </w:rPr>
        <w:t xml:space="preserve"> (0 -1 0) </w:t>
      </w:r>
      <w:r>
        <w:rPr>
          <w:szCs w:val="24"/>
        </w:rPr>
        <w:t>[</w:t>
      </w:r>
      <w:r w:rsidRPr="00181425">
        <w:rPr>
          <w:szCs w:val="24"/>
        </w:rPr>
        <w:t>BA- FAPbI</w:t>
      </w:r>
      <w:r w:rsidRPr="00181425">
        <w:rPr>
          <w:szCs w:val="24"/>
          <w:vertAlign w:val="subscript"/>
        </w:rPr>
        <w:t>3</w:t>
      </w:r>
      <w:r w:rsidRPr="00181425">
        <w:rPr>
          <w:szCs w:val="24"/>
        </w:rPr>
        <w:t xml:space="preserve"> (0 -1 0)</w:t>
      </w:r>
      <w:r>
        <w:rPr>
          <w:szCs w:val="24"/>
        </w:rPr>
        <w:t>]</w:t>
      </w:r>
      <w:r w:rsidRPr="00181425">
        <w:rPr>
          <w:szCs w:val="24"/>
        </w:rPr>
        <w:t>. For 2D Br</w:t>
      </w:r>
      <w:r>
        <w:rPr>
          <w:szCs w:val="24"/>
        </w:rPr>
        <w:t>-</w:t>
      </w:r>
      <w:r w:rsidRPr="00181425">
        <w:rPr>
          <w:szCs w:val="24"/>
        </w:rPr>
        <w:t>doped FAPbI</w:t>
      </w:r>
      <w:r w:rsidRPr="00181425">
        <w:rPr>
          <w:szCs w:val="24"/>
          <w:vertAlign w:val="subscript"/>
        </w:rPr>
        <w:t>3</w:t>
      </w:r>
      <w:r w:rsidRPr="00181425">
        <w:rPr>
          <w:szCs w:val="24"/>
        </w:rPr>
        <w:t>, the bulk FAPbI</w:t>
      </w:r>
      <w:r w:rsidRPr="00181425">
        <w:rPr>
          <w:szCs w:val="24"/>
          <w:vertAlign w:val="subscript"/>
        </w:rPr>
        <w:t>3</w:t>
      </w:r>
      <w:r w:rsidRPr="00181425">
        <w:rPr>
          <w:szCs w:val="24"/>
        </w:rPr>
        <w:t xml:space="preserve"> is cleaved along the (0 -1 0) plane with FA on both ends. The FA molecules on</w:t>
      </w:r>
      <w:r>
        <w:rPr>
          <w:szCs w:val="24"/>
        </w:rPr>
        <w:t xml:space="preserve"> the</w:t>
      </w:r>
      <w:r w:rsidRPr="00181425">
        <w:rPr>
          <w:szCs w:val="24"/>
        </w:rPr>
        <w:t xml:space="preserve"> </w:t>
      </w:r>
      <w:r w:rsidR="00DF2D23">
        <w:rPr>
          <w:szCs w:val="24"/>
        </w:rPr>
        <w:t>top</w:t>
      </w:r>
      <w:r w:rsidRPr="00181425">
        <w:rPr>
          <w:szCs w:val="24"/>
        </w:rPr>
        <w:t xml:space="preserve"> and bottom</w:t>
      </w:r>
      <w:r>
        <w:rPr>
          <w:szCs w:val="24"/>
        </w:rPr>
        <w:t>-sides</w:t>
      </w:r>
      <w:r w:rsidRPr="00181425">
        <w:rPr>
          <w:szCs w:val="24"/>
        </w:rPr>
        <w:t xml:space="preserve"> </w:t>
      </w:r>
      <w:r>
        <w:rPr>
          <w:szCs w:val="24"/>
        </w:rPr>
        <w:t>were</w:t>
      </w:r>
      <w:r w:rsidRPr="00181425">
        <w:rPr>
          <w:szCs w:val="24"/>
        </w:rPr>
        <w:t xml:space="preserve"> replaced by the BA molecules. We replace the I atom with Br atom to construct the 2D Br-doped FAPbI</w:t>
      </w:r>
      <w:r w:rsidRPr="00181425">
        <w:rPr>
          <w:szCs w:val="24"/>
          <w:vertAlign w:val="subscript"/>
        </w:rPr>
        <w:t>3</w:t>
      </w:r>
      <w:r w:rsidRPr="00181425">
        <w:rPr>
          <w:szCs w:val="24"/>
        </w:rPr>
        <w:t xml:space="preserve"> (number of Br </w:t>
      </w:r>
      <w:r w:rsidR="00DF2D23">
        <w:rPr>
          <w:szCs w:val="24"/>
        </w:rPr>
        <w:t>atoms</w:t>
      </w:r>
      <w:r w:rsidRPr="00181425">
        <w:rPr>
          <w:szCs w:val="24"/>
        </w:rPr>
        <w:t xml:space="preserve"> = 0, 1, 2, 3, 4, 5, 7).</w:t>
      </w:r>
    </w:p>
    <w:p w14:paraId="7E4FF936" w14:textId="406F750D" w:rsidR="003F26B5" w:rsidRPr="00181425" w:rsidRDefault="003F26B5" w:rsidP="006D2BEF">
      <w:pPr>
        <w:snapToGrid w:val="0"/>
        <w:spacing w:before="120" w:line="360" w:lineRule="auto"/>
        <w:ind w:firstLineChars="200" w:firstLine="480"/>
        <w:jc w:val="both"/>
        <w:rPr>
          <w:szCs w:val="24"/>
        </w:rPr>
      </w:pPr>
      <w:r w:rsidRPr="00181425">
        <w:rPr>
          <w:szCs w:val="24"/>
        </w:rPr>
        <w:t>The formation energies of I vacancy (V</w:t>
      </w:r>
      <w:r w:rsidRPr="00181425">
        <w:rPr>
          <w:szCs w:val="24"/>
          <w:vertAlign w:val="subscript"/>
        </w:rPr>
        <w:t>I</w:t>
      </w:r>
      <w:r w:rsidRPr="00181425">
        <w:rPr>
          <w:szCs w:val="24"/>
        </w:rPr>
        <w:t>) and Pb vacancy (</w:t>
      </w:r>
      <w:proofErr w:type="spellStart"/>
      <w:r w:rsidRPr="00181425">
        <w:rPr>
          <w:szCs w:val="24"/>
        </w:rPr>
        <w:t>V</w:t>
      </w:r>
      <w:r w:rsidRPr="00181425">
        <w:rPr>
          <w:szCs w:val="24"/>
          <w:vertAlign w:val="subscript"/>
        </w:rPr>
        <w:t>Pb</w:t>
      </w:r>
      <w:proofErr w:type="spellEnd"/>
      <w:r w:rsidRPr="00181425">
        <w:rPr>
          <w:szCs w:val="24"/>
        </w:rPr>
        <w:t>) for FAPbI</w:t>
      </w:r>
      <w:r w:rsidRPr="00181425">
        <w:rPr>
          <w:szCs w:val="24"/>
          <w:vertAlign w:val="subscript"/>
        </w:rPr>
        <w:t>3</w:t>
      </w:r>
      <w:r w:rsidRPr="00181425">
        <w:rPr>
          <w:szCs w:val="24"/>
        </w:rPr>
        <w:t xml:space="preserve"> (0 -1 0) and BA- FAPbI</w:t>
      </w:r>
      <w:r w:rsidRPr="00181425">
        <w:rPr>
          <w:szCs w:val="24"/>
          <w:vertAlign w:val="subscript"/>
        </w:rPr>
        <w:t>3</w:t>
      </w:r>
      <w:r w:rsidRPr="00181425">
        <w:rPr>
          <w:szCs w:val="24"/>
        </w:rPr>
        <w:t xml:space="preserve"> (0 -1 0) </w:t>
      </w:r>
      <w:r>
        <w:rPr>
          <w:szCs w:val="24"/>
        </w:rPr>
        <w:t>were</w:t>
      </w:r>
      <w:r w:rsidRPr="00181425">
        <w:rPr>
          <w:szCs w:val="24"/>
        </w:rPr>
        <w:t xml:space="preserve"> calculated according to equation</w:t>
      </w:r>
      <w:r>
        <w:rPr>
          <w:szCs w:val="24"/>
        </w:rPr>
        <w:t>:</w:t>
      </w:r>
      <w:r>
        <w:rPr>
          <w:szCs w:val="24"/>
        </w:rPr>
        <w:fldChar w:fldCharType="begin">
          <w:fldData xml:space="preserve">PEVuZE5vdGU+PENpdGU+PEF1dGhvcj5GcmV5c29sZHQ8L0F1dGhvcj48WWVhcj4yMDE0PC9ZZWFy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</w:fldData>
        </w:fldChar>
      </w:r>
      <w:r w:rsidR="006D2BEF">
        <w:rPr>
          <w:szCs w:val="24"/>
        </w:rPr>
        <w:instrText xml:space="preserve"> ADDIN EN.CITE </w:instrText>
      </w:r>
      <w:r w:rsidR="006D2BEF">
        <w:rPr>
          <w:szCs w:val="24"/>
        </w:rPr>
        <w:fldChar w:fldCharType="begin">
          <w:fldData xml:space="preserve">PEVuZE5vdGU+PENpdGU+PEF1dGhvcj5GcmV5c29sZHQ8L0F1dGhvcj48WWVhcj4yMDE0PC9ZZWFy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</w:fldData>
        </w:fldChar>
      </w:r>
      <w:r w:rsidR="006D2BEF">
        <w:rPr>
          <w:szCs w:val="24"/>
        </w:rPr>
        <w:instrText xml:space="preserve"> ADDIN EN.CITE.DATA </w:instrText>
      </w:r>
      <w:r w:rsidR="006D2BEF">
        <w:rPr>
          <w:szCs w:val="24"/>
        </w:rPr>
      </w:r>
      <w:r w:rsidR="006D2BEF">
        <w:rPr>
          <w:szCs w:val="24"/>
        </w:rPr>
        <w:fldChar w:fldCharType="end"/>
      </w:r>
      <w:r>
        <w:rPr>
          <w:szCs w:val="24"/>
        </w:rPr>
      </w:r>
      <w:r>
        <w:rPr>
          <w:szCs w:val="24"/>
        </w:rPr>
        <w:fldChar w:fldCharType="separate"/>
      </w:r>
      <w:r w:rsidR="006D2BEF" w:rsidRPr="006D2BEF">
        <w:rPr>
          <w:noProof/>
          <w:szCs w:val="24"/>
          <w:vertAlign w:val="superscript"/>
        </w:rPr>
        <w:t>7,8</w:t>
      </w:r>
      <w:r>
        <w:rPr>
          <w:szCs w:val="24"/>
        </w:rPr>
        <w:fldChar w:fldCharType="end"/>
      </w:r>
    </w:p>
    <w:p w14:paraId="5D187657" w14:textId="77777777" w:rsidR="003F26B5" w:rsidRPr="00181425" w:rsidRDefault="00000000" w:rsidP="006D2BEF">
      <w:pPr>
        <w:snapToGrid w:val="0"/>
        <w:spacing w:before="120" w:line="360" w:lineRule="auto"/>
        <w:ind w:firstLineChars="800" w:firstLine="1920"/>
        <w:jc w:val="both"/>
        <w:rPr>
          <w:iCs/>
          <w:szCs w:val="24"/>
        </w:rPr>
      </w:pPr>
      <m:oMath>
        <m:sSup>
          <m:sSupPr>
            <m:ctrlPr>
              <w:rPr>
                <w:rFonts w:ascii="Cambria Math" w:hAnsi="Cambria Math"/>
                <w:iCs/>
                <w:szCs w:val="24"/>
              </w:rPr>
            </m:ctrlPr>
          </m:sSupPr>
          <m:e>
            <m:r>
              <w:rPr>
                <w:rFonts w:ascii="Cambria Math" w:hAnsi="Cambria Math"/>
                <w:szCs w:val="24"/>
              </w:rPr>
              <m:t>E</m:t>
            </m:r>
          </m:e>
          <m:sup>
            <m:r>
              <m:rPr>
                <m:sty m:val="p"/>
              </m:rPr>
              <w:rPr>
                <w:rFonts w:ascii="Cambria Math" w:hAnsi="Cambria Math"/>
                <w:szCs w:val="24"/>
              </w:rPr>
              <m:t>f</m:t>
            </m:r>
          </m:sup>
        </m:sSup>
        <m:d>
          <m:dPr>
            <m:begChr m:val="["/>
            <m:endChr m:val="]"/>
            <m:ctrlPr>
              <w:rPr>
                <w:rFonts w:ascii="Cambria Math" w:hAnsi="Cambria Math"/>
                <w:iCs/>
                <w:szCs w:val="24"/>
              </w:rPr>
            </m:ctrlPr>
          </m:dPr>
          <m:e>
            <m:sSup>
              <m:sSupPr>
                <m:ctrlPr>
                  <w:rPr>
                    <w:rFonts w:ascii="Cambria Math" w:hAnsi="Cambria Math"/>
                    <w:iCs/>
                    <w:szCs w:val="24"/>
                  </w:rPr>
                </m:ctrlPr>
              </m:sSupPr>
              <m:e>
                <m:r>
                  <w:rPr>
                    <w:rFonts w:ascii="Cambria Math" w:hAnsi="Cambria Math"/>
                    <w:szCs w:val="24"/>
                  </w:rPr>
                  <m:t>X</m:t>
                </m:r>
              </m:e>
              <m:sup>
                <m:r>
                  <m:rPr>
                    <m:sty m:val="p"/>
                  </m:rPr>
                  <w:rPr>
                    <w:rFonts w:ascii="Cambria Math" w:hAnsi="Cambria Math"/>
                    <w:szCs w:val="24"/>
                  </w:rPr>
                  <m:t>q</m:t>
                </m:r>
              </m:sup>
            </m:sSup>
          </m:e>
        </m:d>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E</m:t>
            </m:r>
          </m:e>
          <m:sub>
            <m:r>
              <m:rPr>
                <m:sty m:val="p"/>
              </m:rPr>
              <w:rPr>
                <w:rFonts w:ascii="Cambria Math" w:hAnsi="Cambria Math"/>
                <w:szCs w:val="24"/>
              </w:rPr>
              <m:t>tot</m:t>
            </m:r>
          </m:sub>
        </m:sSub>
        <m:d>
          <m:dPr>
            <m:begChr m:val="["/>
            <m:endChr m:val="]"/>
            <m:ctrlPr>
              <w:rPr>
                <w:rFonts w:ascii="Cambria Math" w:hAnsi="Cambria Math"/>
                <w:iCs/>
                <w:szCs w:val="24"/>
              </w:rPr>
            </m:ctrlPr>
          </m:dPr>
          <m:e>
            <m:sSup>
              <m:sSupPr>
                <m:ctrlPr>
                  <w:rPr>
                    <w:rFonts w:ascii="Cambria Math" w:hAnsi="Cambria Math"/>
                    <w:iCs/>
                    <w:szCs w:val="24"/>
                  </w:rPr>
                </m:ctrlPr>
              </m:sSupPr>
              <m:e>
                <m:r>
                  <w:rPr>
                    <w:rFonts w:ascii="Cambria Math" w:hAnsi="Cambria Math"/>
                    <w:szCs w:val="24"/>
                  </w:rPr>
                  <m:t>X</m:t>
                </m:r>
              </m:e>
              <m:sup>
                <m:r>
                  <m:rPr>
                    <m:sty m:val="p"/>
                  </m:rPr>
                  <w:rPr>
                    <w:rFonts w:ascii="Cambria Math" w:hAnsi="Cambria Math"/>
                    <w:szCs w:val="24"/>
                  </w:rPr>
                  <m:t>q</m:t>
                </m:r>
              </m:sup>
            </m:sSup>
          </m:e>
        </m:d>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E</m:t>
            </m:r>
          </m:e>
          <m:sub>
            <m:r>
              <m:rPr>
                <m:sty m:val="p"/>
              </m:rPr>
              <w:rPr>
                <w:rFonts w:ascii="Cambria Math" w:hAnsi="Cambria Math"/>
                <w:szCs w:val="24"/>
              </w:rPr>
              <m:t>tot</m:t>
            </m:r>
          </m:sub>
        </m:sSub>
        <m:d>
          <m:dPr>
            <m:begChr m:val="["/>
            <m:endChr m:val="]"/>
            <m:ctrlPr>
              <w:rPr>
                <w:rFonts w:ascii="Cambria Math" w:hAnsi="Cambria Math"/>
                <w:iCs/>
                <w:szCs w:val="24"/>
              </w:rPr>
            </m:ctrlPr>
          </m:dPr>
          <m:e>
            <m:r>
              <w:rPr>
                <w:rFonts w:ascii="Cambria Math" w:hAnsi="Cambria Math"/>
                <w:szCs w:val="24"/>
              </w:rPr>
              <m:t>perfect</m:t>
            </m:r>
          </m:e>
        </m:d>
        <m:r>
          <m:rPr>
            <m:sty m:val="p"/>
          </m:rPr>
          <w:rPr>
            <w:rFonts w:ascii="Cambria Math" w:hAnsi="Cambria Math"/>
            <w:szCs w:val="24"/>
          </w:rPr>
          <m:t>-</m:t>
        </m:r>
        <m:nary>
          <m:naryPr>
            <m:chr m:val="∑"/>
            <m:limLoc m:val="undOvr"/>
            <m:supHide m:val="1"/>
            <m:ctrlPr>
              <w:rPr>
                <w:rFonts w:ascii="Cambria Math" w:hAnsi="Cambria Math"/>
                <w:iCs/>
                <w:szCs w:val="24"/>
              </w:rPr>
            </m:ctrlPr>
          </m:naryPr>
          <m:sub>
            <m:r>
              <m:rPr>
                <m:sty m:val="p"/>
              </m:rPr>
              <w:rPr>
                <w:rFonts w:ascii="Cambria Math" w:hAnsi="Cambria Math"/>
                <w:szCs w:val="24"/>
              </w:rPr>
              <m:t>i</m:t>
            </m:r>
          </m:sub>
          <m:sup/>
          <m:e>
            <m:sSub>
              <m:sSubPr>
                <m:ctrlPr>
                  <w:rPr>
                    <w:rFonts w:ascii="Cambria Math" w:hAnsi="Cambria Math"/>
                    <w:iCs/>
                    <w:szCs w:val="24"/>
                  </w:rPr>
                </m:ctrlPr>
              </m:sSubPr>
              <m:e>
                <m:r>
                  <w:rPr>
                    <w:rFonts w:ascii="Cambria Math" w:hAnsi="Cambria Math"/>
                    <w:szCs w:val="24"/>
                  </w:rPr>
                  <m:t>n</m:t>
                </m:r>
              </m:e>
              <m:sub>
                <m:r>
                  <m:rPr>
                    <m:sty m:val="p"/>
                  </m:rPr>
                  <w:rPr>
                    <w:rFonts w:ascii="Cambria Math" w:hAnsi="Cambria Math"/>
                    <w:szCs w:val="24"/>
                  </w:rPr>
                  <m:t>i</m:t>
                </m:r>
              </m:sub>
            </m:sSub>
            <m:sSub>
              <m:sSubPr>
                <m:ctrlPr>
                  <w:rPr>
                    <w:rFonts w:ascii="Cambria Math" w:hAnsi="Cambria Math"/>
                    <w:iCs/>
                    <w:szCs w:val="24"/>
                  </w:rPr>
                </m:ctrlPr>
              </m:sSubPr>
              <m:e>
                <m:r>
                  <w:rPr>
                    <w:rFonts w:ascii="Cambria Math" w:hAnsi="Cambria Math"/>
                    <w:szCs w:val="24"/>
                  </w:rPr>
                  <m:t>μ</m:t>
                </m:r>
              </m:e>
              <m:sub>
                <m:r>
                  <m:rPr>
                    <m:sty m:val="p"/>
                  </m:rPr>
                  <w:rPr>
                    <w:rFonts w:ascii="Cambria Math" w:hAnsi="Cambria Math"/>
                    <w:szCs w:val="24"/>
                  </w:rPr>
                  <m:t>i</m:t>
                </m:r>
              </m:sub>
            </m:sSub>
          </m:e>
        </m:nary>
        <m:r>
          <m:rPr>
            <m:sty m:val="p"/>
          </m:rPr>
          <w:rPr>
            <w:rFonts w:ascii="Cambria Math" w:hAnsi="Cambria Math"/>
            <w:szCs w:val="24"/>
          </w:rPr>
          <m:t>+</m:t>
        </m:r>
        <m:r>
          <w:rPr>
            <w:rFonts w:ascii="Cambria Math" w:hAnsi="Cambria Math"/>
            <w:szCs w:val="24"/>
          </w:rPr>
          <m:t>q</m:t>
        </m:r>
        <m:sSub>
          <m:sSubPr>
            <m:ctrlPr>
              <w:rPr>
                <w:rFonts w:ascii="Cambria Math" w:hAnsi="Cambria Math"/>
                <w:iCs/>
                <w:szCs w:val="24"/>
              </w:rPr>
            </m:ctrlPr>
          </m:sSubPr>
          <m:e>
            <m:r>
              <w:rPr>
                <w:rFonts w:ascii="Cambria Math" w:hAnsi="Cambria Math"/>
                <w:szCs w:val="24"/>
              </w:rPr>
              <m:t>E</m:t>
            </m:r>
          </m:e>
          <m:sub>
            <m:r>
              <m:rPr>
                <m:sty m:val="p"/>
              </m:rPr>
              <w:rPr>
                <w:rFonts w:ascii="Cambria Math" w:hAnsi="Cambria Math"/>
                <w:szCs w:val="24"/>
              </w:rPr>
              <m:t>F</m:t>
            </m:r>
          </m:sub>
        </m:sSub>
        <m:r>
          <m:rPr>
            <m:sty m:val="p"/>
          </m:rPr>
          <w:rPr>
            <w:rFonts w:ascii="Cambria Math" w:hAnsi="Cambria Math"/>
            <w:szCs w:val="24"/>
          </w:rPr>
          <m:t>+</m:t>
        </m:r>
        <m:sSub>
          <m:sSubPr>
            <m:ctrlPr>
              <w:rPr>
                <w:rFonts w:ascii="Cambria Math" w:hAnsi="Cambria Math"/>
                <w:iCs/>
                <w:szCs w:val="24"/>
              </w:rPr>
            </m:ctrlPr>
          </m:sSubPr>
          <m:e>
            <m:r>
              <w:rPr>
                <w:rFonts w:ascii="Cambria Math" w:hAnsi="Cambria Math"/>
                <w:szCs w:val="24"/>
              </w:rPr>
              <m:t>E</m:t>
            </m:r>
          </m:e>
          <m:sub>
            <m:r>
              <m:rPr>
                <m:sty m:val="p"/>
              </m:rPr>
              <w:rPr>
                <w:rFonts w:ascii="Cambria Math" w:hAnsi="Cambria Math"/>
                <w:szCs w:val="24"/>
              </w:rPr>
              <m:t>coor</m:t>
            </m:r>
          </m:sub>
        </m:sSub>
      </m:oMath>
      <w:r w:rsidR="003F26B5" w:rsidRPr="00181425">
        <w:rPr>
          <w:iCs/>
          <w:szCs w:val="24"/>
        </w:rPr>
        <w:t>.</w:t>
      </w:r>
    </w:p>
    <w:p w14:paraId="0E80CCD6" w14:textId="32FACED4" w:rsidR="003F26B5" w:rsidRDefault="003F26B5" w:rsidP="006D2BEF">
      <w:pPr>
        <w:snapToGrid w:val="0"/>
        <w:spacing w:before="120" w:line="360" w:lineRule="auto"/>
        <w:ind w:firstLineChars="200" w:firstLine="480"/>
        <w:jc w:val="both"/>
        <w:rPr>
          <w:szCs w:val="24"/>
        </w:rPr>
      </w:pPr>
      <w:r w:rsidRPr="00181425">
        <w:rPr>
          <w:iCs/>
          <w:szCs w:val="24"/>
        </w:rPr>
        <w:t xml:space="preserve">Here, </w:t>
      </w:r>
      <m:oMath>
        <m:sSub>
          <m:sSubPr>
            <m:ctrlPr>
              <w:rPr>
                <w:rFonts w:ascii="Cambria Math" w:hAnsi="Cambria Math"/>
                <w:szCs w:val="24"/>
              </w:rPr>
            </m:ctrlPr>
          </m:sSubPr>
          <m:e>
            <m:r>
              <w:rPr>
                <w:rFonts w:ascii="Cambria Math" w:hAnsi="Cambria Math"/>
                <w:szCs w:val="24"/>
              </w:rPr>
              <m:t>E</m:t>
            </m:r>
          </m:e>
          <m:sub>
            <m:r>
              <m:rPr>
                <m:sty m:val="p"/>
              </m:rPr>
              <w:rPr>
                <w:rFonts w:ascii="Cambria Math" w:hAnsi="Cambria Math"/>
                <w:szCs w:val="24"/>
              </w:rPr>
              <m:t>tot</m:t>
            </m:r>
          </m:sub>
        </m:sSub>
        <m:d>
          <m:dPr>
            <m:begChr m:val="["/>
            <m:endChr m:val="]"/>
            <m:ctrlPr>
              <w:rPr>
                <w:rFonts w:ascii="Cambria Math" w:hAnsi="Cambria Math"/>
                <w:szCs w:val="24"/>
              </w:rPr>
            </m:ctrlPr>
          </m:dPr>
          <m:e>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rPr>
                  <m:t>q</m:t>
                </m:r>
              </m:sup>
            </m:sSup>
          </m:e>
        </m:d>
      </m:oMath>
      <w:r w:rsidRPr="00181425">
        <w:rPr>
          <w:szCs w:val="24"/>
        </w:rPr>
        <w:t xml:space="preserve"> is the total energy of supercell containing the </w:t>
      </w:r>
      <w:bookmarkStart w:id="4" w:name="_Hlk98612318"/>
      <w:r w:rsidRPr="00181425">
        <w:rPr>
          <w:szCs w:val="24"/>
        </w:rPr>
        <w:t xml:space="preserve">defect </w:t>
      </w:r>
      <w:r w:rsidRPr="00181425">
        <w:rPr>
          <w:i/>
          <w:iCs/>
          <w:szCs w:val="24"/>
        </w:rPr>
        <w:t>X</w:t>
      </w:r>
      <w:bookmarkEnd w:id="4"/>
      <w:r>
        <w:rPr>
          <w:szCs w:val="24"/>
        </w:rPr>
        <w:t>,</w:t>
      </w:r>
      <w:r w:rsidRPr="00181425">
        <w:rPr>
          <w:szCs w:val="24"/>
        </w:rPr>
        <w:t xml:space="preserve"> </w:t>
      </w:r>
      <m:oMath>
        <m:sSub>
          <m:sSubPr>
            <m:ctrlPr>
              <w:rPr>
                <w:rFonts w:ascii="Cambria Math" w:hAnsi="Cambria Math"/>
                <w:i/>
                <w:szCs w:val="24"/>
              </w:rPr>
            </m:ctrlPr>
          </m:sSubPr>
          <m:e>
            <m:r>
              <w:rPr>
                <w:rFonts w:ascii="Cambria Math" w:hAnsi="Cambria Math"/>
                <w:szCs w:val="24"/>
              </w:rPr>
              <m:t>E</m:t>
            </m:r>
          </m:e>
          <m:sub>
            <m:r>
              <m:rPr>
                <m:sty m:val="p"/>
              </m:rPr>
              <w:rPr>
                <w:rFonts w:ascii="Cambria Math" w:hAnsi="Cambria Math"/>
                <w:szCs w:val="24"/>
              </w:rPr>
              <m:t>tot</m:t>
            </m:r>
          </m:sub>
        </m:sSub>
        <m:d>
          <m:dPr>
            <m:begChr m:val="["/>
            <m:endChr m:val="]"/>
            <m:ctrlPr>
              <w:rPr>
                <w:rFonts w:ascii="Cambria Math" w:hAnsi="Cambria Math"/>
                <w:i/>
                <w:szCs w:val="24"/>
              </w:rPr>
            </m:ctrlPr>
          </m:dPr>
          <m:e>
            <m:r>
              <w:rPr>
                <w:rFonts w:ascii="Cambria Math" w:hAnsi="Cambria Math"/>
                <w:szCs w:val="24"/>
              </w:rPr>
              <m:t>perfect</m:t>
            </m:r>
          </m:e>
        </m:d>
      </m:oMath>
      <w:r w:rsidRPr="00181425">
        <w:rPr>
          <w:szCs w:val="24"/>
        </w:rPr>
        <w:t xml:space="preserve"> is the total energy of supercell without the defect </w:t>
      </w:r>
      <w:r w:rsidRPr="00181425">
        <w:rPr>
          <w:i/>
          <w:iCs/>
          <w:szCs w:val="24"/>
        </w:rPr>
        <w:t>X</w:t>
      </w:r>
      <w:r>
        <w:rPr>
          <w:szCs w:val="24"/>
        </w:rPr>
        <w:t>,</w:t>
      </w:r>
      <w:r w:rsidRPr="00181425">
        <w:rPr>
          <w:szCs w:val="24"/>
        </w:rPr>
        <w:t xml:space="preserve"> </w:t>
      </w: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i</m:t>
            </m:r>
          </m:sub>
        </m:sSub>
      </m:oMath>
      <w:r w:rsidRPr="00181425">
        <w:rPr>
          <w:szCs w:val="24"/>
        </w:rPr>
        <w:t xml:space="preserve"> denotes the atom number of </w:t>
      </w:r>
      <w:bookmarkStart w:id="5" w:name="_Hlk98612779"/>
      <w:r w:rsidRPr="00181425">
        <w:rPr>
          <w:szCs w:val="24"/>
        </w:rPr>
        <w:t>type I</w:t>
      </w:r>
      <w:bookmarkEnd w:id="5"/>
      <w:r w:rsidRPr="00181425">
        <w:rPr>
          <w:szCs w:val="24"/>
        </w:rPr>
        <w:t xml:space="preserve"> that </w:t>
      </w:r>
      <w:r w:rsidR="00DF2D23">
        <w:rPr>
          <w:szCs w:val="24"/>
        </w:rPr>
        <w:t>has</w:t>
      </w:r>
      <w:r w:rsidRPr="00181425">
        <w:rPr>
          <w:szCs w:val="24"/>
        </w:rPr>
        <w:t xml:space="preserve"> been added or removed from the supercell to form the defect</w:t>
      </w:r>
      <w:r>
        <w:rPr>
          <w:szCs w:val="24"/>
        </w:rPr>
        <w:t>,</w:t>
      </w:r>
      <w:r w:rsidRPr="00181425">
        <w:rPr>
          <w:szCs w:val="24"/>
        </w:rPr>
        <w:t xml:space="preserve"> </w:t>
      </w:r>
      <m:oMath>
        <m:sSub>
          <m:sSubPr>
            <m:ctrlPr>
              <w:rPr>
                <w:rFonts w:ascii="Cambria Math" w:hAnsi="Cambria Math"/>
                <w:i/>
                <w:szCs w:val="24"/>
              </w:rPr>
            </m:ctrlPr>
          </m:sSubPr>
          <m:e>
            <m:r>
              <w:rPr>
                <w:rFonts w:ascii="Cambria Math" w:hAnsi="Cambria Math"/>
                <w:szCs w:val="24"/>
              </w:rPr>
              <m:t>μ</m:t>
            </m:r>
          </m:e>
          <m:sub>
            <m:r>
              <m:rPr>
                <m:sty m:val="p"/>
              </m:rPr>
              <w:rPr>
                <w:rFonts w:ascii="Cambria Math" w:hAnsi="Cambria Math"/>
                <w:szCs w:val="24"/>
              </w:rPr>
              <m:t>i</m:t>
            </m:r>
          </m:sub>
        </m:sSub>
      </m:oMath>
      <w:r w:rsidRPr="00181425">
        <w:rPr>
          <w:szCs w:val="24"/>
        </w:rPr>
        <w:t xml:space="preserve"> denotes the chemical potential of type I atom</w:t>
      </w:r>
      <w:r>
        <w:rPr>
          <w:szCs w:val="24"/>
        </w:rPr>
        <w:t>,</w:t>
      </w:r>
      <w:r w:rsidRPr="00181425">
        <w:rPr>
          <w:szCs w:val="24"/>
        </w:rPr>
        <w:t xml:space="preserve"> </w:t>
      </w:r>
      <m:oMath>
        <m:r>
          <w:rPr>
            <w:rFonts w:ascii="Cambria Math" w:hAnsi="Cambria Math"/>
            <w:szCs w:val="24"/>
          </w:rPr>
          <m:t>q</m:t>
        </m:r>
      </m:oMath>
      <w:r w:rsidRPr="00181425">
        <w:rPr>
          <w:szCs w:val="24"/>
        </w:rPr>
        <w:t xml:space="preserve"> is the charge state of defect </w:t>
      </w:r>
      <w:r w:rsidRPr="00181425">
        <w:rPr>
          <w:i/>
          <w:iCs/>
          <w:szCs w:val="24"/>
        </w:rPr>
        <w:t>X</w:t>
      </w:r>
      <w:r>
        <w:rPr>
          <w:szCs w:val="24"/>
        </w:rPr>
        <w:t>,</w:t>
      </w:r>
      <w:r w:rsidRPr="00181425">
        <w:rPr>
          <w:szCs w:val="24"/>
        </w:rPr>
        <w:t xml:space="preserve"> </w:t>
      </w:r>
      <m:oMath>
        <m:sSub>
          <m:sSubPr>
            <m:ctrlPr>
              <w:rPr>
                <w:rFonts w:ascii="Cambria Math" w:hAnsi="Cambria Math"/>
                <w:i/>
                <w:szCs w:val="24"/>
              </w:rPr>
            </m:ctrlPr>
          </m:sSubPr>
          <m:e>
            <m:r>
              <w:rPr>
                <w:rFonts w:ascii="Cambria Math" w:hAnsi="Cambria Math"/>
                <w:szCs w:val="24"/>
              </w:rPr>
              <m:t>E</m:t>
            </m:r>
          </m:e>
          <m:sub>
            <m:r>
              <m:rPr>
                <m:sty m:val="p"/>
              </m:rPr>
              <w:rPr>
                <w:rFonts w:ascii="Cambria Math" w:hAnsi="Cambria Math"/>
                <w:szCs w:val="24"/>
              </w:rPr>
              <m:t>F</m:t>
            </m:r>
          </m:sub>
        </m:sSub>
      </m:oMath>
      <w:r w:rsidRPr="00181425">
        <w:rPr>
          <w:szCs w:val="24"/>
        </w:rPr>
        <w:t xml:space="preserve"> is the Fermi energy</w:t>
      </w:r>
      <w:r>
        <w:rPr>
          <w:szCs w:val="24"/>
        </w:rPr>
        <w:t>, and</w:t>
      </w:r>
      <w:r w:rsidRPr="00181425">
        <w:rPr>
          <w:szCs w:val="24"/>
        </w:rPr>
        <w:t xml:space="preserve"> </w:t>
      </w:r>
      <m:oMath>
        <m:sSub>
          <m:sSubPr>
            <m:ctrlPr>
              <w:rPr>
                <w:rFonts w:ascii="Cambria Math" w:hAnsi="Cambria Math"/>
                <w:i/>
                <w:szCs w:val="24"/>
              </w:rPr>
            </m:ctrlPr>
          </m:sSubPr>
          <m:e>
            <m:r>
              <w:rPr>
                <w:rFonts w:ascii="Cambria Math" w:hAnsi="Cambria Math"/>
                <w:szCs w:val="24"/>
              </w:rPr>
              <m:t>E</m:t>
            </m:r>
          </m:e>
          <m:sub>
            <m:r>
              <m:rPr>
                <m:sty m:val="p"/>
              </m:rPr>
              <w:rPr>
                <w:rFonts w:ascii="Cambria Math" w:hAnsi="Cambria Math"/>
                <w:szCs w:val="24"/>
              </w:rPr>
              <m:t>coor</m:t>
            </m:r>
          </m:sub>
        </m:sSub>
      </m:oMath>
      <w:r w:rsidRPr="00181425">
        <w:rPr>
          <w:szCs w:val="24"/>
        </w:rPr>
        <w:t xml:space="preserve"> is the correction term. </w:t>
      </w:r>
    </w:p>
    <w:p w14:paraId="588BEA84" w14:textId="78C32884" w:rsidR="00904D48" w:rsidRPr="00915137" w:rsidRDefault="00904D48" w:rsidP="006D2BEF">
      <w:pPr>
        <w:pStyle w:val="SMText"/>
        <w:spacing w:before="120" w:line="360" w:lineRule="auto"/>
        <w:ind w:firstLine="0"/>
        <w:rPr>
          <w:b/>
          <w:bCs/>
          <w:color w:val="000000" w:themeColor="text1"/>
          <w:szCs w:val="24"/>
        </w:rPr>
      </w:pPr>
      <w:r w:rsidRPr="00915137">
        <w:rPr>
          <w:b/>
          <w:bCs/>
          <w:color w:val="000000" w:themeColor="text1"/>
          <w:szCs w:val="24"/>
        </w:rPr>
        <w:t>Photo-electrical simulations</w:t>
      </w:r>
    </w:p>
    <w:p w14:paraId="0AB0AD89" w14:textId="3F550671" w:rsidR="00904D48" w:rsidRDefault="00904D48" w:rsidP="006D2BEF">
      <w:pPr>
        <w:snapToGrid w:val="0"/>
        <w:spacing w:before="120" w:line="360" w:lineRule="auto"/>
        <w:ind w:firstLineChars="200" w:firstLine="480"/>
        <w:jc w:val="both"/>
        <w:rPr>
          <w:color w:val="000000" w:themeColor="text1"/>
          <w:szCs w:val="28"/>
        </w:rPr>
      </w:pPr>
      <w:r w:rsidRPr="00C948BE">
        <w:rPr>
          <w:color w:val="000000" w:themeColor="text1"/>
          <w:szCs w:val="28"/>
        </w:rPr>
        <w:t xml:space="preserve">The </w:t>
      </w:r>
      <w:r>
        <w:rPr>
          <w:color w:val="000000" w:themeColor="text1"/>
          <w:szCs w:val="28"/>
        </w:rPr>
        <w:t xml:space="preserve">simulated </w:t>
      </w:r>
      <w:r w:rsidRPr="00C948BE">
        <w:rPr>
          <w:color w:val="000000" w:themeColor="text1"/>
          <w:szCs w:val="28"/>
        </w:rPr>
        <w:t xml:space="preserve">structures of PSCs were modeled according to the </w:t>
      </w:r>
      <w:r>
        <w:rPr>
          <w:color w:val="000000" w:themeColor="text1"/>
          <w:szCs w:val="28"/>
        </w:rPr>
        <w:t>architecture</w:t>
      </w:r>
      <w:r w:rsidRPr="00C948BE">
        <w:rPr>
          <w:color w:val="000000" w:themeColor="text1"/>
          <w:szCs w:val="28"/>
        </w:rPr>
        <w:t xml:space="preserve"> in Figure </w:t>
      </w:r>
      <w:r>
        <w:rPr>
          <w:color w:val="000000" w:themeColor="text1"/>
          <w:szCs w:val="28"/>
        </w:rPr>
        <w:t>2</w:t>
      </w:r>
      <w:r w:rsidRPr="00C948BE">
        <w:rPr>
          <w:color w:val="000000" w:themeColor="text1"/>
          <w:szCs w:val="28"/>
        </w:rPr>
        <w:t xml:space="preserve">a, which is composed of a 170 nm-thick </w:t>
      </w:r>
      <w:r>
        <w:rPr>
          <w:color w:val="000000" w:themeColor="text1"/>
          <w:szCs w:val="28"/>
        </w:rPr>
        <w:t>F</w:t>
      </w:r>
      <w:r w:rsidRPr="00C948BE">
        <w:rPr>
          <w:color w:val="000000" w:themeColor="text1"/>
          <w:szCs w:val="28"/>
        </w:rPr>
        <w:t xml:space="preserve">TO, a </w:t>
      </w:r>
      <w:r w:rsidRPr="00CE1379">
        <w:rPr>
          <w:szCs w:val="28"/>
        </w:rPr>
        <w:t>10</w:t>
      </w:r>
      <w:r w:rsidRPr="00CA0856">
        <w:rPr>
          <w:color w:val="FF0000"/>
          <w:szCs w:val="28"/>
        </w:rPr>
        <w:t xml:space="preserve"> </w:t>
      </w:r>
      <w:r w:rsidRPr="00C948BE">
        <w:rPr>
          <w:color w:val="000000" w:themeColor="text1"/>
          <w:szCs w:val="28"/>
        </w:rPr>
        <w:t>nm-thick</w:t>
      </w:r>
      <w:r>
        <w:rPr>
          <w:color w:val="000000" w:themeColor="text1"/>
          <w:szCs w:val="24"/>
        </w:rPr>
        <w:t xml:space="preserve"> </w:t>
      </w:r>
      <w:r>
        <w:rPr>
          <w:color w:val="000000" w:themeColor="text1"/>
          <w:szCs w:val="28"/>
        </w:rPr>
        <w:t>TiO</w:t>
      </w:r>
      <w:r w:rsidRPr="00C948BE">
        <w:rPr>
          <w:color w:val="000000" w:themeColor="text1"/>
          <w:szCs w:val="28"/>
          <w:vertAlign w:val="subscript"/>
        </w:rPr>
        <w:t>2</w:t>
      </w:r>
      <w:r w:rsidRPr="00C948BE">
        <w:rPr>
          <w:color w:val="000000" w:themeColor="text1"/>
          <w:szCs w:val="28"/>
        </w:rPr>
        <w:t xml:space="preserve">, </w:t>
      </w:r>
      <w:r>
        <w:rPr>
          <w:color w:val="000000" w:themeColor="text1"/>
          <w:szCs w:val="28"/>
        </w:rPr>
        <w:t>a 10 nm-thick SnO</w:t>
      </w:r>
      <w:r w:rsidRPr="005F4FDF">
        <w:rPr>
          <w:color w:val="000000" w:themeColor="text1"/>
          <w:szCs w:val="28"/>
          <w:vertAlign w:val="subscript"/>
        </w:rPr>
        <w:t>2</w:t>
      </w:r>
      <w:r>
        <w:rPr>
          <w:color w:val="000000" w:themeColor="text1"/>
          <w:szCs w:val="28"/>
        </w:rPr>
        <w:t xml:space="preserve">, </w:t>
      </w:r>
      <w:r w:rsidRPr="00C948BE">
        <w:rPr>
          <w:color w:val="000000" w:themeColor="text1"/>
          <w:szCs w:val="28"/>
        </w:rPr>
        <w:t xml:space="preserve">a </w:t>
      </w:r>
      <w:r>
        <w:rPr>
          <w:color w:val="000000" w:themeColor="text1"/>
          <w:szCs w:val="28"/>
        </w:rPr>
        <w:t>600</w:t>
      </w:r>
      <w:r w:rsidRPr="00C948BE">
        <w:rPr>
          <w:color w:val="000000" w:themeColor="text1"/>
          <w:szCs w:val="28"/>
        </w:rPr>
        <w:t xml:space="preserve"> nm-thick </w:t>
      </w:r>
      <w:r>
        <w:rPr>
          <w:color w:val="000000" w:themeColor="text1"/>
          <w:szCs w:val="28"/>
        </w:rPr>
        <w:t xml:space="preserve">3D </w:t>
      </w:r>
      <w:r w:rsidRPr="00C948BE">
        <w:rPr>
          <w:color w:val="000000" w:themeColor="text1"/>
          <w:szCs w:val="28"/>
        </w:rPr>
        <w:t>perovskite,</w:t>
      </w:r>
      <w:r>
        <w:rPr>
          <w:color w:val="000000" w:themeColor="text1"/>
          <w:szCs w:val="28"/>
        </w:rPr>
        <w:t xml:space="preserve"> </w:t>
      </w:r>
      <w:r>
        <w:rPr>
          <w:rFonts w:hint="eastAsia"/>
          <w:color w:val="000000" w:themeColor="text1"/>
          <w:szCs w:val="28"/>
        </w:rPr>
        <w:t>a</w:t>
      </w:r>
      <w:r>
        <w:rPr>
          <w:color w:val="000000" w:themeColor="text1"/>
          <w:szCs w:val="28"/>
        </w:rPr>
        <w:t xml:space="preserve"> 30 nm-thick 2D perovskite (if exist),</w:t>
      </w:r>
      <w:r w:rsidRPr="00C948BE">
        <w:rPr>
          <w:color w:val="000000" w:themeColor="text1"/>
          <w:szCs w:val="28"/>
        </w:rPr>
        <w:t xml:space="preserve"> a 200 nm-thick spiro-OMeTAD, and </w:t>
      </w:r>
      <w:r w:rsidRPr="00C948BE">
        <w:rPr>
          <w:color w:val="000000" w:themeColor="text1"/>
          <w:szCs w:val="28"/>
        </w:rPr>
        <w:lastRenderedPageBreak/>
        <w:t xml:space="preserve">a 90 nm-thick Au electrode. </w:t>
      </w:r>
      <w:r>
        <w:rPr>
          <w:color w:val="000000" w:themeColor="text1"/>
          <w:szCs w:val="28"/>
        </w:rPr>
        <w:t>The</w:t>
      </w:r>
      <w:r w:rsidRPr="00C948BE">
        <w:rPr>
          <w:color w:val="000000" w:themeColor="text1"/>
          <w:szCs w:val="28"/>
        </w:rPr>
        <w:t xml:space="preserve"> finite-element method</w:t>
      </w:r>
      <w:r>
        <w:rPr>
          <w:color w:val="000000" w:themeColor="text1"/>
          <w:szCs w:val="28"/>
        </w:rPr>
        <w:t xml:space="preserve"> by coupling the optical and the electrical modules </w:t>
      </w:r>
      <w:r w:rsidR="00DF2D23">
        <w:rPr>
          <w:color w:val="000000" w:themeColor="text1"/>
          <w:szCs w:val="28"/>
        </w:rPr>
        <w:t xml:space="preserve">were </w:t>
      </w:r>
      <w:r>
        <w:rPr>
          <w:color w:val="000000" w:themeColor="text1"/>
          <w:szCs w:val="28"/>
        </w:rPr>
        <w:t>used to perform the photo-electrical simulations. Firstly, a rigorous optical simulation was carried out to solve Maxwell’s equations, so that the spatial distributions of carrier concentrations inside the perovskite layers can be obtained. Based on the carrier generation in the optical module, the electrical simulation was then implemented to carrier dynamics processes</w:t>
      </w:r>
      <w:r w:rsidR="00DF2D23">
        <w:rPr>
          <w:color w:val="000000" w:themeColor="text1"/>
          <w:szCs w:val="28"/>
        </w:rPr>
        <w:t>,</w:t>
      </w:r>
      <w:r>
        <w:rPr>
          <w:color w:val="000000" w:themeColor="text1"/>
          <w:szCs w:val="28"/>
        </w:rPr>
        <w:t xml:space="preserve"> including recombination, transport and collection. By addressing the </w:t>
      </w:r>
      <w:r w:rsidRPr="00C948BE">
        <w:rPr>
          <w:color w:val="000000" w:themeColor="text1"/>
          <w:szCs w:val="28"/>
        </w:rPr>
        <w:t>Poisson’s and drift-diffusion equations</w:t>
      </w:r>
      <w:r>
        <w:rPr>
          <w:color w:val="000000" w:themeColor="text1"/>
          <w:szCs w:val="28"/>
        </w:rPr>
        <w:t xml:space="preserve"> of the electrical simulation, the electrical parameters of PSCs can be achieved. Here, the simulated parameters used for this simulation, which include optical input, </w:t>
      </w:r>
      <w:r w:rsidRPr="007B7CA5">
        <w:rPr>
          <w:i/>
          <w:iCs/>
          <w:color w:val="000000" w:themeColor="text1"/>
          <w:szCs w:val="28"/>
        </w:rPr>
        <w:t>i.e.</w:t>
      </w:r>
      <w:r>
        <w:rPr>
          <w:color w:val="000000" w:themeColor="text1"/>
          <w:szCs w:val="28"/>
        </w:rPr>
        <w:t xml:space="preserve">, refractive indexes of the related materials, and electrical input, </w:t>
      </w:r>
      <w:r w:rsidRPr="00451B4F">
        <w:rPr>
          <w:i/>
          <w:iCs/>
          <w:color w:val="000000" w:themeColor="text1"/>
          <w:szCs w:val="28"/>
        </w:rPr>
        <w:t>i.e.</w:t>
      </w:r>
      <w:r>
        <w:rPr>
          <w:color w:val="000000" w:themeColor="text1"/>
          <w:szCs w:val="28"/>
        </w:rPr>
        <w:t>, e</w:t>
      </w:r>
      <w:r w:rsidRPr="00265126">
        <w:rPr>
          <w:color w:val="000000" w:themeColor="text1"/>
          <w:szCs w:val="28"/>
        </w:rPr>
        <w:t xml:space="preserve">lectron affinity, </w:t>
      </w:r>
      <w:r>
        <w:rPr>
          <w:color w:val="000000" w:themeColor="text1"/>
          <w:szCs w:val="28"/>
        </w:rPr>
        <w:t>b</w:t>
      </w:r>
      <w:r w:rsidRPr="00265126">
        <w:rPr>
          <w:color w:val="000000" w:themeColor="text1"/>
          <w:szCs w:val="28"/>
        </w:rPr>
        <w:t>andgap, permittivity,</w:t>
      </w:r>
      <w:r>
        <w:rPr>
          <w:color w:val="000000" w:themeColor="text1"/>
          <w:szCs w:val="28"/>
        </w:rPr>
        <w:t xml:space="preserve"> e</w:t>
      </w:r>
      <w:r w:rsidRPr="00265126">
        <w:rPr>
          <w:color w:val="000000" w:themeColor="text1"/>
          <w:szCs w:val="28"/>
        </w:rPr>
        <w:t>ffective conduction</w:t>
      </w:r>
      <w:r>
        <w:rPr>
          <w:color w:val="000000" w:themeColor="text1"/>
          <w:szCs w:val="28"/>
        </w:rPr>
        <w:t>/valence</w:t>
      </w:r>
      <w:r w:rsidRPr="00265126">
        <w:rPr>
          <w:color w:val="000000" w:themeColor="text1"/>
          <w:szCs w:val="28"/>
        </w:rPr>
        <w:t xml:space="preserve"> band density, doping concentration, </w:t>
      </w:r>
      <w:r>
        <w:rPr>
          <w:color w:val="000000" w:themeColor="text1"/>
          <w:szCs w:val="28"/>
        </w:rPr>
        <w:t>m</w:t>
      </w:r>
      <w:r w:rsidRPr="00265126">
        <w:rPr>
          <w:color w:val="000000" w:themeColor="text1"/>
          <w:szCs w:val="28"/>
        </w:rPr>
        <w:t>obility</w:t>
      </w:r>
      <w:r>
        <w:rPr>
          <w:color w:val="000000" w:themeColor="text1"/>
          <w:szCs w:val="28"/>
        </w:rPr>
        <w:t xml:space="preserve"> as well as various types of recombination coefficients, </w:t>
      </w:r>
      <w:r w:rsidRPr="007B7CA5">
        <w:rPr>
          <w:i/>
          <w:iCs/>
          <w:color w:val="000000" w:themeColor="text1"/>
          <w:szCs w:val="28"/>
        </w:rPr>
        <w:t>etc</w:t>
      </w:r>
      <w:r>
        <w:rPr>
          <w:color w:val="000000" w:themeColor="text1"/>
          <w:szCs w:val="28"/>
        </w:rPr>
        <w:t>., were extracted from the previous works</w:t>
      </w:r>
      <w:r>
        <w:rPr>
          <w:color w:val="000000" w:themeColor="text1"/>
          <w:szCs w:val="28"/>
        </w:rPr>
        <w:fldChar w:fldCharType="begin">
          <w:fldData xml:space="preserve">PEVuZE5vdGU+PENpdGU+PEF1dGhvcj5ZYW5nPC9BdXRob3I+PFllYXI+MjAyMDwvWWVhcj48UmVj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</w:fldData>
        </w:fldChar>
      </w:r>
      <w:r w:rsidR="006D2BEF">
        <w:rPr>
          <w:color w:val="000000" w:themeColor="text1"/>
          <w:szCs w:val="28"/>
        </w:rPr>
        <w:instrText xml:space="preserve"> ADDIN EN.CITE </w:instrText>
      </w:r>
      <w:r w:rsidR="006D2BEF">
        <w:rPr>
          <w:color w:val="000000" w:themeColor="text1"/>
          <w:szCs w:val="28"/>
        </w:rPr>
        <w:fldChar w:fldCharType="begin">
          <w:fldData xml:space="preserve">PEVuZE5vdGU+PENpdGU+PEF1dGhvcj5ZYW5nPC9BdXRob3I+PFllYXI+MjAyMDwvWWVhcj48UmVj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</w:fldData>
        </w:fldChar>
      </w:r>
      <w:r w:rsidR="006D2BEF">
        <w:rPr>
          <w:color w:val="000000" w:themeColor="text1"/>
          <w:szCs w:val="28"/>
        </w:rPr>
        <w:instrText xml:space="preserve"> ADDIN EN.CITE.DATA </w:instrText>
      </w:r>
      <w:r w:rsidR="006D2BEF">
        <w:rPr>
          <w:color w:val="000000" w:themeColor="text1"/>
          <w:szCs w:val="28"/>
        </w:rPr>
      </w:r>
      <w:r w:rsidR="006D2BEF">
        <w:rPr>
          <w:color w:val="000000" w:themeColor="text1"/>
          <w:szCs w:val="28"/>
        </w:rPr>
        <w:fldChar w:fldCharType="end"/>
      </w:r>
      <w:r>
        <w:rPr>
          <w:color w:val="000000" w:themeColor="text1"/>
          <w:szCs w:val="28"/>
        </w:rPr>
      </w:r>
      <w:r>
        <w:rPr>
          <w:color w:val="000000" w:themeColor="text1"/>
          <w:szCs w:val="28"/>
        </w:rPr>
        <w:fldChar w:fldCharType="separate"/>
      </w:r>
      <w:r w:rsidR="006D2BEF" w:rsidRPr="006D2BEF">
        <w:rPr>
          <w:noProof/>
          <w:color w:val="000000" w:themeColor="text1"/>
          <w:szCs w:val="28"/>
          <w:vertAlign w:val="superscript"/>
        </w:rPr>
        <w:t>9,10</w:t>
      </w:r>
      <w:r>
        <w:rPr>
          <w:color w:val="000000" w:themeColor="text1"/>
          <w:szCs w:val="28"/>
        </w:rPr>
        <w:fldChar w:fldCharType="end"/>
      </w:r>
      <w:r>
        <w:rPr>
          <w:color w:val="000000" w:themeColor="text1"/>
          <w:szCs w:val="28"/>
        </w:rPr>
        <w:t>.</w:t>
      </w:r>
    </w:p>
    <w:p w14:paraId="2344D184" w14:textId="77777777" w:rsidR="00E06CD8" w:rsidRDefault="00E06CD8" w:rsidP="006D2BEF">
      <w:pPr>
        <w:spacing w:line="360" w:lineRule="auto"/>
        <w:rPr>
          <w:b/>
          <w:bCs/>
          <w:kern w:val="32"/>
          <w:szCs w:val="24"/>
        </w:rPr>
      </w:pPr>
      <w:r>
        <w:br w:type="page"/>
      </w:r>
    </w:p>
    <w:p w14:paraId="54B0132A" w14:textId="2BC61D34" w:rsidR="00380151" w:rsidRPr="00F5445D" w:rsidRDefault="00380151" w:rsidP="00A91428">
      <w:pPr>
        <w:pStyle w:val="SMHeading"/>
        <w:rPr>
          <w:lang w:eastAsia="zh-CN"/>
        </w:rPr>
      </w:pPr>
      <w:r w:rsidRPr="00F5445D">
        <w:rPr>
          <w:rFonts w:hint="eastAsia"/>
          <w:lang w:eastAsia="zh-CN"/>
        </w:rPr>
        <w:lastRenderedPageBreak/>
        <w:t>Su</w:t>
      </w:r>
      <w:r w:rsidRPr="00F5445D">
        <w:rPr>
          <w:lang w:eastAsia="zh-CN"/>
        </w:rPr>
        <w:t>pplementary Figures</w:t>
      </w:r>
      <w:r w:rsidR="00B66787">
        <w:rPr>
          <w:lang w:eastAsia="zh-CN"/>
        </w:rPr>
        <w:t xml:space="preserve"> and Notes</w:t>
      </w:r>
    </w:p>
    <w:p w14:paraId="0512F468" w14:textId="77777777" w:rsidR="00F5445D" w:rsidRDefault="00F5445D" w:rsidP="00380151">
      <w:pPr>
        <w:rPr>
          <w:b/>
          <w:sz w:val="28"/>
          <w:lang w:eastAsia="zh-CN"/>
        </w:rPr>
      </w:pPr>
    </w:p>
    <w:p w14:paraId="7D72F3DF" w14:textId="70144536" w:rsidR="00380151" w:rsidRDefault="00380151" w:rsidP="00380151">
      <w:pPr>
        <w:rPr>
          <w:b/>
          <w:sz w:val="28"/>
        </w:rPr>
      </w:pPr>
      <w:r>
        <w:rPr>
          <w:b/>
          <w:noProof/>
          <w:sz w:val="28"/>
        </w:rPr>
        <w:drawing>
          <wp:inline distT="0" distB="0" distL="0" distR="0" wp14:anchorId="38D09796" wp14:editId="35543254">
            <wp:extent cx="6120129" cy="465769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pic:nvPicPr>
                  <pic:blipFill>
                    <a:blip r:embed="rId7"/>
                    <a:stretch>
                      <a:fillRect/>
                    </a:stretch>
                  </pic:blipFill>
                  <pic:spPr>
                    <a:xfrm>
                      <a:off x="0" y="0"/>
                      <a:ext cx="6120129" cy="4657698"/>
                    </a:xfrm>
                    <a:prstGeom prst="rect">
                      <a:avLst/>
                    </a:prstGeom>
                  </pic:spPr>
                </pic:pic>
              </a:graphicData>
            </a:graphic>
          </wp:inline>
        </w:drawing>
      </w:r>
    </w:p>
    <w:p w14:paraId="3E02BAAE" w14:textId="16C3C06E" w:rsidR="00380151" w:rsidRDefault="00380151" w:rsidP="00DF5D00">
      <w:pPr>
        <w:pStyle w:val="SMHeading"/>
        <w:spacing w:line="360" w:lineRule="auto"/>
        <w:jc w:val="both"/>
        <w:rPr>
          <w:sz w:val="28"/>
        </w:rPr>
      </w:pPr>
      <w:r w:rsidRPr="00542DB6">
        <w:rPr>
          <w:rFonts w:hint="eastAsia"/>
        </w:rPr>
        <w:t>Fig</w:t>
      </w:r>
      <w:r w:rsidRPr="00542DB6">
        <w:t>. S</w:t>
      </w:r>
      <w:r>
        <w:t>1</w:t>
      </w:r>
      <w:r w:rsidR="00B76A12">
        <w:t xml:space="preserve"> | </w:t>
      </w:r>
      <w:r w:rsidRPr="00517CBD">
        <w:rPr>
          <w:b w:val="0"/>
          <w:bCs w:val="0"/>
        </w:rPr>
        <w:t xml:space="preserve">Energy band diagrams the dual-heterojunction design </w:t>
      </w:r>
      <w:r w:rsidRPr="00517CBD">
        <w:rPr>
          <w:rFonts w:hint="eastAsia"/>
          <w:b w:val="0"/>
          <w:bCs w:val="0"/>
        </w:rPr>
        <w:t>in</w:t>
      </w:r>
      <w:r w:rsidRPr="00517CBD">
        <w:rPr>
          <w:b w:val="0"/>
          <w:bCs w:val="0"/>
        </w:rPr>
        <w:t xml:space="preserve"> PSCs with different </w:t>
      </w:r>
      <w:proofErr w:type="spellStart"/>
      <w:r w:rsidRPr="00517CBD">
        <w:rPr>
          <w:b w:val="0"/>
          <w:bCs w:val="0"/>
          <w:i/>
          <w:iCs/>
        </w:rPr>
        <w:t>V</w:t>
      </w:r>
      <w:r w:rsidRPr="00517CBD">
        <w:rPr>
          <w:b w:val="0"/>
          <w:bCs w:val="0"/>
          <w:vertAlign w:val="subscript"/>
        </w:rPr>
        <w:t>bi</w:t>
      </w:r>
      <w:proofErr w:type="spellEnd"/>
      <w:r w:rsidRPr="00517CBD">
        <w:rPr>
          <w:b w:val="0"/>
          <w:bCs w:val="0"/>
        </w:rPr>
        <w:t xml:space="preserve">. (a) </w:t>
      </w:r>
      <w:proofErr w:type="spellStart"/>
      <w:r w:rsidRPr="00517CBD">
        <w:rPr>
          <w:b w:val="0"/>
          <w:bCs w:val="0"/>
        </w:rPr>
        <w:t>Zreo</w:t>
      </w:r>
      <w:proofErr w:type="spellEnd"/>
      <w:r w:rsidRPr="00517CBD">
        <w:rPr>
          <w:b w:val="0"/>
          <w:bCs w:val="0"/>
        </w:rPr>
        <w:t xml:space="preserve"> </w:t>
      </w:r>
      <w:proofErr w:type="spellStart"/>
      <w:r w:rsidRPr="00517CBD">
        <w:rPr>
          <w:b w:val="0"/>
          <w:bCs w:val="0"/>
          <w:i/>
          <w:iCs/>
        </w:rPr>
        <w:t>V</w:t>
      </w:r>
      <w:r w:rsidRPr="00517CBD">
        <w:rPr>
          <w:b w:val="0"/>
          <w:bCs w:val="0"/>
          <w:vertAlign w:val="subscript"/>
        </w:rPr>
        <w:t>bi</w:t>
      </w:r>
      <w:proofErr w:type="spellEnd"/>
      <w:r w:rsidRPr="00517CBD">
        <w:rPr>
          <w:b w:val="0"/>
          <w:bCs w:val="0"/>
        </w:rPr>
        <w:t xml:space="preserve">. (b) Negative </w:t>
      </w:r>
      <w:proofErr w:type="spellStart"/>
      <w:r w:rsidRPr="00517CBD">
        <w:rPr>
          <w:b w:val="0"/>
          <w:bCs w:val="0"/>
          <w:i/>
          <w:iCs/>
        </w:rPr>
        <w:t>V</w:t>
      </w:r>
      <w:r w:rsidRPr="00517CBD">
        <w:rPr>
          <w:b w:val="0"/>
          <w:bCs w:val="0"/>
          <w:vertAlign w:val="subscript"/>
        </w:rPr>
        <w:t>bi</w:t>
      </w:r>
      <w:proofErr w:type="spellEnd"/>
      <w:r w:rsidRPr="00517CBD">
        <w:rPr>
          <w:b w:val="0"/>
          <w:bCs w:val="0"/>
        </w:rPr>
        <w:t xml:space="preserve">. (c) Positive </w:t>
      </w:r>
      <w:proofErr w:type="spellStart"/>
      <w:r w:rsidRPr="00517CBD">
        <w:rPr>
          <w:b w:val="0"/>
          <w:bCs w:val="0"/>
          <w:i/>
          <w:iCs/>
        </w:rPr>
        <w:t>V</w:t>
      </w:r>
      <w:r w:rsidRPr="00517CBD">
        <w:rPr>
          <w:b w:val="0"/>
          <w:bCs w:val="0"/>
          <w:vertAlign w:val="subscript"/>
        </w:rPr>
        <w:t>bi</w:t>
      </w:r>
      <w:proofErr w:type="spellEnd"/>
      <w:r w:rsidRPr="00517CBD">
        <w:rPr>
          <w:b w:val="0"/>
          <w:bCs w:val="0"/>
        </w:rPr>
        <w:t xml:space="preserve">. (d) Overlarge </w:t>
      </w:r>
      <w:proofErr w:type="spellStart"/>
      <w:r w:rsidRPr="00517CBD">
        <w:rPr>
          <w:b w:val="0"/>
          <w:bCs w:val="0"/>
          <w:i/>
          <w:iCs/>
        </w:rPr>
        <w:t>V</w:t>
      </w:r>
      <w:r w:rsidRPr="00517CBD">
        <w:rPr>
          <w:b w:val="0"/>
          <w:bCs w:val="0"/>
          <w:vertAlign w:val="subscript"/>
        </w:rPr>
        <w:t>bi</w:t>
      </w:r>
      <w:proofErr w:type="spellEnd"/>
      <w:r w:rsidRPr="00517CBD">
        <w:rPr>
          <w:b w:val="0"/>
          <w:bCs w:val="0"/>
        </w:rPr>
        <w:t>.</w:t>
      </w:r>
      <w:r>
        <w:rPr>
          <w:sz w:val="28"/>
        </w:rPr>
        <w:br w:type="page"/>
      </w:r>
    </w:p>
    <w:p w14:paraId="09C08B0B" w14:textId="77777777" w:rsidR="00380151" w:rsidRPr="00AB11D9" w:rsidRDefault="00380151" w:rsidP="00DF5D00">
      <w:pPr>
        <w:spacing w:before="120" w:line="360" w:lineRule="auto"/>
        <w:jc w:val="both"/>
        <w:rPr>
          <w:b/>
          <w:sz w:val="28"/>
        </w:rPr>
      </w:pPr>
    </w:p>
    <w:p w14:paraId="3AA2D2B4" w14:textId="77777777" w:rsidR="00380151" w:rsidRDefault="00380151" w:rsidP="00DF5D00">
      <w:pPr>
        <w:spacing w:before="120" w:line="360" w:lineRule="auto"/>
        <w:jc w:val="center"/>
        <w:rPr>
          <w:b/>
          <w:sz w:val="28"/>
        </w:rPr>
      </w:pPr>
      <w:r>
        <w:rPr>
          <w:b/>
          <w:noProof/>
          <w:sz w:val="28"/>
        </w:rPr>
        <w:drawing>
          <wp:inline distT="0" distB="0" distL="0" distR="0" wp14:anchorId="7A1B9C60" wp14:editId="104B033E">
            <wp:extent cx="4493994" cy="3415537"/>
            <wp:effectExtent l="0" t="0" r="190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8"/>
                    <a:stretch>
                      <a:fillRect/>
                    </a:stretch>
                  </pic:blipFill>
                  <pic:spPr>
                    <a:xfrm>
                      <a:off x="0" y="0"/>
                      <a:ext cx="4498937" cy="3419294"/>
                    </a:xfrm>
                    <a:prstGeom prst="rect">
                      <a:avLst/>
                    </a:prstGeom>
                  </pic:spPr>
                </pic:pic>
              </a:graphicData>
            </a:graphic>
          </wp:inline>
        </w:drawing>
      </w:r>
    </w:p>
    <w:p w14:paraId="137A1597" w14:textId="4CC8EEDF" w:rsidR="00380151" w:rsidRPr="00C479CD" w:rsidRDefault="00380151" w:rsidP="00DF5D00">
      <w:pPr>
        <w:pStyle w:val="SMHeading"/>
        <w:spacing w:line="360" w:lineRule="auto"/>
        <w:jc w:val="both"/>
        <w:rPr>
          <w:rFonts w:eastAsia="Arial Unicode MS"/>
          <w:b w:val="0"/>
          <w:bCs w:val="0"/>
          <w:color w:val="000000" w:themeColor="text1"/>
          <w:kern w:val="24"/>
        </w:rPr>
      </w:pPr>
      <w:r w:rsidRPr="00542DB6">
        <w:rPr>
          <w:rFonts w:hint="eastAsia"/>
        </w:rPr>
        <w:t>Fig</w:t>
      </w:r>
      <w:r w:rsidRPr="00542DB6">
        <w:t>. S</w:t>
      </w:r>
      <w:r>
        <w:t>2</w:t>
      </w:r>
      <w:r w:rsidR="00B76A12">
        <w:t xml:space="preserve"> | </w:t>
      </w:r>
      <w:r>
        <w:t xml:space="preserve">Surface morphology of 3D and 2D/3D perovskite. </w:t>
      </w:r>
      <w:r w:rsidRPr="00C479CD">
        <w:rPr>
          <w:rFonts w:eastAsia="Arial Unicode MS"/>
          <w:b w:val="0"/>
          <w:bCs w:val="0"/>
          <w:color w:val="000000" w:themeColor="text1"/>
          <w:kern w:val="24"/>
        </w:rPr>
        <w:t xml:space="preserve">Top-view SEM </w:t>
      </w:r>
      <w:r w:rsidRPr="00C479CD">
        <w:rPr>
          <w:rFonts w:eastAsia="Arial Unicode MS" w:hint="eastAsia"/>
          <w:b w:val="0"/>
          <w:bCs w:val="0"/>
          <w:color w:val="000000" w:themeColor="text1"/>
          <w:kern w:val="24"/>
        </w:rPr>
        <w:t>image</w:t>
      </w:r>
      <w:r w:rsidRPr="00C479CD">
        <w:rPr>
          <w:rFonts w:eastAsia="Arial Unicode MS"/>
          <w:b w:val="0"/>
          <w:bCs w:val="0"/>
          <w:color w:val="000000" w:themeColor="text1"/>
          <w:kern w:val="24"/>
        </w:rPr>
        <w:t>s of Perovskite films on FTO/ETL substrates for (a) Control, (b) BABr, (c) BAI samples</w:t>
      </w:r>
      <w:r w:rsidRPr="00C479CD">
        <w:rPr>
          <w:rFonts w:eastAsia="Arial Unicode MS" w:hint="eastAsia"/>
          <w:b w:val="0"/>
          <w:bCs w:val="0"/>
          <w:color w:val="000000" w:themeColor="text1"/>
          <w:kern w:val="24"/>
        </w:rPr>
        <w:t>,</w:t>
      </w:r>
      <w:r w:rsidRPr="00C479CD">
        <w:rPr>
          <w:rFonts w:eastAsia="Arial Unicode MS"/>
          <w:b w:val="0"/>
          <w:bCs w:val="0"/>
          <w:color w:val="000000" w:themeColor="text1"/>
          <w:kern w:val="24"/>
        </w:rPr>
        <w:t xml:space="preserve"> and (d) cross-sectional SEM image of BAI perovskite sample. </w:t>
      </w:r>
    </w:p>
    <w:p w14:paraId="4D9AFF4C" w14:textId="77777777" w:rsidR="00380151" w:rsidRPr="00C479CD" w:rsidRDefault="00380151" w:rsidP="00DF5D00">
      <w:pPr>
        <w:spacing w:before="120" w:line="360" w:lineRule="auto"/>
        <w:jc w:val="both"/>
        <w:rPr>
          <w:rFonts w:eastAsia="Arial Unicode MS"/>
          <w:color w:val="000000" w:themeColor="text1"/>
          <w:kern w:val="24"/>
          <w:szCs w:val="24"/>
        </w:rPr>
      </w:pPr>
    </w:p>
    <w:p w14:paraId="4E40DE5A" w14:textId="77777777" w:rsidR="00380151" w:rsidRDefault="00380151" w:rsidP="00DF5D00">
      <w:pPr>
        <w:spacing w:before="120" w:line="360" w:lineRule="auto"/>
        <w:jc w:val="both"/>
        <w:rPr>
          <w:rFonts w:eastAsia="Arial Unicode MS"/>
          <w:b/>
          <w:bCs/>
          <w:color w:val="000000" w:themeColor="text1"/>
          <w:kern w:val="24"/>
          <w:szCs w:val="24"/>
        </w:rPr>
      </w:pPr>
      <w:r>
        <w:rPr>
          <w:rFonts w:eastAsia="Arial Unicode MS"/>
          <w:b/>
          <w:bCs/>
          <w:color w:val="000000" w:themeColor="text1"/>
          <w:kern w:val="24"/>
          <w:szCs w:val="24"/>
        </w:rPr>
        <w:br w:type="page"/>
      </w:r>
    </w:p>
    <w:p w14:paraId="299EF112" w14:textId="384B46E6" w:rsidR="00380151" w:rsidRDefault="00380151" w:rsidP="00DF5D00">
      <w:pPr>
        <w:pStyle w:val="SMHeading"/>
        <w:spacing w:line="360" w:lineRule="auto"/>
        <w:rPr>
          <w:rFonts w:eastAsia="Arial Unicode MS"/>
          <w:color w:val="000000" w:themeColor="text1"/>
          <w:kern w:val="24"/>
        </w:rPr>
      </w:pPr>
      <w:r w:rsidRPr="00582B7A">
        <w:rPr>
          <w:rFonts w:eastAsia="Arial Unicode MS"/>
          <w:color w:val="000000" w:themeColor="text1"/>
          <w:kern w:val="24"/>
        </w:rPr>
        <w:lastRenderedPageBreak/>
        <w:t xml:space="preserve">Note </w:t>
      </w:r>
      <w:r>
        <w:rPr>
          <w:rFonts w:eastAsia="Arial Unicode MS"/>
          <w:color w:val="000000" w:themeColor="text1"/>
          <w:kern w:val="24"/>
        </w:rPr>
        <w:t>S</w:t>
      </w:r>
      <w:r w:rsidRPr="00582B7A">
        <w:rPr>
          <w:rFonts w:eastAsia="Arial Unicode MS"/>
          <w:color w:val="000000" w:themeColor="text1"/>
          <w:kern w:val="24"/>
        </w:rPr>
        <w:t>1</w:t>
      </w:r>
      <w:r w:rsidR="00B76A12">
        <w:t xml:space="preserve"> | </w:t>
      </w:r>
      <w:r>
        <w:t>Surface morphology analysis</w:t>
      </w:r>
    </w:p>
    <w:p w14:paraId="5193193A" w14:textId="6B614B40" w:rsidR="00380151" w:rsidRDefault="00380151" w:rsidP="00DF5D00">
      <w:pPr>
        <w:spacing w:before="120" w:line="360" w:lineRule="auto"/>
        <w:jc w:val="both"/>
        <w:rPr>
          <w:rFonts w:eastAsia="Arial Unicode MS"/>
          <w:color w:val="000000" w:themeColor="text1"/>
          <w:kern w:val="24"/>
          <w:szCs w:val="24"/>
        </w:rPr>
      </w:pPr>
      <w:r w:rsidRPr="005D7FCF">
        <w:rPr>
          <w:rFonts w:eastAsia="Arial Unicode MS"/>
          <w:color w:val="000000" w:themeColor="text1"/>
          <w:kern w:val="24"/>
          <w:szCs w:val="24"/>
        </w:rPr>
        <w:t xml:space="preserve">Surface morphology is </w:t>
      </w:r>
      <w:r>
        <w:rPr>
          <w:rFonts w:eastAsia="Arial Unicode MS"/>
          <w:color w:val="000000" w:themeColor="text1"/>
          <w:kern w:val="24"/>
          <w:szCs w:val="24"/>
        </w:rPr>
        <w:t xml:space="preserve">a </w:t>
      </w:r>
      <w:r w:rsidRPr="005D7FCF">
        <w:rPr>
          <w:rFonts w:eastAsia="Arial Unicode MS"/>
          <w:color w:val="000000" w:themeColor="text1"/>
          <w:kern w:val="24"/>
          <w:szCs w:val="24"/>
        </w:rPr>
        <w:t xml:space="preserve">critical </w:t>
      </w:r>
      <w:r>
        <w:rPr>
          <w:rFonts w:eastAsia="Arial Unicode MS"/>
          <w:color w:val="000000" w:themeColor="text1"/>
          <w:kern w:val="24"/>
          <w:szCs w:val="24"/>
        </w:rPr>
        <w:t xml:space="preserve">indicator </w:t>
      </w:r>
      <w:r w:rsidR="00DF2D23">
        <w:rPr>
          <w:rFonts w:eastAsia="Arial Unicode MS"/>
          <w:color w:val="000000" w:themeColor="text1"/>
          <w:kern w:val="24"/>
          <w:szCs w:val="24"/>
        </w:rPr>
        <w:t>for evaluating</w:t>
      </w:r>
      <w:r>
        <w:rPr>
          <w:rFonts w:eastAsia="Arial Unicode MS"/>
          <w:color w:val="000000" w:themeColor="text1"/>
          <w:kern w:val="24"/>
          <w:szCs w:val="24"/>
        </w:rPr>
        <w:t xml:space="preserve"> the surface defect density of perovskite and the performance of the related devices. </w:t>
      </w:r>
      <w:r w:rsidRPr="005D7FCF">
        <w:rPr>
          <w:rFonts w:eastAsia="Arial Unicode MS"/>
          <w:color w:val="000000" w:themeColor="text1"/>
          <w:kern w:val="24"/>
          <w:szCs w:val="24"/>
        </w:rPr>
        <w:t xml:space="preserve"> </w:t>
      </w:r>
      <w:r>
        <w:rPr>
          <w:rFonts w:eastAsia="Arial Unicode MS"/>
          <w:color w:val="000000" w:themeColor="text1"/>
          <w:kern w:val="24"/>
          <w:szCs w:val="24"/>
        </w:rPr>
        <w:t>T</w:t>
      </w:r>
      <w:r>
        <w:rPr>
          <w:rFonts w:eastAsia="Arial Unicode MS" w:hint="eastAsia"/>
          <w:color w:val="000000" w:themeColor="text1"/>
          <w:kern w:val="24"/>
          <w:szCs w:val="24"/>
        </w:rPr>
        <w:t>h</w:t>
      </w:r>
      <w:r>
        <w:rPr>
          <w:rFonts w:eastAsia="Arial Unicode MS"/>
          <w:color w:val="000000" w:themeColor="text1"/>
          <w:kern w:val="24"/>
          <w:szCs w:val="24"/>
        </w:rPr>
        <w:t>e t</w:t>
      </w:r>
      <w:r w:rsidRPr="005D7FCF">
        <w:rPr>
          <w:rFonts w:eastAsia="Arial Unicode MS"/>
          <w:color w:val="000000" w:themeColor="text1"/>
          <w:kern w:val="24"/>
          <w:szCs w:val="24"/>
        </w:rPr>
        <w:t>op</w:t>
      </w:r>
      <w:r>
        <w:rPr>
          <w:rFonts w:eastAsia="Arial Unicode MS"/>
          <w:color w:val="000000" w:themeColor="text1"/>
          <w:kern w:val="24"/>
          <w:szCs w:val="24"/>
        </w:rPr>
        <w:t>-</w:t>
      </w:r>
      <w:r w:rsidRPr="005D7FCF">
        <w:rPr>
          <w:rFonts w:eastAsia="Arial Unicode MS"/>
          <w:color w:val="000000" w:themeColor="text1"/>
          <w:kern w:val="24"/>
          <w:szCs w:val="24"/>
        </w:rPr>
        <w:t xml:space="preserve">view SEM image </w:t>
      </w:r>
      <w:r>
        <w:rPr>
          <w:rFonts w:eastAsia="Arial Unicode MS"/>
          <w:color w:val="000000" w:themeColor="text1"/>
          <w:kern w:val="24"/>
          <w:szCs w:val="24"/>
        </w:rPr>
        <w:t>of t</w:t>
      </w:r>
      <w:r w:rsidRPr="005D7FCF">
        <w:rPr>
          <w:rFonts w:eastAsia="Arial Unicode MS"/>
          <w:color w:val="000000" w:themeColor="text1"/>
          <w:kern w:val="24"/>
          <w:szCs w:val="24"/>
        </w:rPr>
        <w:t xml:space="preserve">he </w:t>
      </w:r>
      <w:r>
        <w:rPr>
          <w:rFonts w:eastAsia="Arial Unicode MS"/>
          <w:color w:val="000000" w:themeColor="text1"/>
          <w:kern w:val="24"/>
          <w:szCs w:val="24"/>
        </w:rPr>
        <w:t>c</w:t>
      </w:r>
      <w:r w:rsidRPr="005D7FCF">
        <w:rPr>
          <w:rFonts w:eastAsia="Arial Unicode MS"/>
          <w:color w:val="000000" w:themeColor="text1"/>
          <w:kern w:val="24"/>
          <w:szCs w:val="24"/>
        </w:rPr>
        <w:t xml:space="preserve">ontrol sample </w:t>
      </w:r>
      <w:r>
        <w:rPr>
          <w:rFonts w:eastAsia="Arial Unicode MS"/>
          <w:color w:val="000000" w:themeColor="text1"/>
          <w:kern w:val="24"/>
          <w:szCs w:val="24"/>
        </w:rPr>
        <w:t xml:space="preserve">in Fig. S2a </w:t>
      </w:r>
      <w:r w:rsidRPr="005D7FCF">
        <w:rPr>
          <w:rFonts w:eastAsia="Arial Unicode MS"/>
          <w:color w:val="000000" w:themeColor="text1"/>
          <w:kern w:val="24"/>
          <w:szCs w:val="24"/>
        </w:rPr>
        <w:t xml:space="preserve">shows typical polycrystal </w:t>
      </w:r>
      <w:r w:rsidR="00DF2D23">
        <w:rPr>
          <w:rFonts w:eastAsia="Arial Unicode MS"/>
          <w:color w:val="000000" w:themeColor="text1"/>
          <w:kern w:val="24"/>
          <w:szCs w:val="24"/>
        </w:rPr>
        <w:t>features</w:t>
      </w:r>
      <w:r w:rsidRPr="005D7FCF">
        <w:rPr>
          <w:rFonts w:eastAsia="Arial Unicode MS"/>
          <w:color w:val="000000" w:themeColor="text1"/>
          <w:kern w:val="24"/>
          <w:szCs w:val="24"/>
        </w:rPr>
        <w:t xml:space="preserve"> of perovskite with </w:t>
      </w:r>
      <w:r>
        <w:rPr>
          <w:rFonts w:eastAsia="Arial Unicode MS"/>
          <w:color w:val="000000" w:themeColor="text1"/>
          <w:kern w:val="24"/>
          <w:szCs w:val="24"/>
        </w:rPr>
        <w:t xml:space="preserve">the appearance of </w:t>
      </w:r>
      <w:r w:rsidRPr="005D7FCF">
        <w:rPr>
          <w:rFonts w:eastAsia="Arial Unicode MS"/>
          <w:color w:val="000000" w:themeColor="text1"/>
          <w:kern w:val="24"/>
          <w:szCs w:val="24"/>
        </w:rPr>
        <w:t xml:space="preserve">uniform crystals and compact grains. </w:t>
      </w:r>
      <w:r>
        <w:rPr>
          <w:rFonts w:eastAsia="Arial Unicode MS"/>
          <w:color w:val="000000" w:themeColor="text1"/>
          <w:kern w:val="24"/>
          <w:szCs w:val="24"/>
        </w:rPr>
        <w:t xml:space="preserve">For both </w:t>
      </w:r>
      <w:r w:rsidRPr="005D7FCF">
        <w:rPr>
          <w:rFonts w:eastAsia="Arial Unicode MS"/>
          <w:color w:val="000000" w:themeColor="text1"/>
          <w:kern w:val="24"/>
          <w:szCs w:val="24"/>
        </w:rPr>
        <w:t xml:space="preserve">BABr and BAI </w:t>
      </w:r>
      <w:r>
        <w:rPr>
          <w:rFonts w:eastAsia="Arial Unicode MS"/>
          <w:color w:val="000000" w:themeColor="text1"/>
          <w:kern w:val="24"/>
          <w:szCs w:val="24"/>
        </w:rPr>
        <w:t>samples in Fig</w:t>
      </w:r>
      <w:r>
        <w:rPr>
          <w:rFonts w:eastAsia="Arial Unicode MS" w:hint="eastAsia"/>
          <w:color w:val="000000" w:themeColor="text1"/>
          <w:kern w:val="24"/>
          <w:szCs w:val="24"/>
        </w:rPr>
        <w:t>s</w:t>
      </w:r>
      <w:r>
        <w:rPr>
          <w:rFonts w:eastAsia="Arial Unicode MS"/>
          <w:color w:val="000000" w:themeColor="text1"/>
          <w:kern w:val="24"/>
          <w:szCs w:val="24"/>
        </w:rPr>
        <w:t>. S2b and S2c</w:t>
      </w:r>
      <w:r w:rsidRPr="005D7FCF">
        <w:rPr>
          <w:rFonts w:eastAsia="Arial Unicode MS"/>
          <w:color w:val="000000" w:themeColor="text1"/>
          <w:kern w:val="24"/>
          <w:szCs w:val="24"/>
        </w:rPr>
        <w:t xml:space="preserve">, </w:t>
      </w:r>
      <w:r>
        <w:rPr>
          <w:rFonts w:eastAsia="Arial Unicode MS"/>
          <w:color w:val="000000" w:themeColor="text1"/>
          <w:kern w:val="24"/>
          <w:szCs w:val="24"/>
        </w:rPr>
        <w:t xml:space="preserve">some of </w:t>
      </w:r>
      <w:r w:rsidRPr="005D7FCF">
        <w:rPr>
          <w:rFonts w:eastAsia="Arial Unicode MS"/>
          <w:color w:val="000000" w:themeColor="text1"/>
          <w:kern w:val="24"/>
          <w:szCs w:val="24"/>
        </w:rPr>
        <w:t xml:space="preserve">the grain boundaries </w:t>
      </w:r>
      <w:r>
        <w:rPr>
          <w:rFonts w:eastAsia="Arial Unicode MS"/>
          <w:color w:val="000000" w:themeColor="text1"/>
          <w:kern w:val="24"/>
          <w:szCs w:val="24"/>
        </w:rPr>
        <w:t>on the surface of perovskite</w:t>
      </w:r>
      <w:r w:rsidRPr="005D7FCF">
        <w:rPr>
          <w:rFonts w:eastAsia="Arial Unicode MS"/>
          <w:color w:val="000000" w:themeColor="text1"/>
          <w:kern w:val="24"/>
          <w:szCs w:val="24"/>
        </w:rPr>
        <w:t xml:space="preserve"> </w:t>
      </w:r>
      <w:r>
        <w:rPr>
          <w:rFonts w:eastAsia="Arial Unicode MS"/>
          <w:color w:val="000000" w:themeColor="text1"/>
          <w:kern w:val="24"/>
          <w:szCs w:val="24"/>
        </w:rPr>
        <w:t xml:space="preserve">that were partially covered by the </w:t>
      </w:r>
      <w:r w:rsidRPr="005D7FCF">
        <w:rPr>
          <w:rFonts w:eastAsia="Arial Unicode MS"/>
          <w:color w:val="000000" w:themeColor="text1"/>
          <w:kern w:val="24"/>
          <w:szCs w:val="24"/>
        </w:rPr>
        <w:t>vertically oriented 2D perovskite</w:t>
      </w:r>
      <w:r>
        <w:rPr>
          <w:rFonts w:eastAsia="Arial Unicode MS"/>
          <w:color w:val="000000" w:themeColor="text1"/>
          <w:kern w:val="24"/>
          <w:szCs w:val="24"/>
        </w:rPr>
        <w:t xml:space="preserve"> thin-films, are hard to </w:t>
      </w:r>
      <w:r w:rsidRPr="00A579B7">
        <w:rPr>
          <w:rFonts w:eastAsia="Arial Unicode MS"/>
          <w:color w:val="000000" w:themeColor="text1"/>
          <w:kern w:val="24"/>
          <w:szCs w:val="24"/>
        </w:rPr>
        <w:t>identify</w:t>
      </w:r>
      <w:r w:rsidRPr="005D7FCF">
        <w:rPr>
          <w:rFonts w:eastAsia="Arial Unicode MS"/>
          <w:color w:val="000000" w:themeColor="text1"/>
          <w:kern w:val="24"/>
          <w:szCs w:val="24"/>
        </w:rPr>
        <w:t>.</w:t>
      </w:r>
      <w:r>
        <w:rPr>
          <w:rFonts w:eastAsia="Arial Unicode MS"/>
          <w:color w:val="000000" w:themeColor="text1"/>
          <w:kern w:val="24"/>
          <w:szCs w:val="24"/>
        </w:rPr>
        <w:t xml:space="preserve"> In detail, the results in Figs. S2b and S2c also suggest that there is no obvious difference in surface morphology of perovskite between the BABr and BAI samples,</w:t>
      </w:r>
      <w:r w:rsidRPr="00542DB6">
        <w:rPr>
          <w:rFonts w:eastAsia="Arial Unicode MS"/>
          <w:color w:val="000000" w:themeColor="text1"/>
          <w:kern w:val="24"/>
          <w:szCs w:val="24"/>
        </w:rPr>
        <w:t xml:space="preserve"> implying that the post-treatment </w:t>
      </w:r>
      <w:r>
        <w:rPr>
          <w:rFonts w:eastAsia="Arial Unicode MS"/>
          <w:color w:val="000000" w:themeColor="text1"/>
          <w:kern w:val="24"/>
          <w:szCs w:val="24"/>
        </w:rPr>
        <w:t xml:space="preserve">method that we used to fabricate </w:t>
      </w:r>
      <w:r w:rsidRPr="00542DB6">
        <w:rPr>
          <w:rFonts w:eastAsia="Arial Unicode MS"/>
          <w:color w:val="000000" w:themeColor="text1"/>
          <w:kern w:val="24"/>
          <w:szCs w:val="24"/>
        </w:rPr>
        <w:t>2D perovskite is mainly dependent on the BA molecule</w:t>
      </w:r>
      <w:r>
        <w:rPr>
          <w:rFonts w:eastAsia="Arial Unicode MS"/>
          <w:color w:val="000000" w:themeColor="text1"/>
          <w:kern w:val="24"/>
          <w:szCs w:val="24"/>
        </w:rPr>
        <w:t xml:space="preserve"> while it is i</w:t>
      </w:r>
      <w:r w:rsidRPr="001A6F74">
        <w:rPr>
          <w:rFonts w:eastAsia="Arial Unicode MS"/>
          <w:color w:val="000000" w:themeColor="text1"/>
          <w:kern w:val="24"/>
          <w:szCs w:val="24"/>
        </w:rPr>
        <w:t>ndependent of</w:t>
      </w:r>
      <w:r>
        <w:rPr>
          <w:rFonts w:eastAsia="Arial Unicode MS"/>
          <w:color w:val="000000" w:themeColor="text1"/>
          <w:kern w:val="24"/>
          <w:szCs w:val="24"/>
        </w:rPr>
        <w:t xml:space="preserve"> halide types</w:t>
      </w:r>
      <w:r w:rsidRPr="00542DB6">
        <w:rPr>
          <w:rFonts w:eastAsia="Arial Unicode MS"/>
          <w:color w:val="000000" w:themeColor="text1"/>
          <w:kern w:val="24"/>
          <w:szCs w:val="24"/>
        </w:rPr>
        <w:t xml:space="preserve">. Moreover, the </w:t>
      </w:r>
      <w:r>
        <w:rPr>
          <w:rFonts w:eastAsia="Arial Unicode MS"/>
          <w:color w:val="000000" w:themeColor="text1"/>
          <w:kern w:val="24"/>
          <w:szCs w:val="24"/>
        </w:rPr>
        <w:t>cross-sectional SEM image in Fig. S2</w:t>
      </w:r>
      <w:r>
        <w:rPr>
          <w:rFonts w:eastAsia="Arial Unicode MS" w:hint="eastAsia"/>
          <w:color w:val="000000" w:themeColor="text1"/>
          <w:kern w:val="24"/>
          <w:szCs w:val="24"/>
        </w:rPr>
        <w:t>d</w:t>
      </w:r>
      <w:r>
        <w:rPr>
          <w:rFonts w:eastAsia="Arial Unicode MS"/>
          <w:color w:val="000000" w:themeColor="text1"/>
          <w:kern w:val="24"/>
          <w:szCs w:val="24"/>
        </w:rPr>
        <w:t xml:space="preserve"> shows that a uniform </w:t>
      </w:r>
      <w:r w:rsidRPr="00542DB6">
        <w:rPr>
          <w:rFonts w:eastAsia="Arial Unicode MS"/>
          <w:color w:val="000000" w:themeColor="text1"/>
          <w:kern w:val="24"/>
          <w:szCs w:val="24"/>
        </w:rPr>
        <w:t xml:space="preserve">2D perovskite </w:t>
      </w:r>
      <w:r>
        <w:rPr>
          <w:rFonts w:eastAsia="Arial Unicode MS"/>
          <w:color w:val="000000" w:themeColor="text1"/>
          <w:kern w:val="24"/>
          <w:szCs w:val="24"/>
        </w:rPr>
        <w:t>film with a thickness of ~30 nm, can be</w:t>
      </w:r>
      <w:r w:rsidRPr="00542DB6">
        <w:rPr>
          <w:rFonts w:eastAsia="Arial Unicode MS"/>
          <w:color w:val="000000" w:themeColor="text1"/>
          <w:kern w:val="24"/>
          <w:szCs w:val="24"/>
        </w:rPr>
        <w:t xml:space="preserve"> well</w:t>
      </w:r>
      <w:r>
        <w:rPr>
          <w:rFonts w:eastAsia="Arial Unicode MS"/>
          <w:color w:val="000000" w:themeColor="text1"/>
          <w:kern w:val="24"/>
          <w:szCs w:val="24"/>
        </w:rPr>
        <w:t>-covered</w:t>
      </w:r>
      <w:r w:rsidRPr="00542DB6">
        <w:rPr>
          <w:rFonts w:eastAsia="Arial Unicode MS"/>
          <w:color w:val="000000" w:themeColor="text1"/>
          <w:kern w:val="24"/>
          <w:szCs w:val="24"/>
        </w:rPr>
        <w:t xml:space="preserve"> on the 3D perovskite surfaces</w:t>
      </w:r>
      <w:r>
        <w:rPr>
          <w:rFonts w:eastAsia="Arial Unicode MS"/>
          <w:color w:val="000000" w:themeColor="text1"/>
          <w:kern w:val="24"/>
          <w:szCs w:val="24"/>
        </w:rPr>
        <w:t xml:space="preserve">, </w:t>
      </w:r>
      <w:r w:rsidRPr="005D7FCF">
        <w:rPr>
          <w:rFonts w:eastAsia="Arial Unicode MS"/>
          <w:color w:val="000000" w:themeColor="text1"/>
          <w:kern w:val="24"/>
          <w:szCs w:val="24"/>
        </w:rPr>
        <w:t xml:space="preserve">which is in good agreement with </w:t>
      </w:r>
      <w:r>
        <w:rPr>
          <w:rFonts w:eastAsia="Arial Unicode MS" w:hint="eastAsia"/>
          <w:color w:val="000000" w:themeColor="text1"/>
          <w:kern w:val="24"/>
          <w:szCs w:val="24"/>
        </w:rPr>
        <w:t>other</w:t>
      </w:r>
      <w:r>
        <w:rPr>
          <w:rFonts w:eastAsia="Arial Unicode MS"/>
          <w:color w:val="000000" w:themeColor="text1"/>
          <w:kern w:val="24"/>
          <w:szCs w:val="24"/>
        </w:rPr>
        <w:t xml:space="preserve"> </w:t>
      </w:r>
      <w:r w:rsidRPr="005D7FCF">
        <w:rPr>
          <w:rFonts w:eastAsia="Arial Unicode MS"/>
          <w:color w:val="000000" w:themeColor="text1"/>
          <w:kern w:val="24"/>
          <w:szCs w:val="24"/>
        </w:rPr>
        <w:t xml:space="preserve">relevant studies. It is noted that the smooth surface of 2D perovskite is helpful for the </w:t>
      </w:r>
      <w:r>
        <w:rPr>
          <w:rFonts w:eastAsia="Arial Unicode MS" w:hint="eastAsia"/>
          <w:color w:val="000000" w:themeColor="text1"/>
          <w:kern w:val="24"/>
          <w:szCs w:val="24"/>
        </w:rPr>
        <w:t>spin</w:t>
      </w:r>
      <w:r>
        <w:rPr>
          <w:rFonts w:eastAsia="Arial Unicode MS"/>
          <w:color w:val="000000" w:themeColor="text1"/>
          <w:kern w:val="24"/>
          <w:szCs w:val="24"/>
        </w:rPr>
        <w:t xml:space="preserve">-coating of </w:t>
      </w:r>
      <w:r w:rsidRPr="005D7FCF">
        <w:rPr>
          <w:rFonts w:eastAsia="Arial Unicode MS"/>
          <w:color w:val="000000" w:themeColor="text1"/>
          <w:kern w:val="24"/>
          <w:szCs w:val="24"/>
        </w:rPr>
        <w:t>spiro-OMeTAD HTL</w:t>
      </w:r>
      <w:r>
        <w:rPr>
          <w:rFonts w:eastAsia="Arial Unicode MS"/>
          <w:color w:val="000000" w:themeColor="text1"/>
          <w:kern w:val="24"/>
          <w:szCs w:val="24"/>
        </w:rPr>
        <w:t xml:space="preserve"> with good physical contact</w:t>
      </w:r>
      <w:r w:rsidRPr="005D7FCF">
        <w:rPr>
          <w:rFonts w:eastAsia="Arial Unicode MS"/>
          <w:color w:val="000000" w:themeColor="text1"/>
          <w:kern w:val="24"/>
          <w:szCs w:val="24"/>
        </w:rPr>
        <w:t>.</w:t>
      </w:r>
    </w:p>
    <w:p w14:paraId="133BB02C" w14:textId="77777777" w:rsidR="00380151" w:rsidRDefault="00380151" w:rsidP="00DF5D00">
      <w:pPr>
        <w:spacing w:before="120" w:line="360" w:lineRule="auto"/>
        <w:jc w:val="both"/>
        <w:rPr>
          <w:rFonts w:eastAsia="SimSun"/>
          <w:b/>
          <w:bCs/>
          <w:szCs w:val="21"/>
        </w:rPr>
      </w:pPr>
    </w:p>
    <w:p w14:paraId="73E24340" w14:textId="5E570264" w:rsidR="00490786" w:rsidRDefault="00490786" w:rsidP="00DF5D00">
      <w:pPr>
        <w:spacing w:line="360" w:lineRule="auto"/>
        <w:rPr>
          <w:rFonts w:eastAsia="Arial Unicode MS"/>
          <w:color w:val="000000" w:themeColor="text1"/>
          <w:kern w:val="24"/>
          <w:szCs w:val="24"/>
        </w:rPr>
      </w:pPr>
      <w:r>
        <w:rPr>
          <w:rFonts w:eastAsia="Arial Unicode MS"/>
          <w:color w:val="000000" w:themeColor="text1"/>
          <w:kern w:val="24"/>
          <w:szCs w:val="24"/>
        </w:rPr>
        <w:br w:type="page"/>
      </w:r>
    </w:p>
    <w:p w14:paraId="4B03AC6A" w14:textId="77777777" w:rsidR="00380151" w:rsidRPr="005B5DE9" w:rsidRDefault="00380151" w:rsidP="00DF5D00">
      <w:pPr>
        <w:spacing w:before="120" w:line="360" w:lineRule="auto"/>
        <w:jc w:val="both"/>
        <w:rPr>
          <w:rFonts w:eastAsia="Arial Unicode MS"/>
          <w:color w:val="000000" w:themeColor="text1"/>
          <w:kern w:val="24"/>
          <w:szCs w:val="24"/>
        </w:rPr>
      </w:pPr>
    </w:p>
    <w:p w14:paraId="4A3AE217" w14:textId="77777777" w:rsidR="00380151" w:rsidRPr="00994276" w:rsidRDefault="00380151" w:rsidP="00DF5D00">
      <w:pPr>
        <w:spacing w:before="120" w:line="360" w:lineRule="auto"/>
        <w:jc w:val="both"/>
        <w:rPr>
          <w:b/>
          <w:sz w:val="28"/>
        </w:rPr>
      </w:pPr>
      <w:r>
        <w:rPr>
          <w:b/>
          <w:noProof/>
          <w:sz w:val="28"/>
        </w:rPr>
        <w:drawing>
          <wp:inline distT="0" distB="0" distL="0" distR="0" wp14:anchorId="28C81873" wp14:editId="1F5EACBA">
            <wp:extent cx="6118154" cy="4895215"/>
            <wp:effectExtent l="0" t="0" r="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9"/>
                    <a:stretch>
                      <a:fillRect/>
                    </a:stretch>
                  </pic:blipFill>
                  <pic:spPr>
                    <a:xfrm>
                      <a:off x="0" y="0"/>
                      <a:ext cx="6118154" cy="4895215"/>
                    </a:xfrm>
                    <a:prstGeom prst="rect">
                      <a:avLst/>
                    </a:prstGeom>
                  </pic:spPr>
                </pic:pic>
              </a:graphicData>
            </a:graphic>
          </wp:inline>
        </w:drawing>
      </w:r>
    </w:p>
    <w:p w14:paraId="50005F4D" w14:textId="0E90BFFA" w:rsidR="00380151" w:rsidRPr="00E27097" w:rsidRDefault="00380151" w:rsidP="00DF5D00">
      <w:pPr>
        <w:pStyle w:val="SMHeading"/>
        <w:spacing w:line="360" w:lineRule="auto"/>
        <w:jc w:val="both"/>
        <w:rPr>
          <w:rFonts w:eastAsia="Arial Unicode MS"/>
          <w:color w:val="000000" w:themeColor="text1"/>
          <w:kern w:val="24"/>
        </w:rPr>
      </w:pPr>
      <w:r w:rsidRPr="00E27097">
        <w:t>Fig. S</w:t>
      </w:r>
      <w:r>
        <w:t>3</w:t>
      </w:r>
      <w:r w:rsidR="00B76A12">
        <w:t xml:space="preserve"> | </w:t>
      </w:r>
      <w:r w:rsidRPr="00490786">
        <w:rPr>
          <w:rFonts w:eastAsia="Arial Unicode MS"/>
          <w:b w:val="0"/>
          <w:bCs w:val="0"/>
          <w:iCs/>
          <w:color w:val="000000" w:themeColor="text1"/>
          <w:kern w:val="24"/>
          <w:lang w:val="en-GB"/>
        </w:rPr>
        <w:t xml:space="preserve">GIWAXS patterns of (a) 3D perovskite and (b) 2D/3D perovskite treated by BABr, where the signals representing 2D and 3D perovskite phases were marked in the figures. (c) Cut-lines of GIWAXS intensities along the </w:t>
      </w:r>
      <w:proofErr w:type="spellStart"/>
      <w:r w:rsidRPr="00490786">
        <w:rPr>
          <w:rFonts w:eastAsia="Arial Unicode MS"/>
          <w:b w:val="0"/>
          <w:bCs w:val="0"/>
          <w:iCs/>
          <w:color w:val="000000" w:themeColor="text1"/>
          <w:kern w:val="24"/>
          <w:lang w:val="en-GB"/>
        </w:rPr>
        <w:t>q</w:t>
      </w:r>
      <w:r w:rsidRPr="00490786">
        <w:rPr>
          <w:rFonts w:eastAsia="Arial Unicode MS"/>
          <w:b w:val="0"/>
          <w:bCs w:val="0"/>
          <w:iCs/>
          <w:color w:val="000000" w:themeColor="text1"/>
          <w:kern w:val="24"/>
          <w:vertAlign w:val="subscript"/>
          <w:lang w:val="en-GB"/>
        </w:rPr>
        <w:t>xy</w:t>
      </w:r>
      <w:proofErr w:type="spellEnd"/>
      <w:r w:rsidRPr="00490786">
        <w:rPr>
          <w:rFonts w:eastAsia="Arial Unicode MS"/>
          <w:b w:val="0"/>
          <w:bCs w:val="0"/>
          <w:iCs/>
          <w:color w:val="000000" w:themeColor="text1"/>
          <w:kern w:val="24"/>
          <w:lang w:val="en-GB"/>
        </w:rPr>
        <w:t xml:space="preserve"> axis for the control, BABr, and BAI samples. </w:t>
      </w:r>
    </w:p>
    <w:p w14:paraId="3954E9BC" w14:textId="77777777" w:rsidR="00380151" w:rsidRPr="00D468E9" w:rsidRDefault="00380151" w:rsidP="00DF5D00">
      <w:pPr>
        <w:spacing w:before="120" w:line="360" w:lineRule="auto"/>
        <w:jc w:val="both"/>
        <w:rPr>
          <w:rFonts w:eastAsia="Arial Unicode MS"/>
          <w:color w:val="000000" w:themeColor="text1"/>
          <w:kern w:val="24"/>
          <w:szCs w:val="24"/>
        </w:rPr>
      </w:pPr>
    </w:p>
    <w:p w14:paraId="0997A632" w14:textId="77777777" w:rsidR="00380151" w:rsidRDefault="00380151" w:rsidP="00DF5D00">
      <w:pPr>
        <w:spacing w:before="120" w:line="360" w:lineRule="auto"/>
        <w:jc w:val="both"/>
        <w:rPr>
          <w:rFonts w:eastAsia="Arial Unicode MS"/>
          <w:color w:val="000000" w:themeColor="text1"/>
          <w:kern w:val="24"/>
          <w:szCs w:val="21"/>
        </w:rPr>
      </w:pPr>
      <w:r>
        <w:rPr>
          <w:rFonts w:eastAsia="Arial Unicode MS"/>
          <w:color w:val="000000" w:themeColor="text1"/>
          <w:kern w:val="24"/>
          <w:szCs w:val="21"/>
        </w:rPr>
        <w:br w:type="page"/>
      </w:r>
    </w:p>
    <w:p w14:paraId="19CF77ED" w14:textId="77777777" w:rsidR="00380151" w:rsidRDefault="00380151" w:rsidP="00DF5D00">
      <w:pPr>
        <w:spacing w:before="120" w:line="360" w:lineRule="auto"/>
        <w:jc w:val="both"/>
        <w:rPr>
          <w:b/>
          <w:sz w:val="28"/>
        </w:rPr>
      </w:pPr>
      <w:r>
        <w:rPr>
          <w:b/>
          <w:noProof/>
          <w:sz w:val="28"/>
        </w:rPr>
        <w:lastRenderedPageBreak/>
        <w:drawing>
          <wp:inline distT="0" distB="0" distL="0" distR="0" wp14:anchorId="0E1510D9" wp14:editId="59340DED">
            <wp:extent cx="6120129" cy="4944060"/>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a:stretch>
                      <a:fillRect/>
                    </a:stretch>
                  </pic:blipFill>
                  <pic:spPr>
                    <a:xfrm>
                      <a:off x="0" y="0"/>
                      <a:ext cx="6120129" cy="4944060"/>
                    </a:xfrm>
                    <a:prstGeom prst="rect">
                      <a:avLst/>
                    </a:prstGeom>
                  </pic:spPr>
                </pic:pic>
              </a:graphicData>
            </a:graphic>
          </wp:inline>
        </w:drawing>
      </w:r>
    </w:p>
    <w:p w14:paraId="47387592" w14:textId="3DEB5AA0" w:rsidR="00380151" w:rsidRPr="00490786" w:rsidRDefault="00380151" w:rsidP="00DF5D00">
      <w:pPr>
        <w:pStyle w:val="SMHeading"/>
        <w:spacing w:line="360" w:lineRule="auto"/>
        <w:jc w:val="both"/>
        <w:rPr>
          <w:b w:val="0"/>
          <w:bCs w:val="0"/>
        </w:rPr>
      </w:pPr>
      <w:r w:rsidRPr="0031326E">
        <w:rPr>
          <w:rFonts w:hint="eastAsia"/>
        </w:rPr>
        <w:t>Fig</w:t>
      </w:r>
      <w:r w:rsidRPr="0031326E">
        <w:t>. S</w:t>
      </w:r>
      <w:r>
        <w:t>4</w:t>
      </w:r>
      <w:r w:rsidR="00B76A12">
        <w:t xml:space="preserve"> | </w:t>
      </w:r>
      <w:r w:rsidRPr="00490786">
        <w:rPr>
          <w:b w:val="0"/>
          <w:bCs w:val="0"/>
        </w:rPr>
        <w:t xml:space="preserve">XRD results of </w:t>
      </w:r>
      <w:r w:rsidRPr="00490786">
        <w:rPr>
          <w:rFonts w:hint="eastAsia"/>
          <w:b w:val="0"/>
          <w:bCs w:val="0"/>
        </w:rPr>
        <w:t>c</w:t>
      </w:r>
      <w:r w:rsidRPr="00490786">
        <w:rPr>
          <w:b w:val="0"/>
          <w:bCs w:val="0"/>
        </w:rPr>
        <w:t>ontrol, BABr, and BAI perovskite.</w:t>
      </w:r>
      <w:r w:rsidRPr="00490786">
        <w:rPr>
          <w:b w:val="0"/>
          <w:bCs w:val="0"/>
          <w:sz w:val="20"/>
        </w:rPr>
        <w:t xml:space="preserve"> </w:t>
      </w:r>
      <w:r w:rsidRPr="00490786">
        <w:rPr>
          <w:b w:val="0"/>
          <w:bCs w:val="0"/>
        </w:rPr>
        <w:t xml:space="preserve">New diffraction peaks at 4.65°, 6.45° and 9.12° </w:t>
      </w:r>
      <w:r w:rsidRPr="00490786">
        <w:rPr>
          <w:rFonts w:hint="eastAsia"/>
          <w:b w:val="0"/>
          <w:bCs w:val="0"/>
        </w:rPr>
        <w:t>for</w:t>
      </w:r>
      <w:r w:rsidRPr="00490786">
        <w:rPr>
          <w:b w:val="0"/>
          <w:bCs w:val="0"/>
        </w:rPr>
        <w:t xml:space="preserve"> both BABr and BAI samples can be observed, which suggest a </w:t>
      </w:r>
      <w:r w:rsidR="00DF2D23">
        <w:rPr>
          <w:b w:val="0"/>
          <w:bCs w:val="0"/>
        </w:rPr>
        <w:t>larger</w:t>
      </w:r>
      <w:r w:rsidRPr="00490786">
        <w:rPr>
          <w:b w:val="0"/>
          <w:bCs w:val="0"/>
        </w:rPr>
        <w:t xml:space="preserve"> interplanar crystal spacing of the 2D-layered perovskite than the pristine 3D bulk perovskite. It is noted that 5% excessed PbI</w:t>
      </w:r>
      <w:r w:rsidRPr="00490786">
        <w:rPr>
          <w:b w:val="0"/>
          <w:bCs w:val="0"/>
          <w:vertAlign w:val="subscript"/>
        </w:rPr>
        <w:t>2</w:t>
      </w:r>
      <w:r w:rsidRPr="00490786">
        <w:rPr>
          <w:b w:val="0"/>
          <w:bCs w:val="0"/>
        </w:rPr>
        <w:t xml:space="preserve"> is used during the fabrication of 3D perovskite, which can be confirmed by the XRD results with a quite high intensity of 3D-perovskite sign at 12.78°. The PbI</w:t>
      </w:r>
      <w:r w:rsidRPr="00490786">
        <w:rPr>
          <w:b w:val="0"/>
          <w:bCs w:val="0"/>
          <w:vertAlign w:val="subscript"/>
        </w:rPr>
        <w:t>2</w:t>
      </w:r>
      <w:r w:rsidRPr="00490786">
        <w:rPr>
          <w:b w:val="0"/>
          <w:bCs w:val="0"/>
        </w:rPr>
        <w:t xml:space="preserve"> signals for both BABr and BAI samples are weakened, suggest</w:t>
      </w:r>
      <w:r w:rsidRPr="00490786">
        <w:rPr>
          <w:rFonts w:hint="eastAsia"/>
          <w:b w:val="0"/>
          <w:bCs w:val="0"/>
        </w:rPr>
        <w:t>ing</w:t>
      </w:r>
      <w:r w:rsidRPr="00490786">
        <w:rPr>
          <w:b w:val="0"/>
          <w:bCs w:val="0"/>
        </w:rPr>
        <w:t xml:space="preserve"> that the excessed PbI</w:t>
      </w:r>
      <w:r w:rsidRPr="00490786">
        <w:rPr>
          <w:b w:val="0"/>
          <w:bCs w:val="0"/>
          <w:vertAlign w:val="subscript"/>
        </w:rPr>
        <w:t>2</w:t>
      </w:r>
      <w:r w:rsidRPr="00490786">
        <w:rPr>
          <w:b w:val="0"/>
          <w:bCs w:val="0"/>
        </w:rPr>
        <w:t xml:space="preserve"> may be partially consumed by reacting with BABr or BAI to form 2D perovskite</w:t>
      </w:r>
      <w:r w:rsidRPr="00490786">
        <w:rPr>
          <w:b w:val="0"/>
          <w:bCs w:val="0"/>
        </w:rPr>
        <w:fldChar w:fldCharType="begin"/>
      </w:r>
      <w:r w:rsidR="006D2BEF">
        <w:rPr>
          <w:b w:val="0"/>
          <w:bCs w:val="0"/>
        </w:rPr>
        <w:instrText xml:space="preserve"> ADDIN EN.CITE &lt;EndNote&gt;&lt;Cite&gt;&lt;Author&gt;Yang&lt;/Author&gt;&lt;Year&gt;2021&lt;/Year&gt;&lt;RecNum&gt;243&lt;/RecNum&gt;&lt;DisplayText&gt;&lt;style face="superscript"&gt;11&lt;/style&gt;&lt;/DisplayText&gt;&lt;record&gt;&lt;rec-number&gt;243&lt;/rec-number&gt;&lt;foreign-keys&gt;&lt;key app="EN" db-id="90dwdfr94fapdvepa9hpwd9fpwr0t0zfrxt2" timestamp="1639124733"&gt;243&lt;/key&gt;&lt;/foreign-keys&gt;&lt;ref-type name="Journal Article"&gt;17&lt;/ref-type&gt;&lt;contributors&gt;&lt;authors&gt;&lt;author&gt;Yang, Guang&lt;/author&gt;&lt;author&gt;Ren, Zhiwei&lt;/author&gt;&lt;author&gt;Liu, Kuan&lt;/author&gt;&lt;author&gt;Qin, Minchao&lt;/author&gt;&lt;author&gt;Deng, Wanyuan&lt;/author&gt;&lt;author&gt;Zhang, Hengkai&lt;/author&gt;&lt;author&gt;Wang, Haibing&lt;/author&gt;&lt;author&gt;Liang, Jiwei&lt;/author&gt;&lt;author&gt;Ye, Feihong&lt;/author&gt;&lt;author&gt;Liang, Qiong&lt;/author&gt;&lt;author&gt;Yin, Hang&lt;/author&gt;&lt;author&gt;Chen, Yuxuan&lt;/author&gt;&lt;author&gt;Zhuang, Yuanlin&lt;/author&gt;&lt;author&gt;Li, Siqi&lt;/author&gt;&lt;author&gt;Gao, Bowei&lt;/author&gt;&lt;author&gt;Wang, Jianbo&lt;/author&gt;&lt;author&gt;Shi, Tingting&lt;/author&gt;&lt;author&gt;Wang, Xin&lt;/author&gt;&lt;author&gt;Lu, Xinhui&lt;/author&gt;&lt;author&gt;Wu, Hongbin&lt;/author&gt;&lt;author&gt;Hou, Jianhui&lt;/author&gt;&lt;author&gt;Lei, Dangyuan&lt;/author&gt;&lt;author&gt;So, Shu Kong&lt;/author&gt;&lt;author&gt;Yang, Yang&lt;/author&gt;&lt;author&gt;Fang, Guojia&lt;/author&gt;&lt;author&gt;Li, Gang&lt;/author&gt;&lt;/authors&gt;&lt;/contributors&gt;&lt;titles&gt;&lt;title&gt;Stable and low-photovoltage-loss perovskite solar cells by multifunctional passivation&lt;/title&gt;&lt;secondary-title&gt;Nature Photonics&lt;/secondary-title&gt;&lt;/titles&gt;&lt;periodical&gt;&lt;full-title&gt;Nature Photonics&lt;/full-title&gt;&lt;abbr-1&gt;Nat. Photonics&lt;/abbr-1&gt;&lt;/periodical&gt;&lt;pages&gt;681-689&lt;/pages&gt;&lt;volume&gt;15&lt;/volume&gt;&lt;number&gt;9&lt;/number&gt;&lt;dates&gt;&lt;year&gt;2021&lt;/year&gt;&lt;pub-dates&gt;&lt;date&gt;2021/09/01&lt;/date&gt;&lt;/pub-dates&gt;&lt;/dates&gt;&lt;isbn&gt;1749-4893&lt;/isbn&gt;&lt;urls&gt;&lt;related-urls&gt;&lt;url&gt;https://doi.org/10.1038/s41566-021-00829-4&lt;/url&gt;&lt;/related-urls&gt;&lt;/urls&gt;&lt;electronic-resource-num&gt;10.1038/s41566-021-00829-4&lt;/electronic-resource-num&gt;&lt;/record&gt;&lt;/Cite&gt;&lt;/EndNote&gt;</w:instrText>
      </w:r>
      <w:r w:rsidRPr="00490786">
        <w:rPr>
          <w:b w:val="0"/>
          <w:bCs w:val="0"/>
        </w:rPr>
        <w:fldChar w:fldCharType="separate"/>
      </w:r>
      <w:r w:rsidR="006D2BEF" w:rsidRPr="006D2BEF">
        <w:rPr>
          <w:b w:val="0"/>
          <w:bCs w:val="0"/>
          <w:noProof/>
          <w:vertAlign w:val="superscript"/>
        </w:rPr>
        <w:t>11</w:t>
      </w:r>
      <w:r w:rsidRPr="00490786">
        <w:rPr>
          <w:b w:val="0"/>
          <w:bCs w:val="0"/>
        </w:rPr>
        <w:fldChar w:fldCharType="end"/>
      </w:r>
      <w:r w:rsidRPr="00490786">
        <w:rPr>
          <w:b w:val="0"/>
          <w:bCs w:val="0"/>
        </w:rPr>
        <w:t>.</w:t>
      </w:r>
    </w:p>
    <w:p w14:paraId="5C033DE6" w14:textId="77777777" w:rsidR="00380151" w:rsidRDefault="00380151" w:rsidP="00DF5D00">
      <w:pPr>
        <w:pStyle w:val="NormalWeb"/>
        <w:spacing w:before="120" w:line="360" w:lineRule="auto"/>
        <w:jc w:val="both"/>
        <w:rPr>
          <w:rFonts w:eastAsia="Arial Unicode MS"/>
          <w:b/>
          <w:bCs/>
          <w:color w:val="000000" w:themeColor="text1"/>
          <w:kern w:val="24"/>
          <w:sz w:val="20"/>
          <w:szCs w:val="20"/>
        </w:rPr>
      </w:pPr>
      <w:r>
        <w:rPr>
          <w:b/>
          <w:sz w:val="28"/>
        </w:rPr>
        <w:br w:type="page"/>
      </w:r>
      <w:r>
        <w:rPr>
          <w:rFonts w:eastAsia="Arial Unicode MS"/>
          <w:b/>
          <w:bCs/>
          <w:noProof/>
          <w:color w:val="000000" w:themeColor="text1"/>
          <w:kern w:val="24"/>
          <w:sz w:val="20"/>
          <w:szCs w:val="20"/>
        </w:rPr>
        <w:lastRenderedPageBreak/>
        <w:drawing>
          <wp:inline distT="0" distB="0" distL="0" distR="0" wp14:anchorId="3D0726AC" wp14:editId="56636BB3">
            <wp:extent cx="6120130" cy="699372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a:stretch>
                      <a:fillRect/>
                    </a:stretch>
                  </pic:blipFill>
                  <pic:spPr>
                    <a:xfrm>
                      <a:off x="0" y="0"/>
                      <a:ext cx="6120130" cy="6993729"/>
                    </a:xfrm>
                    <a:prstGeom prst="rect">
                      <a:avLst/>
                    </a:prstGeom>
                  </pic:spPr>
                </pic:pic>
              </a:graphicData>
            </a:graphic>
          </wp:inline>
        </w:drawing>
      </w:r>
    </w:p>
    <w:p w14:paraId="036A94EC" w14:textId="62994CA6" w:rsidR="00380151" w:rsidRDefault="00380151" w:rsidP="00DF5D00">
      <w:pPr>
        <w:pStyle w:val="SMHeading"/>
        <w:spacing w:line="360" w:lineRule="auto"/>
        <w:jc w:val="both"/>
      </w:pPr>
      <w:r w:rsidRPr="00E6120A">
        <w:rPr>
          <w:rFonts w:hint="eastAsia"/>
        </w:rPr>
        <w:t>Fig</w:t>
      </w:r>
      <w:r w:rsidRPr="00E6120A">
        <w:t>. S</w:t>
      </w:r>
      <w:r>
        <w:t>5</w:t>
      </w:r>
      <w:r w:rsidR="00B76A12">
        <w:t xml:space="preserve"> | </w:t>
      </w:r>
      <w:r w:rsidRPr="00490786">
        <w:rPr>
          <w:b w:val="0"/>
          <w:bCs w:val="0"/>
        </w:rPr>
        <w:t>X-ray photoelectron spectroscopy (XPS) spectra. XPS</w:t>
      </w:r>
      <w:r w:rsidRPr="00490786">
        <w:rPr>
          <w:rFonts w:hint="eastAsia"/>
          <w:b w:val="0"/>
          <w:bCs w:val="0"/>
        </w:rPr>
        <w:t xml:space="preserve"> spectra</w:t>
      </w:r>
      <w:r w:rsidRPr="00490786">
        <w:rPr>
          <w:b w:val="0"/>
          <w:bCs w:val="0"/>
        </w:rPr>
        <w:t xml:space="preserve"> of the three related samples for (a) Pb 4f, (b) Br 3d, and (c) I 3d peaks.</w:t>
      </w:r>
    </w:p>
    <w:p w14:paraId="2ADFD895" w14:textId="77777777" w:rsidR="00380151" w:rsidRDefault="00380151" w:rsidP="00DF5D00">
      <w:pPr>
        <w:pStyle w:val="NormalWeb"/>
        <w:spacing w:before="120" w:line="360" w:lineRule="auto"/>
        <w:jc w:val="both"/>
      </w:pPr>
    </w:p>
    <w:p w14:paraId="43A66F5A" w14:textId="2D14921C" w:rsidR="00380151" w:rsidRPr="0059786A" w:rsidRDefault="00380151" w:rsidP="00DF5D00">
      <w:pPr>
        <w:pStyle w:val="SMHeading"/>
      </w:pPr>
      <w:r>
        <w:br w:type="page"/>
      </w:r>
      <w:r w:rsidRPr="00582B7A">
        <w:rPr>
          <w:rFonts w:eastAsia="Arial Unicode MS"/>
          <w:color w:val="000000" w:themeColor="text1"/>
          <w:kern w:val="24"/>
        </w:rPr>
        <w:lastRenderedPageBreak/>
        <w:t xml:space="preserve">Note </w:t>
      </w:r>
      <w:r>
        <w:rPr>
          <w:rFonts w:eastAsia="Arial Unicode MS"/>
          <w:color w:val="000000" w:themeColor="text1"/>
          <w:kern w:val="24"/>
        </w:rPr>
        <w:t>S2</w:t>
      </w:r>
      <w:r w:rsidR="00B76A12">
        <w:t xml:space="preserve"> | </w:t>
      </w:r>
      <w:r w:rsidRPr="0059786A">
        <w:t>XPS analysis.</w:t>
      </w:r>
    </w:p>
    <w:p w14:paraId="630AAEC7" w14:textId="4CCBB26B" w:rsidR="00380151" w:rsidRPr="0099332B" w:rsidRDefault="00380151" w:rsidP="00DF5D00">
      <w:pPr>
        <w:pStyle w:val="NormalWeb"/>
        <w:spacing w:before="120" w:line="360" w:lineRule="auto"/>
        <w:jc w:val="both"/>
      </w:pPr>
      <w:r>
        <w:rPr>
          <w:rFonts w:hint="eastAsia"/>
        </w:rPr>
        <w:t>The</w:t>
      </w:r>
      <w:r>
        <w:t xml:space="preserve"> XPS spectra of Pb 4f peaks shown in Fig. S5a suggest that </w:t>
      </w:r>
      <w:r w:rsidRPr="008D660F">
        <w:t xml:space="preserve">two feature peaks </w:t>
      </w:r>
      <w:r>
        <w:t>of</w:t>
      </w:r>
      <w:r w:rsidRPr="008D660F">
        <w:t xml:space="preserve"> the </w:t>
      </w:r>
      <w:r>
        <w:t>c</w:t>
      </w:r>
      <w:r w:rsidRPr="008D660F">
        <w:t>ontrol sample</w:t>
      </w:r>
      <w:r>
        <w:t xml:space="preserve"> at </w:t>
      </w:r>
      <w:r w:rsidRPr="008D660F">
        <w:t xml:space="preserve">the binding energies of 143.22 and 138.35 eV </w:t>
      </w:r>
      <w:r>
        <w:t xml:space="preserve">were assigned to </w:t>
      </w:r>
      <w:r w:rsidRPr="008D660F">
        <w:t>Pb 4f</w:t>
      </w:r>
      <w:r w:rsidRPr="00141321">
        <w:rPr>
          <w:vertAlign w:val="subscript"/>
        </w:rPr>
        <w:t>7/2</w:t>
      </w:r>
      <w:r w:rsidRPr="008D660F">
        <w:t xml:space="preserve"> and 4f</w:t>
      </w:r>
      <w:r w:rsidRPr="00141321">
        <w:rPr>
          <w:vertAlign w:val="subscript"/>
        </w:rPr>
        <w:t>5/2</w:t>
      </w:r>
      <w:r w:rsidRPr="008D660F">
        <w:t xml:space="preserve">, respectively, </w:t>
      </w:r>
      <w:r>
        <w:t xml:space="preserve">which is a signal of </w:t>
      </w:r>
      <w:r w:rsidRPr="008D660F">
        <w:t>Pb</w:t>
      </w:r>
      <w:r w:rsidRPr="00141321">
        <w:rPr>
          <w:vertAlign w:val="superscript"/>
        </w:rPr>
        <w:t>2+</w:t>
      </w:r>
      <w:r w:rsidRPr="008D660F">
        <w:t xml:space="preserve"> ions in the Pb–I octahedra. </w:t>
      </w:r>
      <w:r>
        <w:t xml:space="preserve">With the presence of BABr and BAI, these two peaks shift towards lower binding energies, indicating </w:t>
      </w:r>
      <w:r w:rsidRPr="008D660F">
        <w:t xml:space="preserve">the changes </w:t>
      </w:r>
      <w:r w:rsidR="00DF2D23">
        <w:t>in</w:t>
      </w:r>
      <w:r w:rsidRPr="008D660F">
        <w:t xml:space="preserve"> chemical states </w:t>
      </w:r>
      <w:r>
        <w:t>from</w:t>
      </w:r>
      <w:r w:rsidRPr="008D660F">
        <w:t xml:space="preserve"> ionic bonds to Pb ions. It is known that the binding energy in perovskite </w:t>
      </w:r>
      <w:r>
        <w:t>can be</w:t>
      </w:r>
      <w:r w:rsidRPr="008D660F">
        <w:t xml:space="preserve"> associated with Pb–I bonding length</w:t>
      </w:r>
      <w:r>
        <w:t xml:space="preserve">, which has </w:t>
      </w:r>
      <w:r w:rsidRPr="008D660F">
        <w:t>two distinct Pb–I binding states in the 2D perovskite.</w:t>
      </w:r>
      <w:r w:rsidRPr="008D660F">
        <w:fldChar w:fldCharType="begin"/>
      </w:r>
      <w:r w:rsidR="006D2BEF">
        <w:instrText xml:space="preserve"> ADDIN EN.CITE &lt;EndNote&gt;&lt;Cite&gt;&lt;Author&gt;Jeong&lt;/Author&gt;&lt;Year&gt;2021&lt;/Year&gt;&lt;RecNum&gt;249&lt;/RecNum&gt;&lt;DisplayText&gt;&lt;style face="superscript"&gt;12&lt;/style&gt;&lt;/DisplayText&gt;&lt;record&gt;&lt;rec-number&gt;249&lt;/rec-number&gt;&lt;foreign-keys&gt;&lt;key app="EN" db-id="90dwdfr94fapdvepa9hpwd9fpwr0t0zfrxt2" timestamp="1644217864"&gt;249&lt;/key&gt;&lt;/foreign-keys&gt;&lt;ref-type name="Journal Article"&gt;17&lt;/ref-type&gt;&lt;contributors&gt;&lt;authors&gt;&lt;author&gt;Jeong, Seonghwa&lt;/author&gt;&lt;author&gt;Seo, Seongrok&lt;/author&gt;&lt;author&gt;Yang, Hyunwoo&lt;/author&gt;&lt;author&gt;Park, Hyoungmin&lt;/author&gt;&lt;author&gt;Shin, Sooeun&lt;/author&gt;&lt;author&gt;Ahn, Hyungju&lt;/author&gt;&lt;author&gt;Lee, Donghwa&lt;/author&gt;&lt;author&gt;Park, Jong Hyeok&lt;/author&gt;&lt;author&gt;Park, Nam-Gyu&lt;/author&gt;&lt;author&gt;Shin, Hyunjung&lt;/author&gt;&lt;/authors&gt;&lt;/contributors&gt;&lt;titles&gt;&lt;title&gt;Cyclohexylammonium-Based 2D/3D Perovskite Heterojunction with Funnel-Like Energy Band Alignment for Efficient Solar Cells (23.91%)&lt;/title&gt;&lt;secondary-title&gt;Advanced Energy Materials&lt;/secondary-title&gt;&lt;/titles&gt;&lt;periodical&gt;&lt;full-title&gt;Advanced Energy Materials&lt;/full-title&gt;&lt;abbr-1&gt;Adv. Energy Mater.&lt;/abbr-1&gt;&lt;/periodical&gt;&lt;pages&gt;2102236&lt;/pages&gt;&lt;volume&gt;11&lt;/volume&gt;&lt;number&gt;42&lt;/number&gt;&lt;keywords&gt;&lt;keyword&gt;cyclohexylammonium iodide&lt;/keyword&gt;&lt;keyword&gt;cyclohexylmethylammonium iodide&lt;/keyword&gt;&lt;keyword&gt;high efficiency&lt;/keyword&gt;&lt;keyword&gt;perovskite solar cells&lt;/keyword&gt;&lt;/keywords&gt;&lt;dates&gt;&lt;year&gt;2021&lt;/year&gt;&lt;pub-dates&gt;&lt;date&gt;2021/11/01&lt;/date&gt;&lt;/pub-dates&gt;&lt;/dates&gt;&lt;publisher&gt;John Wiley &amp;amp; Sons, Ltd&lt;/publisher&gt;&lt;isbn&gt;1614-6832&lt;/isbn&gt;&lt;work-type&gt;https://doi.org/10.1002/aenm.202102236&lt;/work-type&gt;&lt;urls&gt;&lt;related-urls&gt;&lt;url&gt;https://doi.org/10.1002/aenm.202102236&lt;/url&gt;&lt;/related-urls&gt;&lt;/urls&gt;&lt;electronic-resource-num&gt;https://doi.org/10.1002/aenm.202102236&lt;/electronic-resource-num&gt;&lt;access-date&gt;2022/02/06&lt;/access-date&gt;&lt;/record&gt;&lt;/Cite&gt;&lt;/EndNote&gt;</w:instrText>
      </w:r>
      <w:r w:rsidRPr="008D660F">
        <w:fldChar w:fldCharType="separate"/>
      </w:r>
      <w:r w:rsidR="006D2BEF" w:rsidRPr="006D2BEF">
        <w:rPr>
          <w:noProof/>
          <w:vertAlign w:val="superscript"/>
        </w:rPr>
        <w:t>12</w:t>
      </w:r>
      <w:r w:rsidRPr="008D660F">
        <w:fldChar w:fldCharType="end"/>
      </w:r>
      <w:r w:rsidRPr="008D660F">
        <w:t xml:space="preserve"> The higher one with </w:t>
      </w:r>
      <w:r>
        <w:t xml:space="preserve">a </w:t>
      </w:r>
      <w:r w:rsidRPr="008D660F">
        <w:t xml:space="preserve">shorter bonding length in the horizontal direction is the bonding to </w:t>
      </w:r>
      <w:r w:rsidR="00DF2D23">
        <w:t xml:space="preserve">the </w:t>
      </w:r>
      <w:r w:rsidRPr="008D660F">
        <w:t>iodide of the corner-sharing PbI</w:t>
      </w:r>
      <w:r w:rsidRPr="00711078">
        <w:rPr>
          <w:vertAlign w:val="subscript"/>
        </w:rPr>
        <w:t>6</w:t>
      </w:r>
      <w:r w:rsidRPr="008D660F">
        <w:t xml:space="preserve"> octahedra, and </w:t>
      </w:r>
      <w:r>
        <w:t>the</w:t>
      </w:r>
      <w:r w:rsidRPr="008D660F">
        <w:t xml:space="preserve"> lower one is from the nonbonding iodide in the vertical direction.</w:t>
      </w:r>
      <w:r w:rsidRPr="008D660F">
        <w:fldChar w:fldCharType="begin"/>
      </w:r>
      <w:r w:rsidR="006D2BEF">
        <w:instrText xml:space="preserve"> ADDIN EN.CITE &lt;EndNote&gt;&lt;Cite&gt;&lt;Author&gt;Jeong&lt;/Author&gt;&lt;Year&gt;2021&lt;/Year&gt;&lt;RecNum&gt;249&lt;/RecNum&gt;&lt;DisplayText&gt;&lt;style face="superscript"&gt;12&lt;/style&gt;&lt;/DisplayText&gt;&lt;record&gt;&lt;rec-number&gt;249&lt;/rec-number&gt;&lt;foreign-keys&gt;&lt;key app="EN" db-id="90dwdfr94fapdvepa9hpwd9fpwr0t0zfrxt2" timestamp="1644217864"&gt;249&lt;/key&gt;&lt;/foreign-keys&gt;&lt;ref-type name="Journal Article"&gt;17&lt;/ref-type&gt;&lt;contributors&gt;&lt;authors&gt;&lt;author&gt;Jeong, Seonghwa&lt;/author&gt;&lt;author&gt;Seo, Seongrok&lt;/author&gt;&lt;author&gt;Yang, Hyunwoo&lt;/author&gt;&lt;author&gt;Park, Hyoungmin&lt;/author&gt;&lt;author&gt;Shin, Sooeun&lt;/author&gt;&lt;author&gt;Ahn, Hyungju&lt;/author&gt;&lt;author&gt;Lee, Donghwa&lt;/author&gt;&lt;author&gt;Park, Jong Hyeok&lt;/author&gt;&lt;author&gt;Park, Nam-Gyu&lt;/author&gt;&lt;author&gt;Shin, Hyunjung&lt;/author&gt;&lt;/authors&gt;&lt;/contributors&gt;&lt;titles&gt;&lt;title&gt;Cyclohexylammonium-Based 2D/3D Perovskite Heterojunction with Funnel-Like Energy Band Alignment for Efficient Solar Cells (23.91%)&lt;/title&gt;&lt;secondary-title&gt;Advanced Energy Materials&lt;/secondary-title&gt;&lt;/titles&gt;&lt;periodical&gt;&lt;full-title&gt;Advanced Energy Materials&lt;/full-title&gt;&lt;abbr-1&gt;Adv. Energy Mater.&lt;/abbr-1&gt;&lt;/periodical&gt;&lt;pages&gt;2102236&lt;/pages&gt;&lt;volume&gt;11&lt;/volume&gt;&lt;number&gt;42&lt;/number&gt;&lt;keywords&gt;&lt;keyword&gt;cyclohexylammonium iodide&lt;/keyword&gt;&lt;keyword&gt;cyclohexylmethylammonium iodide&lt;/keyword&gt;&lt;keyword&gt;high efficiency&lt;/keyword&gt;&lt;keyword&gt;perovskite solar cells&lt;/keyword&gt;&lt;/keywords&gt;&lt;dates&gt;&lt;year&gt;2021&lt;/year&gt;&lt;pub-dates&gt;&lt;date&gt;2021/11/01&lt;/date&gt;&lt;/pub-dates&gt;&lt;/dates&gt;&lt;publisher&gt;John Wiley &amp;amp; Sons, Ltd&lt;/publisher&gt;&lt;isbn&gt;1614-6832&lt;/isbn&gt;&lt;work-type&gt;https://doi.org/10.1002/aenm.202102236&lt;/work-type&gt;&lt;urls&gt;&lt;related-urls&gt;&lt;url&gt;https://doi.org/10.1002/aenm.202102236&lt;/url&gt;&lt;/related-urls&gt;&lt;/urls&gt;&lt;electronic-resource-num&gt;https://doi.org/10.1002/aenm.202102236&lt;/electronic-resource-num&gt;&lt;access-date&gt;2022/02/06&lt;/access-date&gt;&lt;/record&gt;&lt;/Cite&gt;&lt;/EndNote&gt;</w:instrText>
      </w:r>
      <w:r w:rsidRPr="008D660F">
        <w:fldChar w:fldCharType="separate"/>
      </w:r>
      <w:r w:rsidR="006D2BEF" w:rsidRPr="006D2BEF">
        <w:rPr>
          <w:noProof/>
          <w:vertAlign w:val="superscript"/>
        </w:rPr>
        <w:t>12</w:t>
      </w:r>
      <w:r w:rsidRPr="008D660F">
        <w:fldChar w:fldCharType="end"/>
      </w:r>
      <w:r w:rsidRPr="008D660F">
        <w:t xml:space="preserve"> </w:t>
      </w:r>
      <w:r>
        <w:t xml:space="preserve">The similar conclusions </w:t>
      </w:r>
      <w:r w:rsidRPr="008D660F">
        <w:t xml:space="preserve">can be observed for </w:t>
      </w:r>
      <w:r>
        <w:t xml:space="preserve">the </w:t>
      </w:r>
      <w:r w:rsidRPr="008D660F">
        <w:t xml:space="preserve">I 3d peaks in </w:t>
      </w:r>
      <w:r>
        <w:t>Fig. S5c</w:t>
      </w:r>
      <w:r w:rsidR="00DF2D23">
        <w:t>,</w:t>
      </w:r>
      <w:r>
        <w:t xml:space="preserve"> which shift from</w:t>
      </w:r>
      <w:r w:rsidRPr="008D660F">
        <w:t xml:space="preserve"> 630.80</w:t>
      </w:r>
      <w:r>
        <w:t xml:space="preserve"> (</w:t>
      </w:r>
      <w:r w:rsidRPr="008D660F">
        <w:t>I 3d</w:t>
      </w:r>
      <w:r w:rsidRPr="00711078">
        <w:rPr>
          <w:vertAlign w:val="subscript"/>
        </w:rPr>
        <w:t>5/2</w:t>
      </w:r>
      <w:r>
        <w:t>)/</w:t>
      </w:r>
      <w:r w:rsidRPr="008D660F">
        <w:t>619.30</w:t>
      </w:r>
      <w:r>
        <w:t xml:space="preserve"> (</w:t>
      </w:r>
      <w:r w:rsidRPr="008D660F">
        <w:t>I 3d</w:t>
      </w:r>
      <w:r>
        <w:rPr>
          <w:vertAlign w:val="subscript"/>
        </w:rPr>
        <w:t>3</w:t>
      </w:r>
      <w:r w:rsidRPr="00711078">
        <w:rPr>
          <w:vertAlign w:val="subscript"/>
        </w:rPr>
        <w:t>/2</w:t>
      </w:r>
      <w:r>
        <w:t>)</w:t>
      </w:r>
      <w:r w:rsidRPr="008D660F">
        <w:t xml:space="preserve"> eV for</w:t>
      </w:r>
      <w:r>
        <w:t xml:space="preserve"> 3D perovskite</w:t>
      </w:r>
      <w:r w:rsidRPr="008D660F">
        <w:t xml:space="preserve"> to 630.55</w:t>
      </w:r>
      <w:r>
        <w:t xml:space="preserve"> (</w:t>
      </w:r>
      <w:r w:rsidRPr="008D660F">
        <w:t>I 3d</w:t>
      </w:r>
      <w:r w:rsidRPr="00711078">
        <w:rPr>
          <w:vertAlign w:val="subscript"/>
        </w:rPr>
        <w:t>5/2</w:t>
      </w:r>
      <w:r>
        <w:t>)/</w:t>
      </w:r>
      <w:r w:rsidRPr="008D660F">
        <w:t>619.05</w:t>
      </w:r>
      <w:r w:rsidRPr="00A33450">
        <w:t xml:space="preserve"> </w:t>
      </w:r>
      <w:r>
        <w:t>(</w:t>
      </w:r>
      <w:r w:rsidRPr="008D660F">
        <w:t>I 3d</w:t>
      </w:r>
      <w:r>
        <w:rPr>
          <w:vertAlign w:val="subscript"/>
        </w:rPr>
        <w:t>3</w:t>
      </w:r>
      <w:r w:rsidRPr="00711078">
        <w:rPr>
          <w:vertAlign w:val="subscript"/>
        </w:rPr>
        <w:t>/2</w:t>
      </w:r>
      <w:r>
        <w:t>)</w:t>
      </w:r>
      <w:r w:rsidRPr="008D660F">
        <w:t xml:space="preserve"> eV for </w:t>
      </w:r>
      <w:r>
        <w:t xml:space="preserve"> BABr and BAI cases</w:t>
      </w:r>
      <w:r w:rsidRPr="008D660F">
        <w:t xml:space="preserve">. These results </w:t>
      </w:r>
      <w:r>
        <w:t>suggest</w:t>
      </w:r>
      <w:r w:rsidRPr="008D660F">
        <w:t xml:space="preserve"> that the </w:t>
      </w:r>
      <w:r>
        <w:t xml:space="preserve">presence of </w:t>
      </w:r>
      <w:r w:rsidRPr="008D660F">
        <w:t xml:space="preserve">BABr and BAI </w:t>
      </w:r>
      <w:r>
        <w:t>would</w:t>
      </w:r>
      <w:r w:rsidRPr="008D660F">
        <w:t xml:space="preserve"> stretch the PbI</w:t>
      </w:r>
      <w:r w:rsidRPr="00711078">
        <w:rPr>
          <w:vertAlign w:val="subscript"/>
        </w:rPr>
        <w:t>6</w:t>
      </w:r>
      <w:r w:rsidRPr="008D660F">
        <w:t xml:space="preserve"> octahedra during the phase transformation of 2D perovskite, in good agreement with the previous </w:t>
      </w:r>
      <w:r>
        <w:t>report</w:t>
      </w:r>
      <w:r w:rsidRPr="008D660F">
        <w:t>s.</w:t>
      </w:r>
      <w:r w:rsidRPr="008D660F">
        <w:fldChar w:fldCharType="begin"/>
      </w:r>
      <w:r w:rsidR="006D2BEF">
        <w:instrText xml:space="preserve"> ADDIN EN.CITE &lt;EndNote&gt;&lt;Cite&gt;&lt;Author&gt;Jeong&lt;/Author&gt;&lt;Year&gt;2021&lt;/Year&gt;&lt;RecNum&gt;249&lt;/RecNum&gt;&lt;DisplayText&gt;&lt;style face="superscript"&gt;12&lt;/style&gt;&lt;/DisplayText&gt;&lt;record&gt;&lt;rec-number&gt;249&lt;/rec-number&gt;&lt;foreign-keys&gt;&lt;key app="EN" db-id="90dwdfr94fapdvepa9hpwd9fpwr0t0zfrxt2" timestamp="1644217864"&gt;249&lt;/key&gt;&lt;/foreign-keys&gt;&lt;ref-type name="Journal Article"&gt;17&lt;/ref-type&gt;&lt;contributors&gt;&lt;authors&gt;&lt;author&gt;Jeong, Seonghwa&lt;/author&gt;&lt;author&gt;Seo, Seongrok&lt;/author&gt;&lt;author&gt;Yang, Hyunwoo&lt;/author&gt;&lt;author&gt;Park, Hyoungmin&lt;/author&gt;&lt;author&gt;Shin, Sooeun&lt;/author&gt;&lt;author&gt;Ahn, Hyungju&lt;/author&gt;&lt;author&gt;Lee, Donghwa&lt;/author&gt;&lt;author&gt;Park, Jong Hyeok&lt;/author&gt;&lt;author&gt;Park, Nam-Gyu&lt;/author&gt;&lt;author&gt;Shin, Hyunjung&lt;/author&gt;&lt;/authors&gt;&lt;/contributors&gt;&lt;titles&gt;&lt;title&gt;Cyclohexylammonium-Based 2D/3D Perovskite Heterojunction with Funnel-Like Energy Band Alignment for Efficient Solar Cells (23.91%)&lt;/title&gt;&lt;secondary-title&gt;Advanced Energy Materials&lt;/secondary-title&gt;&lt;/titles&gt;&lt;periodical&gt;&lt;full-title&gt;Advanced Energy Materials&lt;/full-title&gt;&lt;abbr-1&gt;Adv. Energy Mater.&lt;/abbr-1&gt;&lt;/periodical&gt;&lt;pages&gt;2102236&lt;/pages&gt;&lt;volume&gt;11&lt;/volume&gt;&lt;number&gt;42&lt;/number&gt;&lt;keywords&gt;&lt;keyword&gt;cyclohexylammonium iodide&lt;/keyword&gt;&lt;keyword&gt;cyclohexylmethylammonium iodide&lt;/keyword&gt;&lt;keyword&gt;high efficiency&lt;/keyword&gt;&lt;keyword&gt;perovskite solar cells&lt;/keyword&gt;&lt;/keywords&gt;&lt;dates&gt;&lt;year&gt;2021&lt;/year&gt;&lt;pub-dates&gt;&lt;date&gt;2021/11/01&lt;/date&gt;&lt;/pub-dates&gt;&lt;/dates&gt;&lt;publisher&gt;John Wiley &amp;amp; Sons, Ltd&lt;/publisher&gt;&lt;isbn&gt;1614-6832&lt;/isbn&gt;&lt;work-type&gt;https://doi.org/10.1002/aenm.202102236&lt;/work-type&gt;&lt;urls&gt;&lt;related-urls&gt;&lt;url&gt;https://doi.org/10.1002/aenm.202102236&lt;/url&gt;&lt;/related-urls&gt;&lt;/urls&gt;&lt;electronic-resource-num&gt;https://doi.org/10.1002/aenm.202102236&lt;/electronic-resource-num&gt;&lt;access-date&gt;2022/02/06&lt;/access-date&gt;&lt;/record&gt;&lt;/Cite&gt;&lt;/EndNote&gt;</w:instrText>
      </w:r>
      <w:r w:rsidRPr="008D660F">
        <w:fldChar w:fldCharType="separate"/>
      </w:r>
      <w:r w:rsidR="006D2BEF" w:rsidRPr="006D2BEF">
        <w:rPr>
          <w:noProof/>
          <w:vertAlign w:val="superscript"/>
        </w:rPr>
        <w:t>12</w:t>
      </w:r>
      <w:r w:rsidRPr="008D660F">
        <w:fldChar w:fldCharType="end"/>
      </w:r>
      <w:r w:rsidRPr="008D660F">
        <w:t xml:space="preserve"> Additionally, </w:t>
      </w:r>
      <w:r>
        <w:t xml:space="preserve">the </w:t>
      </w:r>
      <w:r w:rsidRPr="008D660F">
        <w:t xml:space="preserve">Br 3d </w:t>
      </w:r>
      <w:r>
        <w:t xml:space="preserve">signals plotted </w:t>
      </w:r>
      <w:r w:rsidRPr="008D660F">
        <w:t xml:space="preserve">in </w:t>
      </w:r>
      <w:r>
        <w:t xml:space="preserve">Fig. S5b show that only </w:t>
      </w:r>
      <w:proofErr w:type="spellStart"/>
      <w:r>
        <w:rPr>
          <w:rFonts w:hint="eastAsia"/>
        </w:rPr>
        <w:t>BA</w:t>
      </w:r>
      <w:r>
        <w:t>Br</w:t>
      </w:r>
      <w:proofErr w:type="spellEnd"/>
      <w:r>
        <w:t xml:space="preserve"> sample </w:t>
      </w:r>
      <w:r w:rsidR="00DF2D23">
        <w:t>appears</w:t>
      </w:r>
      <w:r>
        <w:t xml:space="preserve"> the obvious feature peaks, which </w:t>
      </w:r>
      <w:r w:rsidR="00DF2D23">
        <w:t>suggests</w:t>
      </w:r>
      <w:r>
        <w:t xml:space="preserve"> that these Br ions </w:t>
      </w:r>
      <w:r w:rsidRPr="008D660F">
        <w:t>existing on the surface of 2D/3D perovskite</w:t>
      </w:r>
      <w:r>
        <w:t xml:space="preserve"> was</w:t>
      </w:r>
      <w:r w:rsidRPr="008D660F">
        <w:t xml:space="preserve"> introduced by BABr precursor during post</w:t>
      </w:r>
      <w:r w:rsidR="00B34562">
        <w:t>-</w:t>
      </w:r>
      <w:r w:rsidRPr="008D660F">
        <w:t>treatment.</w:t>
      </w:r>
    </w:p>
    <w:p w14:paraId="2BDFF564" w14:textId="77777777" w:rsidR="00380151" w:rsidRPr="00994276" w:rsidRDefault="00380151" w:rsidP="00DF5D00">
      <w:pPr>
        <w:spacing w:before="120" w:line="360" w:lineRule="auto"/>
        <w:jc w:val="both"/>
        <w:rPr>
          <w:b/>
          <w:sz w:val="28"/>
        </w:rPr>
      </w:pPr>
    </w:p>
    <w:p w14:paraId="49D5C2C9" w14:textId="77777777" w:rsidR="00380151" w:rsidRPr="00994276" w:rsidRDefault="00380151" w:rsidP="00DF5D00">
      <w:pPr>
        <w:spacing w:before="120" w:line="360" w:lineRule="auto"/>
        <w:jc w:val="both"/>
        <w:rPr>
          <w:rFonts w:eastAsia="Arial Unicode MS"/>
          <w:bCs/>
          <w:noProof/>
          <w:color w:val="000000" w:themeColor="text1"/>
          <w:kern w:val="24"/>
          <w:sz w:val="16"/>
          <w:szCs w:val="16"/>
        </w:rPr>
      </w:pPr>
    </w:p>
    <w:p w14:paraId="289E8179" w14:textId="77777777" w:rsidR="00380151" w:rsidRDefault="00380151" w:rsidP="00DF5D00">
      <w:pPr>
        <w:spacing w:before="120" w:line="360" w:lineRule="auto"/>
        <w:jc w:val="center"/>
        <w:rPr>
          <w:rFonts w:eastAsia="SimSun"/>
          <w:b/>
          <w:bCs/>
          <w:szCs w:val="21"/>
        </w:rPr>
      </w:pPr>
      <w:r>
        <w:rPr>
          <w:rFonts w:eastAsia="SimSun" w:hint="eastAsia"/>
          <w:b/>
          <w:bCs/>
          <w:noProof/>
          <w:szCs w:val="21"/>
        </w:rPr>
        <w:lastRenderedPageBreak/>
        <w:drawing>
          <wp:inline distT="0" distB="0" distL="0" distR="0" wp14:anchorId="3F279C5A" wp14:editId="6DA5F8DE">
            <wp:extent cx="4798761" cy="5001904"/>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0975" cy="5004211"/>
                    </a:xfrm>
                    <a:prstGeom prst="rect">
                      <a:avLst/>
                    </a:prstGeom>
                  </pic:spPr>
                </pic:pic>
              </a:graphicData>
            </a:graphic>
          </wp:inline>
        </w:drawing>
      </w:r>
    </w:p>
    <w:p w14:paraId="63D9BA60" w14:textId="756203A0" w:rsidR="00490786" w:rsidRDefault="00380151" w:rsidP="00DF5D00">
      <w:pPr>
        <w:pStyle w:val="SMHeading"/>
        <w:spacing w:line="360" w:lineRule="auto"/>
        <w:jc w:val="both"/>
        <w:rPr>
          <w:rFonts w:eastAsia="SimSun"/>
          <w:b w:val="0"/>
          <w:bCs w:val="0"/>
          <w:kern w:val="0"/>
        </w:rPr>
      </w:pPr>
      <w:r w:rsidRPr="008325C4">
        <w:rPr>
          <w:rFonts w:hint="eastAsia"/>
        </w:rPr>
        <w:t>Fig</w:t>
      </w:r>
      <w:r w:rsidRPr="008325C4">
        <w:t>. S</w:t>
      </w:r>
      <w:r>
        <w:t>6</w:t>
      </w:r>
      <w:r w:rsidR="00B76A12">
        <w:t xml:space="preserve"> | </w:t>
      </w:r>
      <w:r w:rsidRPr="00490786">
        <w:rPr>
          <w:b w:val="0"/>
          <w:bCs w:val="0"/>
        </w:rPr>
        <w:t>2D/3</w:t>
      </w:r>
      <w:r w:rsidRPr="00490786">
        <w:rPr>
          <w:rFonts w:hint="eastAsia"/>
          <w:b w:val="0"/>
          <w:bCs w:val="0"/>
        </w:rPr>
        <w:t>D</w:t>
      </w:r>
      <w:r w:rsidRPr="00490786">
        <w:rPr>
          <w:b w:val="0"/>
          <w:bCs w:val="0"/>
        </w:rPr>
        <w:t xml:space="preserve"> </w:t>
      </w:r>
      <w:r w:rsidRPr="00490786">
        <w:rPr>
          <w:rFonts w:eastAsia="SimSun"/>
          <w:b w:val="0"/>
          <w:bCs w:val="0"/>
          <w:kern w:val="0"/>
        </w:rPr>
        <w:t>surface topography images from the KPFM measurements for the (a/b) Control, (</w:t>
      </w:r>
      <w:r w:rsidRPr="00490786">
        <w:rPr>
          <w:rFonts w:eastAsia="SimSun" w:hint="eastAsia"/>
          <w:b w:val="0"/>
          <w:bCs w:val="0"/>
          <w:kern w:val="0"/>
        </w:rPr>
        <w:t>c</w:t>
      </w:r>
      <w:r w:rsidRPr="00490786">
        <w:rPr>
          <w:rFonts w:eastAsia="SimSun"/>
          <w:b w:val="0"/>
          <w:bCs w:val="0"/>
          <w:kern w:val="0"/>
        </w:rPr>
        <w:t xml:space="preserve">/d) BABr, (e/f) BAI samples. </w:t>
      </w:r>
      <w:bookmarkStart w:id="6" w:name="OLE_LINK34"/>
      <w:r w:rsidRPr="00490786">
        <w:rPr>
          <w:rFonts w:eastAsia="SimSun"/>
          <w:b w:val="0"/>
          <w:bCs w:val="0"/>
          <w:kern w:val="0"/>
        </w:rPr>
        <w:t>To ensure the results are reliable</w:t>
      </w:r>
      <w:bookmarkEnd w:id="6"/>
      <w:r w:rsidRPr="00490786">
        <w:rPr>
          <w:rFonts w:eastAsia="SimSun"/>
          <w:b w:val="0"/>
          <w:bCs w:val="0"/>
          <w:kern w:val="0"/>
        </w:rPr>
        <w:t xml:space="preserve">, the structure used for this measurement, </w:t>
      </w:r>
      <w:r w:rsidRPr="00490786">
        <w:rPr>
          <w:rFonts w:eastAsia="SimSun"/>
          <w:b w:val="0"/>
          <w:bCs w:val="0"/>
          <w:i/>
          <w:iCs/>
          <w:kern w:val="0"/>
        </w:rPr>
        <w:t>i.e.</w:t>
      </w:r>
      <w:r w:rsidRPr="00490786">
        <w:rPr>
          <w:rFonts w:eastAsia="SimSun"/>
          <w:b w:val="0"/>
          <w:bCs w:val="0"/>
          <w:kern w:val="0"/>
        </w:rPr>
        <w:t>, 2D/3D perovskite/ETL/FTO, is consistent with that of the PSC. T</w:t>
      </w:r>
      <w:r w:rsidRPr="00490786">
        <w:rPr>
          <w:rFonts w:eastAsia="SimSun" w:hint="eastAsia"/>
          <w:b w:val="0"/>
          <w:bCs w:val="0"/>
          <w:kern w:val="0"/>
        </w:rPr>
        <w:t>he</w:t>
      </w:r>
      <w:r w:rsidRPr="00490786">
        <w:rPr>
          <w:rFonts w:eastAsia="SimSun"/>
          <w:b w:val="0"/>
          <w:bCs w:val="0"/>
          <w:kern w:val="0"/>
        </w:rPr>
        <w:t xml:space="preserve"> arithmetic average deviations of height signals </w:t>
      </w:r>
      <w:r w:rsidRPr="00490786">
        <w:rPr>
          <w:rFonts w:eastAsia="SimSun"/>
          <w:b w:val="0"/>
          <w:bCs w:val="0"/>
          <w:i/>
          <w:iCs/>
          <w:kern w:val="0"/>
        </w:rPr>
        <w:t>R</w:t>
      </w:r>
      <w:r w:rsidRPr="00490786">
        <w:rPr>
          <w:rFonts w:eastAsia="SimSun"/>
          <w:b w:val="0"/>
          <w:bCs w:val="0"/>
          <w:kern w:val="0"/>
          <w:vertAlign w:val="subscript"/>
        </w:rPr>
        <w:t>a</w:t>
      </w:r>
      <w:r w:rsidRPr="00490786">
        <w:rPr>
          <w:rFonts w:eastAsia="SimSun"/>
          <w:b w:val="0"/>
          <w:bCs w:val="0"/>
          <w:kern w:val="0"/>
        </w:rPr>
        <w:t xml:space="preserve"> are similar for the three types of samples, which are 15.5, 15.8, and 11.2 nm for Control, BABr, and BAI cases, respectively. Moreover, the polycrystal features inherent to 3D perovskite can still be observed from these topography images for the cases with 2D perovskite</w:t>
      </w:r>
      <w:r w:rsidRPr="00490786">
        <w:rPr>
          <w:rFonts w:eastAsia="SimSun" w:hint="eastAsia"/>
          <w:b w:val="0"/>
          <w:bCs w:val="0"/>
          <w:kern w:val="0"/>
        </w:rPr>
        <w:t>,</w:t>
      </w:r>
      <w:r w:rsidRPr="00490786">
        <w:rPr>
          <w:rFonts w:eastAsia="SimSun"/>
          <w:b w:val="0"/>
          <w:bCs w:val="0"/>
          <w:kern w:val="0"/>
        </w:rPr>
        <w:t xml:space="preserve"> indicating a good coverage of 2D perovskite upon the 3D perovskite, in line with the SEM results in Fig. S2.</w:t>
      </w:r>
    </w:p>
    <w:p w14:paraId="10BFBC07" w14:textId="77777777" w:rsidR="00490786" w:rsidRDefault="00490786" w:rsidP="00DF5D00">
      <w:pPr>
        <w:spacing w:line="360" w:lineRule="auto"/>
        <w:rPr>
          <w:rFonts w:eastAsia="SimSun"/>
          <w:szCs w:val="24"/>
        </w:rPr>
      </w:pPr>
      <w:r>
        <w:rPr>
          <w:rFonts w:eastAsia="SimSun"/>
          <w:b/>
          <w:bCs/>
        </w:rPr>
        <w:br w:type="page"/>
      </w:r>
    </w:p>
    <w:p w14:paraId="32CFD04A" w14:textId="77777777" w:rsidR="00380151" w:rsidRDefault="00380151" w:rsidP="00DF5D00">
      <w:pPr>
        <w:spacing w:before="120" w:line="360" w:lineRule="auto"/>
        <w:jc w:val="both"/>
        <w:rPr>
          <w:rFonts w:eastAsia="SimSun"/>
          <w:szCs w:val="21"/>
        </w:rPr>
      </w:pPr>
      <w:r>
        <w:rPr>
          <w:rFonts w:eastAsia="SimSun"/>
          <w:noProof/>
          <w:szCs w:val="21"/>
        </w:rPr>
        <w:lastRenderedPageBreak/>
        <w:drawing>
          <wp:inline distT="0" distB="0" distL="0" distR="0" wp14:anchorId="13494421" wp14:editId="7CC7539E">
            <wp:extent cx="6120130" cy="465137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13"/>
                    <a:stretch>
                      <a:fillRect/>
                    </a:stretch>
                  </pic:blipFill>
                  <pic:spPr>
                    <a:xfrm>
                      <a:off x="0" y="0"/>
                      <a:ext cx="6120130" cy="4651375"/>
                    </a:xfrm>
                    <a:prstGeom prst="rect">
                      <a:avLst/>
                    </a:prstGeom>
                  </pic:spPr>
                </pic:pic>
              </a:graphicData>
            </a:graphic>
          </wp:inline>
        </w:drawing>
      </w:r>
    </w:p>
    <w:p w14:paraId="6976716F" w14:textId="23D7DAF0" w:rsidR="00380151" w:rsidRPr="00497265" w:rsidRDefault="00380151" w:rsidP="00DF5D00">
      <w:pPr>
        <w:pStyle w:val="SMHeading"/>
        <w:spacing w:line="360" w:lineRule="auto"/>
      </w:pPr>
      <w:r w:rsidRPr="008325C4">
        <w:rPr>
          <w:rFonts w:hint="eastAsia"/>
        </w:rPr>
        <w:t>Fig</w:t>
      </w:r>
      <w:r w:rsidRPr="008325C4">
        <w:t>. S</w:t>
      </w:r>
      <w:r>
        <w:t>7</w:t>
      </w:r>
      <w:r w:rsidR="00B76A12">
        <w:t xml:space="preserve"> | </w:t>
      </w:r>
      <w:r w:rsidRPr="002A417A">
        <w:rPr>
          <w:b w:val="0"/>
          <w:bCs w:val="0"/>
        </w:rPr>
        <w:t xml:space="preserve">UPS spectra for the (a) Control, (c) BABr, (d) BAI samples. UPS measurements </w:t>
      </w:r>
      <w:r w:rsidRPr="002A417A">
        <w:rPr>
          <w:rFonts w:hint="eastAsia"/>
          <w:b w:val="0"/>
          <w:bCs w:val="0"/>
        </w:rPr>
        <w:t>f</w:t>
      </w:r>
      <w:r w:rsidRPr="002A417A">
        <w:rPr>
          <w:b w:val="0"/>
          <w:bCs w:val="0"/>
        </w:rPr>
        <w:t xml:space="preserve">or the three related cases </w:t>
      </w:r>
      <w:r w:rsidRPr="002A417A">
        <w:rPr>
          <w:rFonts w:hint="eastAsia"/>
          <w:b w:val="0"/>
          <w:bCs w:val="0"/>
        </w:rPr>
        <w:t>are</w:t>
      </w:r>
      <w:r w:rsidRPr="002A417A">
        <w:rPr>
          <w:b w:val="0"/>
          <w:bCs w:val="0"/>
        </w:rPr>
        <w:t xml:space="preserve"> conducted under a bias voltage of 10 V.</w:t>
      </w:r>
    </w:p>
    <w:p w14:paraId="7FEAA542" w14:textId="77777777" w:rsidR="00380151" w:rsidRDefault="00380151" w:rsidP="00DF5D00">
      <w:pPr>
        <w:spacing w:before="120" w:line="360" w:lineRule="auto"/>
        <w:jc w:val="both"/>
        <w:rPr>
          <w:bCs/>
          <w:szCs w:val="24"/>
        </w:rPr>
      </w:pPr>
      <w:r>
        <w:rPr>
          <w:bCs/>
          <w:szCs w:val="24"/>
        </w:rPr>
        <w:br w:type="page"/>
      </w:r>
    </w:p>
    <w:p w14:paraId="67D2D16E" w14:textId="77777777" w:rsidR="00380151" w:rsidRDefault="00380151" w:rsidP="00DF5D00">
      <w:pPr>
        <w:spacing w:before="120" w:line="360" w:lineRule="auto"/>
        <w:jc w:val="both"/>
        <w:rPr>
          <w:b/>
          <w:szCs w:val="24"/>
        </w:rPr>
      </w:pPr>
      <w:r>
        <w:rPr>
          <w:b/>
          <w:noProof/>
          <w:szCs w:val="24"/>
        </w:rPr>
        <w:lastRenderedPageBreak/>
        <w:drawing>
          <wp:inline distT="0" distB="0" distL="0" distR="0" wp14:anchorId="05DFC5FE" wp14:editId="74BB62D5">
            <wp:extent cx="5398019" cy="366675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4"/>
                    <a:stretch>
                      <a:fillRect/>
                    </a:stretch>
                  </pic:blipFill>
                  <pic:spPr>
                    <a:xfrm>
                      <a:off x="0" y="0"/>
                      <a:ext cx="5398019" cy="3666751"/>
                    </a:xfrm>
                    <a:prstGeom prst="rect">
                      <a:avLst/>
                    </a:prstGeom>
                  </pic:spPr>
                </pic:pic>
              </a:graphicData>
            </a:graphic>
          </wp:inline>
        </w:drawing>
      </w:r>
    </w:p>
    <w:p w14:paraId="1DB95DED" w14:textId="5D79FCCF" w:rsidR="00380151" w:rsidRDefault="00380151" w:rsidP="00DF5D00">
      <w:pPr>
        <w:pStyle w:val="SMHeading"/>
        <w:spacing w:line="360" w:lineRule="auto"/>
      </w:pPr>
      <w:r w:rsidRPr="008325C4">
        <w:rPr>
          <w:rFonts w:hint="eastAsia"/>
        </w:rPr>
        <w:t>Fig</w:t>
      </w:r>
      <w:r w:rsidRPr="008325C4">
        <w:t>. S</w:t>
      </w:r>
      <w:r>
        <w:t>8</w:t>
      </w:r>
      <w:r w:rsidR="00B76A12">
        <w:t xml:space="preserve"> | </w:t>
      </w:r>
      <w:r w:rsidRPr="002A417A">
        <w:rPr>
          <w:b w:val="0"/>
          <w:bCs w:val="0"/>
        </w:rPr>
        <w:t xml:space="preserve">Energy structure of PSCs by UPS measurements.  </w:t>
      </w:r>
    </w:p>
    <w:p w14:paraId="6B551554" w14:textId="77777777" w:rsidR="00380151" w:rsidRPr="00E107C8" w:rsidRDefault="00380151" w:rsidP="00DF5D00">
      <w:pPr>
        <w:spacing w:before="120" w:line="360" w:lineRule="auto"/>
        <w:jc w:val="both"/>
        <w:rPr>
          <w:b/>
          <w:szCs w:val="24"/>
        </w:rPr>
      </w:pPr>
    </w:p>
    <w:p w14:paraId="3A201540" w14:textId="77777777" w:rsidR="00380151" w:rsidRDefault="00380151" w:rsidP="00DF5D00">
      <w:pPr>
        <w:spacing w:before="120" w:line="360" w:lineRule="auto"/>
        <w:jc w:val="both"/>
        <w:rPr>
          <w:rFonts w:eastAsia="SimSun"/>
          <w:szCs w:val="24"/>
        </w:rPr>
      </w:pPr>
      <w:r>
        <w:br w:type="page"/>
      </w:r>
    </w:p>
    <w:p w14:paraId="7BDC1B14" w14:textId="77777777" w:rsidR="00380151" w:rsidRDefault="00380151" w:rsidP="00DF5D00">
      <w:pPr>
        <w:spacing w:before="120" w:line="360" w:lineRule="auto"/>
        <w:jc w:val="both"/>
        <w:rPr>
          <w:rFonts w:eastAsia="SimSun"/>
          <w:szCs w:val="21"/>
        </w:rPr>
      </w:pPr>
      <w:r>
        <w:rPr>
          <w:rFonts w:eastAsia="SimSun"/>
          <w:noProof/>
          <w:szCs w:val="21"/>
        </w:rPr>
        <w:lastRenderedPageBreak/>
        <w:drawing>
          <wp:inline distT="0" distB="0" distL="0" distR="0" wp14:anchorId="53CB831C" wp14:editId="41719B38">
            <wp:extent cx="5618989" cy="4684395"/>
            <wp:effectExtent l="0" t="0" r="127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5"/>
                    <a:stretch>
                      <a:fillRect/>
                    </a:stretch>
                  </pic:blipFill>
                  <pic:spPr>
                    <a:xfrm>
                      <a:off x="0" y="0"/>
                      <a:ext cx="5618989" cy="4684395"/>
                    </a:xfrm>
                    <a:prstGeom prst="rect">
                      <a:avLst/>
                    </a:prstGeom>
                  </pic:spPr>
                </pic:pic>
              </a:graphicData>
            </a:graphic>
          </wp:inline>
        </w:drawing>
      </w:r>
    </w:p>
    <w:p w14:paraId="4607BE82" w14:textId="5CBA2CF6" w:rsidR="00380151" w:rsidRDefault="00380151" w:rsidP="00DF5D00">
      <w:pPr>
        <w:pStyle w:val="SMHeading"/>
        <w:spacing w:line="360" w:lineRule="auto"/>
        <w:jc w:val="both"/>
      </w:pPr>
      <w:r w:rsidRPr="00E6120A">
        <w:rPr>
          <w:rFonts w:hint="eastAsia"/>
        </w:rPr>
        <w:t>Fig</w:t>
      </w:r>
      <w:r w:rsidRPr="00E6120A">
        <w:t>. S</w:t>
      </w:r>
      <w:r>
        <w:t>9</w:t>
      </w:r>
      <w:r w:rsidR="00B76A12">
        <w:t xml:space="preserve"> | </w:t>
      </w:r>
      <w:r w:rsidRPr="002A417A">
        <w:rPr>
          <w:b w:val="0"/>
          <w:bCs w:val="0"/>
        </w:rPr>
        <w:t xml:space="preserve">Evaluation of defect densities. Dark </w:t>
      </w:r>
      <w:r w:rsidRPr="002A417A">
        <w:rPr>
          <w:b w:val="0"/>
          <w:bCs w:val="0"/>
          <w:i/>
          <w:iCs/>
        </w:rPr>
        <w:t xml:space="preserve">I–V </w:t>
      </w:r>
      <w:r w:rsidRPr="002A417A">
        <w:rPr>
          <w:b w:val="0"/>
          <w:bCs w:val="0"/>
        </w:rPr>
        <w:t xml:space="preserve">curves of </w:t>
      </w:r>
      <w:r w:rsidRPr="002A417A">
        <w:rPr>
          <w:rFonts w:eastAsia="Arial Unicode MS"/>
          <w:b w:val="0"/>
          <w:bCs w:val="0"/>
          <w:color w:val="000000" w:themeColor="text1"/>
          <w:kern w:val="24"/>
        </w:rPr>
        <w:t>space</w:t>
      </w:r>
      <w:r w:rsidR="00B34562">
        <w:rPr>
          <w:rFonts w:eastAsia="Arial Unicode MS"/>
          <w:b w:val="0"/>
          <w:bCs w:val="0"/>
          <w:color w:val="000000" w:themeColor="text1"/>
          <w:kern w:val="24"/>
        </w:rPr>
        <w:t>-</w:t>
      </w:r>
      <w:r w:rsidRPr="002A417A">
        <w:rPr>
          <w:rFonts w:eastAsia="Arial Unicode MS"/>
          <w:b w:val="0"/>
          <w:bCs w:val="0"/>
          <w:color w:val="000000" w:themeColor="text1"/>
          <w:kern w:val="24"/>
        </w:rPr>
        <w:t>charge</w:t>
      </w:r>
      <w:r w:rsidR="00B34562">
        <w:rPr>
          <w:rFonts w:eastAsia="Arial Unicode MS"/>
          <w:b w:val="0"/>
          <w:bCs w:val="0"/>
          <w:color w:val="000000" w:themeColor="text1"/>
          <w:kern w:val="24"/>
        </w:rPr>
        <w:t>-</w:t>
      </w:r>
      <w:r w:rsidRPr="002A417A">
        <w:rPr>
          <w:rFonts w:eastAsia="Arial Unicode MS"/>
          <w:b w:val="0"/>
          <w:bCs w:val="0"/>
          <w:color w:val="000000" w:themeColor="text1"/>
          <w:kern w:val="24"/>
        </w:rPr>
        <w:t>limited current</w:t>
      </w:r>
      <w:r w:rsidRPr="002A417A">
        <w:rPr>
          <w:b w:val="0"/>
          <w:bCs w:val="0"/>
        </w:rPr>
        <w:t xml:space="preserve"> (SCLC) measurements for the ETL-only devices. </w:t>
      </w:r>
    </w:p>
    <w:p w14:paraId="58D4CA7F" w14:textId="77777777" w:rsidR="002A417A" w:rsidRDefault="002A417A" w:rsidP="00DF5D00">
      <w:pPr>
        <w:spacing w:line="360" w:lineRule="auto"/>
        <w:rPr>
          <w:rFonts w:eastAsia="Arial Unicode MS"/>
          <w:b/>
          <w:bCs/>
          <w:color w:val="000000" w:themeColor="text1"/>
          <w:kern w:val="24"/>
          <w:szCs w:val="24"/>
        </w:rPr>
      </w:pPr>
      <w:r>
        <w:rPr>
          <w:rFonts w:eastAsia="Arial Unicode MS"/>
          <w:b/>
          <w:bCs/>
          <w:color w:val="000000" w:themeColor="text1"/>
          <w:kern w:val="24"/>
        </w:rPr>
        <w:br w:type="page"/>
      </w:r>
    </w:p>
    <w:p w14:paraId="32245EF7" w14:textId="672E7547" w:rsidR="00380151" w:rsidRPr="00DD5F49" w:rsidRDefault="00380151" w:rsidP="00DF5D00">
      <w:pPr>
        <w:pStyle w:val="SMHeading"/>
        <w:spacing w:line="360" w:lineRule="auto"/>
      </w:pPr>
      <w:r w:rsidRPr="00582B7A">
        <w:lastRenderedPageBreak/>
        <w:t xml:space="preserve">Note </w:t>
      </w:r>
      <w:r>
        <w:t>S3</w:t>
      </w:r>
      <w:r w:rsidR="00B76A12">
        <w:t xml:space="preserve"> | </w:t>
      </w:r>
      <w:r w:rsidRPr="00DD5F49">
        <w:t xml:space="preserve">Extraction of defect densities of </w:t>
      </w:r>
      <w:r>
        <w:t>perovskite films.</w:t>
      </w:r>
    </w:p>
    <w:p w14:paraId="385BE620" w14:textId="38772BB7" w:rsidR="00380151" w:rsidRPr="00417D85" w:rsidRDefault="00380151" w:rsidP="00DF5D00">
      <w:pPr>
        <w:pStyle w:val="NormalWeb"/>
        <w:spacing w:before="120" w:line="360" w:lineRule="auto"/>
        <w:jc w:val="both"/>
        <w:rPr>
          <w:rFonts w:eastAsia="Arial Unicode MS"/>
          <w:bCs/>
          <w:color w:val="000000" w:themeColor="text1"/>
          <w:kern w:val="24"/>
        </w:rPr>
      </w:pPr>
      <w:r w:rsidRPr="00417D85">
        <w:rPr>
          <w:rFonts w:eastAsia="Arial Unicode MS"/>
          <w:bCs/>
          <w:color w:val="000000" w:themeColor="text1"/>
          <w:kern w:val="24"/>
        </w:rPr>
        <w:t xml:space="preserve">To </w:t>
      </w:r>
      <w:r>
        <w:rPr>
          <w:rFonts w:eastAsia="Arial Unicode MS"/>
          <w:bCs/>
          <w:color w:val="000000" w:themeColor="text1"/>
          <w:kern w:val="24"/>
        </w:rPr>
        <w:t>extract</w:t>
      </w:r>
      <w:r w:rsidRPr="00417D85">
        <w:rPr>
          <w:rFonts w:eastAsia="Arial Unicode MS"/>
          <w:bCs/>
          <w:color w:val="000000" w:themeColor="text1"/>
          <w:kern w:val="24"/>
        </w:rPr>
        <w:t xml:space="preserve"> the trap densities (</w:t>
      </w:r>
      <w:proofErr w:type="spellStart"/>
      <w:r w:rsidRPr="00417D85">
        <w:rPr>
          <w:rFonts w:eastAsia="Arial Unicode MS"/>
          <w:bCs/>
          <w:i/>
          <w:color w:val="000000" w:themeColor="text1"/>
          <w:kern w:val="24"/>
        </w:rPr>
        <w:t>N</w:t>
      </w:r>
      <w:r w:rsidRPr="00417D85">
        <w:rPr>
          <w:rFonts w:eastAsia="Arial Unicode MS"/>
          <w:bCs/>
          <w:color w:val="000000" w:themeColor="text1"/>
          <w:kern w:val="24"/>
          <w:vertAlign w:val="subscript"/>
        </w:rPr>
        <w:t>t</w:t>
      </w:r>
      <w:proofErr w:type="spellEnd"/>
      <w:r w:rsidRPr="00417D85">
        <w:rPr>
          <w:rFonts w:eastAsia="Arial Unicode MS"/>
          <w:bCs/>
          <w:color w:val="000000" w:themeColor="text1"/>
          <w:kern w:val="24"/>
        </w:rPr>
        <w:t xml:space="preserve">) of the perovskite films, </w:t>
      </w:r>
      <w:r w:rsidRPr="00FD1954">
        <w:rPr>
          <w:bCs/>
        </w:rPr>
        <w:t>SCLC</w:t>
      </w:r>
      <w:r w:rsidRPr="00417D85">
        <w:rPr>
          <w:rFonts w:eastAsia="Arial Unicode MS"/>
          <w:bCs/>
          <w:color w:val="000000" w:themeColor="text1"/>
          <w:kern w:val="24"/>
        </w:rPr>
        <w:t xml:space="preserve"> </w:t>
      </w:r>
      <w:r>
        <w:rPr>
          <w:rFonts w:eastAsia="Arial Unicode MS"/>
          <w:bCs/>
          <w:color w:val="000000" w:themeColor="text1"/>
          <w:kern w:val="24"/>
        </w:rPr>
        <w:t xml:space="preserve">measurements were performed as shown in Fig. S9. The </w:t>
      </w:r>
      <w:r w:rsidRPr="00417D85">
        <w:rPr>
          <w:rFonts w:eastAsia="Arial Unicode MS"/>
          <w:bCs/>
          <w:color w:val="000000" w:themeColor="text1"/>
          <w:kern w:val="24"/>
        </w:rPr>
        <w:t xml:space="preserve">linear fitting of </w:t>
      </w:r>
      <w:r w:rsidRPr="00DD5618">
        <w:rPr>
          <w:rFonts w:eastAsia="Arial Unicode MS"/>
          <w:bCs/>
          <w:i/>
          <w:color w:val="000000" w:themeColor="text1"/>
          <w:kern w:val="24"/>
        </w:rPr>
        <w:t>I</w:t>
      </w:r>
      <w:r w:rsidRPr="00417D85">
        <w:rPr>
          <w:rFonts w:eastAsia="Arial Unicode MS"/>
          <w:bCs/>
          <w:color w:val="000000" w:themeColor="text1"/>
          <w:kern w:val="24"/>
        </w:rPr>
        <w:t>–</w:t>
      </w:r>
      <w:r w:rsidRPr="00417D85">
        <w:rPr>
          <w:rFonts w:eastAsia="Arial Unicode MS"/>
          <w:bCs/>
          <w:i/>
          <w:color w:val="000000" w:themeColor="text1"/>
          <w:kern w:val="24"/>
        </w:rPr>
        <w:t>V</w:t>
      </w:r>
      <w:r w:rsidRPr="00417D85">
        <w:rPr>
          <w:rFonts w:eastAsia="Arial Unicode MS"/>
          <w:bCs/>
          <w:color w:val="000000" w:themeColor="text1"/>
          <w:kern w:val="24"/>
        </w:rPr>
        <w:t xml:space="preserve"> curves</w:t>
      </w:r>
      <w:r>
        <w:rPr>
          <w:rFonts w:eastAsia="Arial Unicode MS"/>
          <w:bCs/>
          <w:color w:val="000000" w:themeColor="text1"/>
          <w:kern w:val="24"/>
        </w:rPr>
        <w:t xml:space="preserve"> of </w:t>
      </w:r>
      <w:r w:rsidRPr="00417D85">
        <w:rPr>
          <w:rFonts w:eastAsia="Arial Unicode MS"/>
          <w:bCs/>
          <w:color w:val="000000" w:themeColor="text1"/>
          <w:kern w:val="24"/>
        </w:rPr>
        <w:t xml:space="preserve">the initial linear region for Ohmic-type responses and the current injection region for trap fillings </w:t>
      </w:r>
      <w:r w:rsidR="00DF2D23">
        <w:rPr>
          <w:rFonts w:eastAsia="Arial Unicode MS"/>
          <w:bCs/>
          <w:color w:val="000000" w:themeColor="text1"/>
          <w:kern w:val="24"/>
        </w:rPr>
        <w:t>are</w:t>
      </w:r>
      <w:r w:rsidRPr="00417D85">
        <w:rPr>
          <w:rFonts w:eastAsia="Arial Unicode MS"/>
          <w:bCs/>
          <w:color w:val="000000" w:themeColor="text1"/>
          <w:kern w:val="24"/>
        </w:rPr>
        <w:t xml:space="preserve"> used to </w:t>
      </w:r>
      <w:r>
        <w:rPr>
          <w:rFonts w:eastAsia="Arial Unicode MS"/>
          <w:bCs/>
          <w:color w:val="000000" w:themeColor="text1"/>
          <w:kern w:val="24"/>
        </w:rPr>
        <w:t>obtain</w:t>
      </w:r>
      <w:r w:rsidRPr="00417D85">
        <w:rPr>
          <w:rFonts w:eastAsia="Arial Unicode MS"/>
          <w:bCs/>
          <w:color w:val="000000" w:themeColor="text1"/>
          <w:kern w:val="24"/>
        </w:rPr>
        <w:t xml:space="preserve"> the kink point within the intermediate region,</w:t>
      </w:r>
      <w:r>
        <w:rPr>
          <w:rFonts w:eastAsia="Arial Unicode MS"/>
          <w:bCs/>
          <w:color w:val="000000" w:themeColor="text1"/>
          <w:kern w:val="24"/>
        </w:rPr>
        <w:t xml:space="preserve"> which is</w:t>
      </w:r>
      <w:r w:rsidRPr="00417D85">
        <w:rPr>
          <w:rFonts w:eastAsia="Arial Unicode MS"/>
          <w:bCs/>
          <w:color w:val="000000" w:themeColor="text1"/>
          <w:kern w:val="24"/>
        </w:rPr>
        <w:t xml:space="preserve"> always identified as the value of </w:t>
      </w:r>
      <w:r w:rsidRPr="00417D85">
        <w:rPr>
          <w:rFonts w:eastAsia="Arial Unicode MS"/>
          <w:bCs/>
          <w:i/>
          <w:color w:val="000000" w:themeColor="text1"/>
          <w:kern w:val="24"/>
        </w:rPr>
        <w:t>V</w:t>
      </w:r>
      <w:r w:rsidRPr="00417D85">
        <w:rPr>
          <w:rFonts w:eastAsia="Arial Unicode MS"/>
          <w:bCs/>
          <w:color w:val="000000" w:themeColor="text1"/>
          <w:kern w:val="24"/>
          <w:vertAlign w:val="subscript"/>
        </w:rPr>
        <w:t>TFL</w:t>
      </w:r>
      <w:r>
        <w:rPr>
          <w:rFonts w:eastAsia="Arial Unicode MS"/>
          <w:bCs/>
          <w:color w:val="000000" w:themeColor="text1"/>
          <w:kern w:val="24"/>
          <w:vertAlign w:val="subscript"/>
        </w:rPr>
        <w:fldChar w:fldCharType="begin"/>
      </w:r>
      <w:r w:rsidR="006D2BEF">
        <w:rPr>
          <w:rFonts w:eastAsia="Arial Unicode MS"/>
          <w:bCs/>
          <w:color w:val="000000" w:themeColor="text1"/>
          <w:kern w:val="24"/>
          <w:vertAlign w:val="subscript"/>
        </w:rPr>
        <w:instrText xml:space="preserve"> ADDIN EN.CITE &lt;EndNote&gt;&lt;Cite&gt;&lt;Author&gt;Yang&lt;/Author&gt;&lt;Year&gt;2022&lt;/Year&gt;&lt;RecNum&gt;301&lt;/RecNum&gt;&lt;DisplayText&gt;&lt;style face="superscript"&gt;13&lt;/style&gt;&lt;/DisplayText&gt;&lt;record&gt;&lt;rec-number&gt;301&lt;/rec-number&gt;&lt;foreign-keys&gt;&lt;key app="EN" db-id="90dwdfr94fapdvepa9hpwd9fpwr0t0zfrxt2" timestamp="1661245663"&gt;301&lt;/key&gt;&lt;/foreign-keys&gt;&lt;ref-type name="Journal Article"&gt;17&lt;/ref-type&gt;&lt;contributors&gt;&lt;authors&gt;&lt;author&gt;Yang, Weichuang&lt;/author&gt;&lt;author&gt;Long, Hanlin&lt;/author&gt;&lt;author&gt;Sha, Xuan&lt;/author&gt;&lt;author&gt;Sun, Jingsong&lt;/author&gt;&lt;author&gt;Zhao, Yunxing&lt;/author&gt;&lt;author&gt;Guo, Chenyu&lt;/author&gt;&lt;author&gt;Peng, Xianchun&lt;/author&gt;&lt;author&gt;Shou, Chunhui&lt;/author&gt;&lt;author&gt;Yang, Xi&lt;/author&gt;&lt;author&gt;Sheng, Jiang&lt;/author&gt;&lt;author&gt;Yang, Zhenhai&lt;/author&gt;&lt;author&gt;Yan, Baojie&lt;/author&gt;&lt;author&gt;Ye, Jichun&lt;/author&gt;&lt;/authors&gt;&lt;/contributors&gt;&lt;titles&gt;&lt;title&gt;Unlocking Voltage Potentials of Mixed-Halide Perovskite Solar Cells via Phase Segregation Suppression&lt;/title&gt;&lt;secondary-title&gt;Advanced Functional Materials&lt;/secondary-title&gt;&lt;/titles&gt;&lt;periodical&gt;&lt;full-title&gt;Advanced Functional Materials&lt;/full-title&gt;&lt;abbr-1&gt;Adv. Funct. Mater.&lt;/abbr-1&gt;&lt;/periodical&gt;&lt;pages&gt;2110698&lt;/pages&gt;&lt;volume&gt;32&lt;/volume&gt;&lt;number&gt;12&lt;/number&gt;&lt;keywords&gt;&lt;keyword&gt;mixed halide&lt;/keyword&gt;&lt;keyword&gt;perovskite solar cells&lt;/keyword&gt;&lt;keyword&gt;phase segregation&lt;/keyword&gt;&lt;keyword&gt;voltage losses&lt;/keyword&gt;&lt;keyword&gt;wide bandgaps&lt;/keyword&gt;&lt;/keywords&gt;&lt;dates&gt;&lt;year&gt;2022&lt;/year&gt;&lt;pub-dates&gt;&lt;date&gt;2022/03/01&lt;/date&gt;&lt;/pub-dates&gt;&lt;/dates&gt;&lt;publisher&gt;John Wiley &amp;amp; Sons, Ltd&lt;/publisher&gt;&lt;isbn&gt;1616-301X&lt;/isbn&gt;&lt;work-type&gt;https://doi.org/10.1002/adfm.202110698&lt;/work-type&gt;&lt;urls&gt;&lt;related-urls&gt;&lt;url&gt;https://doi.org/10.1002/adfm.202110698&lt;/url&gt;&lt;/related-urls&gt;&lt;/urls&gt;&lt;electronic-resource-num&gt;https://doi.org/10.1002/adfm.202110698&lt;/electronic-resource-num&gt;&lt;access-date&gt;2022/08/23&lt;/access-date&gt;&lt;/record&gt;&lt;/Cite&gt;&lt;/EndNote&gt;</w:instrText>
      </w:r>
      <w:r>
        <w:rPr>
          <w:rFonts w:eastAsia="Arial Unicode MS"/>
          <w:bCs/>
          <w:color w:val="000000" w:themeColor="text1"/>
          <w:kern w:val="24"/>
          <w:vertAlign w:val="subscript"/>
        </w:rPr>
        <w:fldChar w:fldCharType="separate"/>
      </w:r>
      <w:r w:rsidR="006D2BEF" w:rsidRPr="006D2BEF">
        <w:rPr>
          <w:rFonts w:eastAsia="Arial Unicode MS"/>
          <w:bCs/>
          <w:noProof/>
          <w:color w:val="000000" w:themeColor="text1"/>
          <w:kern w:val="24"/>
          <w:vertAlign w:val="superscript"/>
        </w:rPr>
        <w:t>13</w:t>
      </w:r>
      <w:r>
        <w:rPr>
          <w:rFonts w:eastAsia="Arial Unicode MS"/>
          <w:bCs/>
          <w:color w:val="000000" w:themeColor="text1"/>
          <w:kern w:val="24"/>
          <w:vertAlign w:val="subscript"/>
        </w:rPr>
        <w:fldChar w:fldCharType="end"/>
      </w:r>
      <w:r w:rsidRPr="00417D85">
        <w:rPr>
          <w:rFonts w:eastAsia="Arial Unicode MS"/>
          <w:bCs/>
          <w:color w:val="000000" w:themeColor="text1"/>
          <w:kern w:val="24"/>
        </w:rPr>
        <w:t xml:space="preserve">. The </w:t>
      </w:r>
      <w:proofErr w:type="spellStart"/>
      <w:r w:rsidRPr="00417D85">
        <w:rPr>
          <w:rFonts w:eastAsia="Arial Unicode MS"/>
          <w:bCs/>
          <w:i/>
          <w:color w:val="000000" w:themeColor="text1"/>
          <w:kern w:val="24"/>
        </w:rPr>
        <w:t>N</w:t>
      </w:r>
      <w:r w:rsidRPr="00417D85">
        <w:rPr>
          <w:rFonts w:eastAsia="Arial Unicode MS"/>
          <w:bCs/>
          <w:color w:val="000000" w:themeColor="text1"/>
          <w:kern w:val="24"/>
          <w:vertAlign w:val="subscript"/>
        </w:rPr>
        <w:t>t</w:t>
      </w:r>
      <w:proofErr w:type="spellEnd"/>
      <w:r w:rsidRPr="00417D85">
        <w:rPr>
          <w:rFonts w:eastAsia="Arial Unicode MS"/>
          <w:bCs/>
          <w:color w:val="000000" w:themeColor="text1"/>
          <w:kern w:val="24"/>
        </w:rPr>
        <w:t xml:space="preserve"> values can be calculated by the </w:t>
      </w:r>
      <w:r w:rsidRPr="00417D85">
        <w:rPr>
          <w:rFonts w:eastAsia="Arial Unicode MS"/>
          <w:bCs/>
          <w:i/>
          <w:color w:val="000000" w:themeColor="text1"/>
          <w:kern w:val="24"/>
        </w:rPr>
        <w:t>V</w:t>
      </w:r>
      <w:r w:rsidRPr="00417D85">
        <w:rPr>
          <w:rFonts w:eastAsia="Arial Unicode MS"/>
          <w:bCs/>
          <w:color w:val="000000" w:themeColor="text1"/>
          <w:kern w:val="24"/>
          <w:vertAlign w:val="subscript"/>
        </w:rPr>
        <w:t>TFL</w:t>
      </w:r>
      <w:r w:rsidRPr="00417D85">
        <w:rPr>
          <w:rFonts w:eastAsia="Arial Unicode MS"/>
          <w:bCs/>
          <w:color w:val="000000" w:themeColor="text1"/>
          <w:kern w:val="24"/>
        </w:rPr>
        <w:t xml:space="preserve"> using Equation (1)</w:t>
      </w:r>
      <w:r>
        <w:rPr>
          <w:rFonts w:eastAsia="Arial Unicode MS"/>
          <w:bCs/>
          <w:color w:val="000000" w:themeColor="text1"/>
          <w:kern w:val="24"/>
        </w:rPr>
        <w:t>:</w:t>
      </w:r>
    </w:p>
    <w:p w14:paraId="38981C89" w14:textId="4D626701" w:rsidR="00380151" w:rsidRPr="00417D85" w:rsidRDefault="00671C86" w:rsidP="00DF5D00">
      <w:pPr>
        <w:pStyle w:val="NormalWeb"/>
        <w:spacing w:before="120" w:line="360" w:lineRule="auto"/>
        <w:ind w:firstLineChars="1600" w:firstLine="3840"/>
        <w:jc w:val="both"/>
        <w:rPr>
          <w:rFonts w:eastAsia="Arial Unicode MS"/>
          <w:bCs/>
          <w:color w:val="000000" w:themeColor="text1"/>
          <w:kern w:val="24"/>
        </w:rPr>
      </w:pPr>
      <w:r w:rsidRPr="00417D85">
        <w:rPr>
          <w:rFonts w:eastAsia="Arial Unicode MS"/>
          <w:bCs/>
          <w:noProof/>
          <w:color w:val="000000" w:themeColor="text1"/>
          <w:kern w:val="24"/>
          <w:position w:val="-28"/>
        </w:rPr>
        <w:object w:dxaOrig="1359" w:dyaOrig="639" w14:anchorId="1B789E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8pt;height:32pt;mso-width-percent:0;mso-height-percent:0;mso-width-percent:0;mso-height-percent:0" o:ole="">
            <v:imagedata r:id="rId16" o:title=""/>
          </v:shape>
          <o:OLEObject Type="Embed" ProgID="Equation.DSMT4" ShapeID="_x0000_i1025" DrawAspect="Content" ObjectID="_1726815667" r:id="rId17"/>
        </w:object>
      </w:r>
      <w:r w:rsidR="00380151" w:rsidRPr="00417D85">
        <w:rPr>
          <w:rFonts w:eastAsia="Arial Unicode MS"/>
          <w:bCs/>
          <w:color w:val="000000" w:themeColor="text1"/>
          <w:kern w:val="24"/>
        </w:rPr>
        <w:tab/>
      </w:r>
      <w:r w:rsidR="00380151" w:rsidRPr="00417D85">
        <w:rPr>
          <w:rFonts w:eastAsia="Arial Unicode MS"/>
          <w:bCs/>
          <w:color w:val="000000" w:themeColor="text1"/>
          <w:kern w:val="24"/>
        </w:rPr>
        <w:tab/>
      </w:r>
      <w:r w:rsidR="00380151" w:rsidRPr="00417D85">
        <w:rPr>
          <w:rFonts w:eastAsia="Arial Unicode MS"/>
          <w:bCs/>
          <w:color w:val="000000" w:themeColor="text1"/>
          <w:kern w:val="24"/>
        </w:rPr>
        <w:tab/>
      </w:r>
      <w:r w:rsidR="00380151" w:rsidRPr="00417D85">
        <w:rPr>
          <w:rFonts w:eastAsia="Arial Unicode MS"/>
          <w:bCs/>
          <w:color w:val="000000" w:themeColor="text1"/>
          <w:kern w:val="24"/>
        </w:rPr>
        <w:tab/>
      </w:r>
      <w:r w:rsidR="00380151">
        <w:rPr>
          <w:rFonts w:eastAsia="Arial Unicode MS"/>
          <w:bCs/>
          <w:color w:val="000000" w:themeColor="text1"/>
          <w:kern w:val="24"/>
        </w:rPr>
        <w:t xml:space="preserve">          </w:t>
      </w:r>
      <w:r w:rsidR="002A417A">
        <w:rPr>
          <w:rFonts w:eastAsia="Arial Unicode MS"/>
          <w:bCs/>
          <w:color w:val="000000" w:themeColor="text1"/>
          <w:kern w:val="24"/>
        </w:rPr>
        <w:t xml:space="preserve">    </w:t>
      </w:r>
      <w:r w:rsidR="00380151" w:rsidRPr="00417D85">
        <w:rPr>
          <w:rFonts w:eastAsia="Arial Unicode MS"/>
          <w:bCs/>
          <w:color w:val="000000" w:themeColor="text1"/>
          <w:kern w:val="24"/>
        </w:rPr>
        <w:t>(1)</w:t>
      </w:r>
    </w:p>
    <w:p w14:paraId="3E8B957A" w14:textId="77777777" w:rsidR="00380151" w:rsidRPr="002A523E" w:rsidRDefault="00380151" w:rsidP="00DF5D00">
      <w:pPr>
        <w:pStyle w:val="NormalWeb"/>
        <w:spacing w:before="120" w:line="360" w:lineRule="auto"/>
        <w:jc w:val="both"/>
        <w:rPr>
          <w:rFonts w:eastAsia="Arial Unicode MS"/>
          <w:bCs/>
          <w:color w:val="000000" w:themeColor="text1"/>
          <w:kern w:val="24"/>
        </w:rPr>
      </w:pPr>
      <w:r>
        <w:rPr>
          <w:rFonts w:eastAsia="Arial Unicode MS"/>
          <w:bCs/>
          <w:color w:val="000000" w:themeColor="text1"/>
          <w:kern w:val="24"/>
        </w:rPr>
        <w:t>w</w:t>
      </w:r>
      <w:r w:rsidRPr="00417D85">
        <w:rPr>
          <w:rFonts w:eastAsia="Arial Unicode MS"/>
          <w:bCs/>
          <w:color w:val="000000" w:themeColor="text1"/>
          <w:kern w:val="24"/>
        </w:rPr>
        <w:t xml:space="preserve">here </w:t>
      </w:r>
      <w:r w:rsidRPr="00417D85">
        <w:rPr>
          <w:rFonts w:eastAsia="Arial Unicode MS"/>
          <w:bCs/>
          <w:i/>
          <w:color w:val="000000" w:themeColor="text1"/>
          <w:kern w:val="24"/>
        </w:rPr>
        <w:t>ε</w:t>
      </w:r>
      <w:r w:rsidRPr="00417D85">
        <w:rPr>
          <w:rFonts w:eastAsia="Arial Unicode MS"/>
          <w:bCs/>
          <w:color w:val="000000" w:themeColor="text1"/>
          <w:kern w:val="24"/>
          <w:vertAlign w:val="subscript"/>
        </w:rPr>
        <w:t>0</w:t>
      </w:r>
      <w:r w:rsidRPr="00417D85">
        <w:rPr>
          <w:rFonts w:eastAsia="Arial Unicode MS"/>
          <w:bCs/>
          <w:color w:val="000000" w:themeColor="text1"/>
          <w:kern w:val="24"/>
        </w:rPr>
        <w:t xml:space="preserve"> and </w:t>
      </w:r>
      <w:r w:rsidRPr="00417D85">
        <w:rPr>
          <w:rFonts w:eastAsia="Arial Unicode MS"/>
          <w:bCs/>
          <w:i/>
          <w:color w:val="000000" w:themeColor="text1"/>
          <w:kern w:val="24"/>
        </w:rPr>
        <w:t>ε</w:t>
      </w:r>
      <w:r w:rsidRPr="00417D85">
        <w:rPr>
          <w:rFonts w:eastAsia="Arial Unicode MS"/>
          <w:bCs/>
          <w:color w:val="000000" w:themeColor="text1"/>
          <w:kern w:val="24"/>
          <w:vertAlign w:val="subscript"/>
        </w:rPr>
        <w:t>r</w:t>
      </w:r>
      <w:r w:rsidRPr="00417D85">
        <w:rPr>
          <w:rFonts w:eastAsia="Arial Unicode MS"/>
          <w:bCs/>
          <w:color w:val="000000" w:themeColor="text1"/>
          <w:kern w:val="24"/>
        </w:rPr>
        <w:t xml:space="preserve"> are the vacuum and relative dielectric constant, respectively, </w:t>
      </w:r>
      <w:r w:rsidRPr="00417D85">
        <w:rPr>
          <w:rFonts w:eastAsia="Arial Unicode MS"/>
          <w:bCs/>
          <w:i/>
          <w:color w:val="000000" w:themeColor="text1"/>
          <w:kern w:val="24"/>
        </w:rPr>
        <w:t>q</w:t>
      </w:r>
      <w:r w:rsidRPr="00417D85">
        <w:rPr>
          <w:rFonts w:eastAsia="Arial Unicode MS"/>
          <w:bCs/>
          <w:color w:val="000000" w:themeColor="text1"/>
          <w:kern w:val="24"/>
        </w:rPr>
        <w:t xml:space="preserve"> is the elementary charge, and </w:t>
      </w:r>
      <w:r w:rsidRPr="00417D85">
        <w:rPr>
          <w:rFonts w:eastAsia="Arial Unicode MS"/>
          <w:bCs/>
          <w:i/>
          <w:color w:val="000000" w:themeColor="text1"/>
          <w:kern w:val="24"/>
        </w:rPr>
        <w:t>L</w:t>
      </w:r>
      <w:r w:rsidRPr="00417D85">
        <w:rPr>
          <w:rFonts w:eastAsia="Arial Unicode MS"/>
          <w:bCs/>
          <w:color w:val="000000" w:themeColor="text1"/>
          <w:kern w:val="24"/>
        </w:rPr>
        <w:t xml:space="preserve"> is the thickness of the perovskite films. As a result, </w:t>
      </w:r>
      <w:r w:rsidRPr="00417D85">
        <w:rPr>
          <w:rFonts w:eastAsia="Arial Unicode MS"/>
          <w:bCs/>
          <w:i/>
          <w:color w:val="000000" w:themeColor="text1"/>
          <w:kern w:val="24"/>
        </w:rPr>
        <w:t>V</w:t>
      </w:r>
      <w:r w:rsidRPr="00417D85">
        <w:rPr>
          <w:rFonts w:eastAsia="Arial Unicode MS"/>
          <w:bCs/>
          <w:color w:val="000000" w:themeColor="text1"/>
          <w:kern w:val="24"/>
          <w:vertAlign w:val="subscript"/>
        </w:rPr>
        <w:t>TFL</w:t>
      </w:r>
      <w:r w:rsidRPr="00417D85">
        <w:rPr>
          <w:rFonts w:eastAsia="Arial Unicode MS"/>
          <w:bCs/>
          <w:color w:val="000000" w:themeColor="text1"/>
          <w:kern w:val="24"/>
        </w:rPr>
        <w:t xml:space="preserve"> values of the pristine 3D perovskite and BABr, BAI based 2D/3D perovskite samples are determined to be 0.48, 0.20, and 0.13 V, respectively. Accordingly, the trap density of pristine perovskite </w:t>
      </w:r>
      <w:r>
        <w:rPr>
          <w:rFonts w:eastAsia="Arial Unicode MS"/>
          <w:bCs/>
          <w:color w:val="000000" w:themeColor="text1"/>
          <w:kern w:val="24"/>
        </w:rPr>
        <w:t>is</w:t>
      </w:r>
      <w:r w:rsidRPr="00417D85">
        <w:rPr>
          <w:rFonts w:eastAsia="Arial Unicode MS"/>
          <w:bCs/>
          <w:color w:val="000000" w:themeColor="text1"/>
          <w:kern w:val="24"/>
        </w:rPr>
        <w:t xml:space="preserve"> calculated as 4.56×10</w:t>
      </w:r>
      <w:r w:rsidRPr="00417D85">
        <w:rPr>
          <w:rFonts w:eastAsia="Arial Unicode MS"/>
          <w:bCs/>
          <w:color w:val="000000" w:themeColor="text1"/>
          <w:kern w:val="24"/>
          <w:vertAlign w:val="superscript"/>
        </w:rPr>
        <w:t>15</w:t>
      </w:r>
      <w:r w:rsidRPr="00417D85">
        <w:rPr>
          <w:rFonts w:eastAsia="Arial Unicode MS"/>
          <w:bCs/>
          <w:color w:val="000000" w:themeColor="text1"/>
          <w:kern w:val="24"/>
        </w:rPr>
        <w:t xml:space="preserve"> cm</w:t>
      </w:r>
      <w:r w:rsidRPr="00417D85">
        <w:rPr>
          <w:rFonts w:eastAsia="Arial Unicode MS"/>
          <w:bCs/>
          <w:color w:val="000000" w:themeColor="text1"/>
          <w:kern w:val="24"/>
          <w:vertAlign w:val="superscript"/>
        </w:rPr>
        <w:t>–3</w:t>
      </w:r>
      <w:r w:rsidRPr="00417D85">
        <w:rPr>
          <w:rFonts w:eastAsia="Arial Unicode MS"/>
          <w:bCs/>
          <w:color w:val="000000" w:themeColor="text1"/>
          <w:kern w:val="24"/>
        </w:rPr>
        <w:t xml:space="preserve">, </w:t>
      </w:r>
      <w:r>
        <w:rPr>
          <w:rFonts w:eastAsia="Arial Unicode MS"/>
          <w:bCs/>
          <w:color w:val="000000" w:themeColor="text1"/>
          <w:kern w:val="24"/>
        </w:rPr>
        <w:t xml:space="preserve">which was </w:t>
      </w:r>
      <w:r w:rsidRPr="00417D85">
        <w:rPr>
          <w:rFonts w:eastAsia="Arial Unicode MS"/>
          <w:bCs/>
          <w:color w:val="000000" w:themeColor="text1"/>
          <w:kern w:val="24"/>
        </w:rPr>
        <w:t>reduced to 1.90×10</w:t>
      </w:r>
      <w:r w:rsidRPr="00417D85">
        <w:rPr>
          <w:rFonts w:eastAsia="Arial Unicode MS"/>
          <w:bCs/>
          <w:color w:val="000000" w:themeColor="text1"/>
          <w:kern w:val="24"/>
          <w:vertAlign w:val="superscript"/>
        </w:rPr>
        <w:t>15</w:t>
      </w:r>
      <w:r w:rsidRPr="00417D85">
        <w:rPr>
          <w:rFonts w:eastAsia="Arial Unicode MS"/>
          <w:bCs/>
          <w:color w:val="000000" w:themeColor="text1"/>
          <w:kern w:val="24"/>
        </w:rPr>
        <w:t xml:space="preserve"> and 1.23×10</w:t>
      </w:r>
      <w:r w:rsidRPr="00417D85">
        <w:rPr>
          <w:rFonts w:eastAsia="Arial Unicode MS"/>
          <w:bCs/>
          <w:color w:val="000000" w:themeColor="text1"/>
          <w:kern w:val="24"/>
          <w:vertAlign w:val="superscript"/>
        </w:rPr>
        <w:t>15</w:t>
      </w:r>
      <w:r w:rsidRPr="00417D85">
        <w:rPr>
          <w:rFonts w:eastAsia="Arial Unicode MS"/>
          <w:bCs/>
          <w:color w:val="000000" w:themeColor="text1"/>
          <w:kern w:val="24"/>
        </w:rPr>
        <w:t xml:space="preserve"> cm</w:t>
      </w:r>
      <w:r w:rsidRPr="00417D85">
        <w:rPr>
          <w:rFonts w:eastAsia="Arial Unicode MS"/>
          <w:bCs/>
          <w:color w:val="000000" w:themeColor="text1"/>
          <w:kern w:val="24"/>
          <w:vertAlign w:val="superscript"/>
        </w:rPr>
        <w:t xml:space="preserve">–3 </w:t>
      </w:r>
      <w:r w:rsidRPr="00417D85">
        <w:rPr>
          <w:rFonts w:eastAsia="Arial Unicode MS"/>
          <w:bCs/>
          <w:color w:val="000000" w:themeColor="text1"/>
          <w:kern w:val="24"/>
        </w:rPr>
        <w:t xml:space="preserve">for the BABr and BAI </w:t>
      </w:r>
      <w:r>
        <w:rPr>
          <w:rFonts w:eastAsia="Arial Unicode MS"/>
          <w:bCs/>
          <w:color w:val="000000" w:themeColor="text1"/>
          <w:kern w:val="24"/>
        </w:rPr>
        <w:t>samples</w:t>
      </w:r>
      <w:r w:rsidRPr="00417D85">
        <w:rPr>
          <w:rFonts w:eastAsia="Arial Unicode MS"/>
          <w:bCs/>
          <w:color w:val="000000" w:themeColor="text1"/>
          <w:kern w:val="24"/>
        </w:rPr>
        <w:t xml:space="preserve">. It is indicated that surface reconstruction of </w:t>
      </w:r>
      <w:r>
        <w:rPr>
          <w:rFonts w:eastAsia="Arial Unicode MS"/>
          <w:bCs/>
          <w:color w:val="000000" w:themeColor="text1"/>
          <w:kern w:val="24"/>
        </w:rPr>
        <w:t xml:space="preserve">the 3D </w:t>
      </w:r>
      <w:r w:rsidRPr="00417D85">
        <w:rPr>
          <w:rFonts w:eastAsia="Arial Unicode MS"/>
          <w:bCs/>
          <w:color w:val="000000" w:themeColor="text1"/>
          <w:kern w:val="24"/>
        </w:rPr>
        <w:t xml:space="preserve">perovskite film </w:t>
      </w:r>
      <w:r>
        <w:rPr>
          <w:rFonts w:eastAsia="Arial Unicode MS"/>
          <w:bCs/>
          <w:color w:val="000000" w:themeColor="text1"/>
          <w:kern w:val="24"/>
        </w:rPr>
        <w:t>covered by</w:t>
      </w:r>
      <w:r w:rsidRPr="00417D85">
        <w:rPr>
          <w:rFonts w:eastAsia="Arial Unicode MS"/>
          <w:bCs/>
          <w:color w:val="000000" w:themeColor="text1"/>
          <w:kern w:val="24"/>
        </w:rPr>
        <w:t xml:space="preserve"> 2D perovskite can effectively </w:t>
      </w:r>
      <w:r>
        <w:rPr>
          <w:rFonts w:eastAsia="Arial Unicode MS"/>
          <w:bCs/>
          <w:color w:val="000000" w:themeColor="text1"/>
          <w:kern w:val="24"/>
        </w:rPr>
        <w:t>reduce</w:t>
      </w:r>
      <w:r w:rsidRPr="00417D85">
        <w:rPr>
          <w:rFonts w:eastAsia="Arial Unicode MS"/>
          <w:bCs/>
          <w:color w:val="000000" w:themeColor="text1"/>
          <w:kern w:val="24"/>
        </w:rPr>
        <w:t xml:space="preserve"> the interface </w:t>
      </w:r>
      <w:r>
        <w:rPr>
          <w:rFonts w:eastAsia="Arial Unicode MS"/>
          <w:bCs/>
          <w:color w:val="000000" w:themeColor="text1"/>
          <w:kern w:val="24"/>
        </w:rPr>
        <w:t xml:space="preserve">and bulk </w:t>
      </w:r>
      <w:r w:rsidRPr="00417D85">
        <w:rPr>
          <w:rFonts w:eastAsia="Arial Unicode MS"/>
          <w:bCs/>
          <w:color w:val="000000" w:themeColor="text1"/>
          <w:kern w:val="24"/>
        </w:rPr>
        <w:t>defects.</w:t>
      </w:r>
    </w:p>
    <w:p w14:paraId="0BF23DC5" w14:textId="77777777" w:rsidR="00380151" w:rsidRDefault="00380151" w:rsidP="00DF5D00">
      <w:pPr>
        <w:spacing w:before="120" w:line="360" w:lineRule="auto"/>
        <w:jc w:val="both"/>
        <w:rPr>
          <w:rFonts w:eastAsia="SimSun"/>
          <w:b/>
          <w:szCs w:val="24"/>
        </w:rPr>
      </w:pPr>
      <w:r>
        <w:rPr>
          <w:b/>
        </w:rPr>
        <w:br w:type="page"/>
      </w:r>
    </w:p>
    <w:p w14:paraId="673856E0" w14:textId="79C58304" w:rsidR="00380151" w:rsidRPr="00077852" w:rsidRDefault="00380151" w:rsidP="00DF5D00">
      <w:pPr>
        <w:pStyle w:val="SMHeading"/>
        <w:spacing w:line="360" w:lineRule="auto"/>
        <w:jc w:val="both"/>
      </w:pPr>
      <w:r w:rsidRPr="00E13B22">
        <w:rPr>
          <w:rFonts w:hint="eastAsia"/>
        </w:rPr>
        <w:lastRenderedPageBreak/>
        <w:t>T</w:t>
      </w:r>
      <w:r w:rsidRPr="00E13B22">
        <w:t>ab</w:t>
      </w:r>
      <w:r>
        <w:t>le</w:t>
      </w:r>
      <w:r w:rsidRPr="00E13B22">
        <w:t xml:space="preserve"> S1</w:t>
      </w:r>
      <w:r w:rsidR="00B76A12">
        <w:t xml:space="preserve"> | </w:t>
      </w:r>
      <w:r w:rsidRPr="006A5AF4">
        <w:rPr>
          <w:b w:val="0"/>
          <w:bCs w:val="0"/>
        </w:rPr>
        <w:t>Photogenerated carrier lifetimes. The fitting results of the TrPL measurement of perovskite films on bare glasses. The fittings are carried out through a bi-exponential decay function</w:t>
      </w:r>
      <w:r w:rsidRPr="006A5AF4">
        <w:rPr>
          <w:rFonts w:eastAsia="Arial Unicode MS"/>
          <w:b w:val="0"/>
          <w:bCs w:val="0"/>
          <w:color w:val="000000" w:themeColor="text1"/>
          <w:kern w:val="24"/>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464"/>
        <w:gridCol w:w="2464"/>
      </w:tblGrid>
      <w:tr w:rsidR="00380151" w:rsidRPr="00B95DA8" w14:paraId="08116CB4" w14:textId="77777777" w:rsidTr="00C30201">
        <w:trPr>
          <w:trHeight w:val="454"/>
          <w:jc w:val="center"/>
        </w:trPr>
        <w:tc>
          <w:tcPr>
            <w:tcW w:w="2574" w:type="dxa"/>
            <w:tcBorders>
              <w:top w:val="single" w:sz="12" w:space="0" w:color="auto"/>
              <w:bottom w:val="single" w:sz="12" w:space="0" w:color="auto"/>
            </w:tcBorders>
            <w:vAlign w:val="center"/>
          </w:tcPr>
          <w:p w14:paraId="7769C4EF" w14:textId="77777777" w:rsidR="00380151" w:rsidRPr="00B95DA8" w:rsidRDefault="00380151" w:rsidP="00C30201">
            <w:pPr>
              <w:jc w:val="center"/>
              <w:rPr>
                <w:rFonts w:ascii="Times New Roman" w:hAnsi="Times New Roman" w:cs="Times New Roman"/>
                <w:szCs w:val="24"/>
              </w:rPr>
            </w:pPr>
            <w:r w:rsidRPr="00B95DA8">
              <w:rPr>
                <w:rFonts w:ascii="Times New Roman" w:hAnsi="Times New Roman" w:cs="Times New Roman" w:hint="eastAsia"/>
                <w:szCs w:val="24"/>
              </w:rPr>
              <w:t>S</w:t>
            </w:r>
            <w:r w:rsidRPr="00B95DA8">
              <w:rPr>
                <w:rFonts w:ascii="Times New Roman" w:hAnsi="Times New Roman" w:cs="Times New Roman"/>
                <w:szCs w:val="24"/>
              </w:rPr>
              <w:t>ample</w:t>
            </w:r>
            <w:r>
              <w:rPr>
                <w:rFonts w:ascii="Times New Roman" w:hAnsi="Times New Roman" w:cs="Times New Roman"/>
                <w:szCs w:val="24"/>
              </w:rPr>
              <w:t>s</w:t>
            </w:r>
          </w:p>
        </w:tc>
        <w:tc>
          <w:tcPr>
            <w:tcW w:w="2464" w:type="dxa"/>
            <w:tcBorders>
              <w:top w:val="single" w:sz="12" w:space="0" w:color="auto"/>
              <w:bottom w:val="single" w:sz="12" w:space="0" w:color="auto"/>
            </w:tcBorders>
            <w:vAlign w:val="center"/>
          </w:tcPr>
          <w:p w14:paraId="2FB504CE" w14:textId="77777777" w:rsidR="00380151" w:rsidRPr="00B95DA8" w:rsidRDefault="00380151" w:rsidP="00C30201">
            <w:pPr>
              <w:jc w:val="center"/>
              <w:rPr>
                <w:rFonts w:ascii="Times New Roman" w:hAnsi="Times New Roman" w:cs="Times New Roman"/>
                <w:szCs w:val="24"/>
              </w:rPr>
            </w:pPr>
            <w:r w:rsidRPr="00B95DA8">
              <w:rPr>
                <w:rFonts w:ascii="Times New Roman" w:eastAsia="Arial Unicode MS" w:hAnsi="Times New Roman" w:cs="Times New Roman"/>
                <w:bCs/>
                <w:i/>
                <w:iCs/>
                <w:color w:val="000000" w:themeColor="text1"/>
                <w:kern w:val="24"/>
                <w:szCs w:val="24"/>
              </w:rPr>
              <w:t>τ</w:t>
            </w:r>
            <w:r w:rsidRPr="00B95DA8">
              <w:rPr>
                <w:rFonts w:ascii="Times New Roman" w:eastAsia="Arial Unicode MS" w:hAnsi="Times New Roman" w:cs="Times New Roman"/>
                <w:bCs/>
                <w:color w:val="000000" w:themeColor="text1"/>
                <w:kern w:val="24"/>
                <w:szCs w:val="24"/>
                <w:vertAlign w:val="subscript"/>
              </w:rPr>
              <w:t>1</w:t>
            </w:r>
            <w:r>
              <w:rPr>
                <w:rFonts w:ascii="Times New Roman" w:eastAsia="Arial Unicode MS" w:hAnsi="Times New Roman" w:cs="Times New Roman"/>
                <w:bCs/>
                <w:color w:val="000000" w:themeColor="text1"/>
                <w:kern w:val="24"/>
                <w:szCs w:val="24"/>
                <w:vertAlign w:val="subscript"/>
              </w:rPr>
              <w:t xml:space="preserve"> </w:t>
            </w:r>
            <w:r w:rsidRPr="009F0DF2">
              <w:rPr>
                <w:rFonts w:ascii="Times New Roman" w:eastAsia="Arial Unicode MS" w:hAnsi="Times New Roman" w:cs="Times New Roman"/>
                <w:bCs/>
                <w:color w:val="000000" w:themeColor="text1"/>
                <w:kern w:val="24"/>
                <w:szCs w:val="24"/>
              </w:rPr>
              <w:t>(</w:t>
            </w:r>
            <w:r>
              <w:rPr>
                <w:rFonts w:ascii="Times New Roman" w:eastAsia="Arial Unicode MS" w:hAnsi="Times New Roman" w:cs="Times New Roman"/>
                <w:bCs/>
                <w:color w:val="000000" w:themeColor="text1"/>
                <w:kern w:val="24"/>
                <w:szCs w:val="24"/>
              </w:rPr>
              <w:t>ns</w:t>
            </w:r>
            <w:r w:rsidRPr="009F0DF2">
              <w:rPr>
                <w:rFonts w:ascii="Times New Roman" w:eastAsia="Arial Unicode MS" w:hAnsi="Times New Roman" w:cs="Times New Roman"/>
                <w:bCs/>
                <w:color w:val="000000" w:themeColor="text1"/>
                <w:kern w:val="24"/>
                <w:szCs w:val="24"/>
              </w:rPr>
              <w:t>)</w:t>
            </w:r>
          </w:p>
        </w:tc>
        <w:tc>
          <w:tcPr>
            <w:tcW w:w="2464" w:type="dxa"/>
            <w:tcBorders>
              <w:top w:val="single" w:sz="12" w:space="0" w:color="auto"/>
              <w:bottom w:val="single" w:sz="12" w:space="0" w:color="auto"/>
            </w:tcBorders>
            <w:vAlign w:val="center"/>
          </w:tcPr>
          <w:p w14:paraId="4E860F9A" w14:textId="77777777" w:rsidR="00380151" w:rsidRPr="00B95DA8" w:rsidRDefault="00380151" w:rsidP="00C30201">
            <w:pPr>
              <w:jc w:val="center"/>
              <w:rPr>
                <w:rFonts w:ascii="Times New Roman" w:hAnsi="Times New Roman" w:cs="Times New Roman"/>
                <w:szCs w:val="24"/>
              </w:rPr>
            </w:pPr>
            <w:r w:rsidRPr="00B95DA8">
              <w:rPr>
                <w:rFonts w:ascii="Times New Roman" w:eastAsia="Arial Unicode MS" w:hAnsi="Times New Roman" w:cs="Times New Roman"/>
                <w:bCs/>
                <w:i/>
                <w:iCs/>
                <w:color w:val="000000" w:themeColor="text1"/>
                <w:kern w:val="24"/>
                <w:szCs w:val="24"/>
              </w:rPr>
              <w:t>τ</w:t>
            </w:r>
            <w:r w:rsidRPr="00426FC5">
              <w:rPr>
                <w:rFonts w:ascii="Times New Roman" w:eastAsia="Arial Unicode MS" w:hAnsi="Times New Roman" w:cs="Times New Roman"/>
                <w:bCs/>
                <w:color w:val="000000" w:themeColor="text1"/>
                <w:kern w:val="24"/>
                <w:szCs w:val="24"/>
                <w:vertAlign w:val="subscript"/>
              </w:rPr>
              <w:t>2</w:t>
            </w:r>
            <w:r>
              <w:rPr>
                <w:rFonts w:ascii="Times New Roman" w:eastAsia="Arial Unicode MS" w:hAnsi="Times New Roman" w:cs="Times New Roman"/>
                <w:bCs/>
                <w:color w:val="000000" w:themeColor="text1"/>
                <w:kern w:val="24"/>
                <w:szCs w:val="24"/>
                <w:vertAlign w:val="subscript"/>
              </w:rPr>
              <w:t xml:space="preserve"> </w:t>
            </w:r>
            <w:r w:rsidRPr="009F0DF2">
              <w:rPr>
                <w:rFonts w:ascii="Times New Roman" w:eastAsia="Arial Unicode MS" w:hAnsi="Times New Roman" w:cs="Times New Roman"/>
                <w:bCs/>
                <w:color w:val="000000" w:themeColor="text1"/>
                <w:kern w:val="24"/>
                <w:szCs w:val="24"/>
              </w:rPr>
              <w:t>(</w:t>
            </w:r>
            <w:r>
              <w:rPr>
                <w:rFonts w:ascii="Times New Roman" w:eastAsia="Arial Unicode MS" w:hAnsi="Times New Roman" w:cs="Times New Roman"/>
                <w:bCs/>
                <w:color w:val="000000" w:themeColor="text1"/>
                <w:kern w:val="24"/>
                <w:szCs w:val="24"/>
              </w:rPr>
              <w:t>ns</w:t>
            </w:r>
            <w:r w:rsidRPr="009F0DF2">
              <w:rPr>
                <w:rFonts w:ascii="Times New Roman" w:eastAsia="Arial Unicode MS" w:hAnsi="Times New Roman" w:cs="Times New Roman"/>
                <w:bCs/>
                <w:color w:val="000000" w:themeColor="text1"/>
                <w:kern w:val="24"/>
                <w:szCs w:val="24"/>
              </w:rPr>
              <w:t>)</w:t>
            </w:r>
          </w:p>
        </w:tc>
      </w:tr>
      <w:tr w:rsidR="00380151" w:rsidRPr="00B95DA8" w14:paraId="27FAF578" w14:textId="77777777" w:rsidTr="00C30201">
        <w:trPr>
          <w:trHeight w:val="454"/>
          <w:jc w:val="center"/>
        </w:trPr>
        <w:tc>
          <w:tcPr>
            <w:tcW w:w="2574" w:type="dxa"/>
            <w:tcBorders>
              <w:top w:val="single" w:sz="12" w:space="0" w:color="auto"/>
            </w:tcBorders>
            <w:vAlign w:val="center"/>
          </w:tcPr>
          <w:p w14:paraId="1F83DC22" w14:textId="77777777" w:rsidR="00380151" w:rsidRPr="00B95DA8" w:rsidRDefault="00380151" w:rsidP="00C30201">
            <w:pPr>
              <w:jc w:val="center"/>
              <w:rPr>
                <w:rFonts w:ascii="Times New Roman" w:hAnsi="Times New Roman" w:cs="Times New Roman"/>
                <w:szCs w:val="24"/>
              </w:rPr>
            </w:pPr>
            <w:r w:rsidRPr="00B95DA8">
              <w:rPr>
                <w:rFonts w:ascii="Times New Roman" w:hAnsi="Times New Roman" w:cs="Times New Roman" w:hint="eastAsia"/>
                <w:szCs w:val="24"/>
              </w:rPr>
              <w:t>C</w:t>
            </w:r>
            <w:r w:rsidRPr="00B95DA8">
              <w:rPr>
                <w:rFonts w:ascii="Times New Roman" w:hAnsi="Times New Roman" w:cs="Times New Roman"/>
                <w:szCs w:val="24"/>
              </w:rPr>
              <w:t>ontrol</w:t>
            </w:r>
          </w:p>
        </w:tc>
        <w:tc>
          <w:tcPr>
            <w:tcW w:w="2464" w:type="dxa"/>
            <w:tcBorders>
              <w:top w:val="single" w:sz="12" w:space="0" w:color="auto"/>
            </w:tcBorders>
            <w:vAlign w:val="center"/>
          </w:tcPr>
          <w:p w14:paraId="20A0B44F" w14:textId="77777777" w:rsidR="00380151" w:rsidRPr="00B95DA8" w:rsidRDefault="00380151" w:rsidP="00C30201">
            <w:pPr>
              <w:jc w:val="cente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77</w:t>
            </w:r>
          </w:p>
        </w:tc>
        <w:tc>
          <w:tcPr>
            <w:tcW w:w="2464" w:type="dxa"/>
            <w:tcBorders>
              <w:top w:val="single" w:sz="12" w:space="0" w:color="auto"/>
            </w:tcBorders>
            <w:vAlign w:val="center"/>
          </w:tcPr>
          <w:p w14:paraId="5031F7C4" w14:textId="77777777" w:rsidR="00380151" w:rsidRPr="00B95DA8" w:rsidRDefault="00380151" w:rsidP="00C30201">
            <w:pPr>
              <w:jc w:val="cente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101</w:t>
            </w:r>
          </w:p>
        </w:tc>
      </w:tr>
      <w:tr w:rsidR="00380151" w:rsidRPr="00B95DA8" w14:paraId="4935F4C4" w14:textId="77777777" w:rsidTr="00C30201">
        <w:trPr>
          <w:trHeight w:val="454"/>
          <w:jc w:val="center"/>
        </w:trPr>
        <w:tc>
          <w:tcPr>
            <w:tcW w:w="2574" w:type="dxa"/>
            <w:vAlign w:val="center"/>
          </w:tcPr>
          <w:p w14:paraId="61A7B936" w14:textId="77777777" w:rsidR="00380151" w:rsidRPr="00B95DA8" w:rsidRDefault="00380151" w:rsidP="00C30201">
            <w:pPr>
              <w:jc w:val="center"/>
              <w:rPr>
                <w:rFonts w:ascii="Times New Roman" w:hAnsi="Times New Roman" w:cs="Times New Roman"/>
                <w:szCs w:val="24"/>
              </w:rPr>
            </w:pPr>
            <w:r w:rsidRPr="00B95DA8">
              <w:rPr>
                <w:rFonts w:ascii="Times New Roman" w:hAnsi="Times New Roman" w:cs="Times New Roman"/>
                <w:szCs w:val="24"/>
              </w:rPr>
              <w:t>BABr</w:t>
            </w:r>
          </w:p>
        </w:tc>
        <w:tc>
          <w:tcPr>
            <w:tcW w:w="2464" w:type="dxa"/>
            <w:vAlign w:val="center"/>
          </w:tcPr>
          <w:p w14:paraId="7A79246E" w14:textId="77777777" w:rsidR="00380151" w:rsidRPr="00B95DA8" w:rsidRDefault="00380151" w:rsidP="00C30201">
            <w:pPr>
              <w:jc w:val="center"/>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08</w:t>
            </w:r>
          </w:p>
        </w:tc>
        <w:tc>
          <w:tcPr>
            <w:tcW w:w="2464" w:type="dxa"/>
            <w:vAlign w:val="center"/>
          </w:tcPr>
          <w:p w14:paraId="14778BAC" w14:textId="77777777" w:rsidR="00380151" w:rsidRPr="00B95DA8" w:rsidRDefault="00380151" w:rsidP="00C30201">
            <w:pPr>
              <w:jc w:val="center"/>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606</w:t>
            </w:r>
          </w:p>
        </w:tc>
      </w:tr>
      <w:tr w:rsidR="00380151" w:rsidRPr="00B95DA8" w14:paraId="53206CDF" w14:textId="77777777" w:rsidTr="00C30201">
        <w:trPr>
          <w:trHeight w:val="454"/>
          <w:jc w:val="center"/>
        </w:trPr>
        <w:tc>
          <w:tcPr>
            <w:tcW w:w="2574" w:type="dxa"/>
            <w:tcBorders>
              <w:bottom w:val="single" w:sz="8" w:space="0" w:color="auto"/>
            </w:tcBorders>
            <w:vAlign w:val="center"/>
          </w:tcPr>
          <w:p w14:paraId="35FBCE48" w14:textId="77777777" w:rsidR="00380151" w:rsidRPr="00B95DA8" w:rsidRDefault="00380151" w:rsidP="00C30201">
            <w:pPr>
              <w:jc w:val="center"/>
              <w:rPr>
                <w:rFonts w:ascii="Times New Roman" w:hAnsi="Times New Roman" w:cs="Times New Roman"/>
                <w:szCs w:val="24"/>
              </w:rPr>
            </w:pPr>
            <w:r w:rsidRPr="00B95DA8">
              <w:rPr>
                <w:rFonts w:ascii="Times New Roman" w:hAnsi="Times New Roman" w:cs="Times New Roman"/>
                <w:szCs w:val="24"/>
              </w:rPr>
              <w:t>BAI</w:t>
            </w:r>
          </w:p>
        </w:tc>
        <w:tc>
          <w:tcPr>
            <w:tcW w:w="2464" w:type="dxa"/>
            <w:tcBorders>
              <w:bottom w:val="single" w:sz="8" w:space="0" w:color="auto"/>
            </w:tcBorders>
            <w:vAlign w:val="center"/>
          </w:tcPr>
          <w:p w14:paraId="18257A26" w14:textId="77777777" w:rsidR="00380151" w:rsidRPr="00B95DA8" w:rsidRDefault="00380151" w:rsidP="00C30201">
            <w:pPr>
              <w:jc w:val="center"/>
              <w:rPr>
                <w:rFonts w:ascii="Times New Roman" w:hAnsi="Times New Roman" w:cs="Times New Roman"/>
                <w:szCs w:val="24"/>
              </w:rPr>
            </w:pPr>
            <w:r>
              <w:rPr>
                <w:rFonts w:ascii="Times New Roman" w:hAnsi="Times New Roman" w:cs="Times New Roman" w:hint="eastAsia"/>
                <w:szCs w:val="24"/>
              </w:rPr>
              <w:t>4</w:t>
            </w:r>
            <w:r>
              <w:rPr>
                <w:rFonts w:ascii="Times New Roman" w:hAnsi="Times New Roman" w:cs="Times New Roman"/>
                <w:szCs w:val="24"/>
              </w:rPr>
              <w:t>6</w:t>
            </w:r>
          </w:p>
        </w:tc>
        <w:tc>
          <w:tcPr>
            <w:tcW w:w="2464" w:type="dxa"/>
            <w:tcBorders>
              <w:bottom w:val="single" w:sz="8" w:space="0" w:color="auto"/>
            </w:tcBorders>
            <w:vAlign w:val="center"/>
          </w:tcPr>
          <w:p w14:paraId="70CBBD0C" w14:textId="77777777" w:rsidR="00380151" w:rsidRPr="00B95DA8" w:rsidRDefault="00380151" w:rsidP="00C30201">
            <w:pPr>
              <w:jc w:val="center"/>
              <w:rPr>
                <w:rFonts w:ascii="Times New Roman" w:hAnsi="Times New Roman" w:cs="Times New Roman"/>
                <w:szCs w:val="24"/>
              </w:rPr>
            </w:pPr>
            <w:r>
              <w:rPr>
                <w:rFonts w:ascii="Times New Roman" w:hAnsi="Times New Roman" w:cs="Times New Roman" w:hint="eastAsia"/>
                <w:szCs w:val="24"/>
              </w:rPr>
              <w:t>2</w:t>
            </w:r>
            <w:r>
              <w:rPr>
                <w:rFonts w:ascii="Times New Roman" w:hAnsi="Times New Roman" w:cs="Times New Roman"/>
                <w:szCs w:val="24"/>
              </w:rPr>
              <w:t>605</w:t>
            </w:r>
          </w:p>
        </w:tc>
      </w:tr>
    </w:tbl>
    <w:p w14:paraId="1DFD7610" w14:textId="77777777" w:rsidR="00380151" w:rsidRDefault="00380151" w:rsidP="00380151">
      <w:pPr>
        <w:rPr>
          <w:szCs w:val="21"/>
        </w:rPr>
      </w:pPr>
    </w:p>
    <w:p w14:paraId="1FA70F7E" w14:textId="77777777" w:rsidR="00380151" w:rsidRDefault="00380151" w:rsidP="00380151">
      <w:pPr>
        <w:rPr>
          <w:szCs w:val="21"/>
        </w:rPr>
      </w:pPr>
    </w:p>
    <w:p w14:paraId="670A19C8" w14:textId="77777777" w:rsidR="00380151" w:rsidRDefault="00380151" w:rsidP="00380151">
      <w:pPr>
        <w:rPr>
          <w:szCs w:val="21"/>
        </w:rPr>
      </w:pPr>
    </w:p>
    <w:p w14:paraId="098BF2AA" w14:textId="77777777" w:rsidR="00380151" w:rsidRDefault="00380151" w:rsidP="00380151">
      <w:pPr>
        <w:rPr>
          <w:szCs w:val="21"/>
        </w:rPr>
      </w:pPr>
    </w:p>
    <w:p w14:paraId="58E9118A" w14:textId="77777777" w:rsidR="00380151" w:rsidRDefault="00380151" w:rsidP="00380151">
      <w:pPr>
        <w:rPr>
          <w:szCs w:val="21"/>
        </w:rPr>
      </w:pPr>
    </w:p>
    <w:p w14:paraId="0052B44D" w14:textId="77777777" w:rsidR="00380151" w:rsidRDefault="00380151" w:rsidP="00380151">
      <w:pPr>
        <w:rPr>
          <w:szCs w:val="21"/>
        </w:rPr>
      </w:pPr>
      <w:r>
        <w:rPr>
          <w:szCs w:val="21"/>
        </w:rPr>
        <w:br w:type="page"/>
      </w:r>
    </w:p>
    <w:p w14:paraId="7FDBA74A" w14:textId="77777777" w:rsidR="00380151" w:rsidRDefault="00380151" w:rsidP="00380151">
      <w:pPr>
        <w:jc w:val="center"/>
        <w:rPr>
          <w:szCs w:val="21"/>
        </w:rPr>
      </w:pPr>
      <w:r>
        <w:rPr>
          <w:noProof/>
          <w:szCs w:val="21"/>
        </w:rPr>
        <w:lastRenderedPageBreak/>
        <w:drawing>
          <wp:inline distT="0" distB="0" distL="0" distR="0" wp14:anchorId="3E5C8936" wp14:editId="7F08BC99">
            <wp:extent cx="6118780" cy="3596640"/>
            <wp:effectExtent l="0" t="0" r="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8"/>
                    <a:stretch>
                      <a:fillRect/>
                    </a:stretch>
                  </pic:blipFill>
                  <pic:spPr>
                    <a:xfrm>
                      <a:off x="0" y="0"/>
                      <a:ext cx="6118780" cy="3596640"/>
                    </a:xfrm>
                    <a:prstGeom prst="rect">
                      <a:avLst/>
                    </a:prstGeom>
                  </pic:spPr>
                </pic:pic>
              </a:graphicData>
            </a:graphic>
          </wp:inline>
        </w:drawing>
      </w:r>
    </w:p>
    <w:p w14:paraId="28ADC05D" w14:textId="59A1A01E" w:rsidR="00380151" w:rsidRDefault="00380151" w:rsidP="00DF5D00">
      <w:pPr>
        <w:pStyle w:val="SMHeading"/>
        <w:spacing w:line="360" w:lineRule="auto"/>
      </w:pPr>
      <w:r w:rsidRPr="00F147DD">
        <w:rPr>
          <w:rFonts w:hint="eastAsia"/>
        </w:rPr>
        <w:t>Fig</w:t>
      </w:r>
      <w:r w:rsidRPr="00F147DD">
        <w:t>. S</w:t>
      </w:r>
      <w:r>
        <w:t>10</w:t>
      </w:r>
      <w:r w:rsidR="00B76A12">
        <w:t xml:space="preserve"> | </w:t>
      </w:r>
      <w:r w:rsidRPr="006A5AF4">
        <w:rPr>
          <w:b w:val="0"/>
          <w:bCs w:val="0"/>
        </w:rPr>
        <w:t xml:space="preserve">2D contour plots of ultrafast transient absorption spectroscopy. </w:t>
      </w:r>
      <w:r w:rsidRPr="006A5AF4">
        <w:rPr>
          <w:rFonts w:hint="eastAsia"/>
          <w:b w:val="0"/>
          <w:bCs w:val="0"/>
        </w:rPr>
        <w:t>TAS</w:t>
      </w:r>
      <w:r w:rsidRPr="006A5AF4">
        <w:rPr>
          <w:b w:val="0"/>
          <w:bCs w:val="0"/>
        </w:rPr>
        <w:t xml:space="preserve"> signals as functions of delay time and wavelength for three related cases. </w:t>
      </w:r>
      <w:r w:rsidR="0014087F" w:rsidRPr="00DA75B2">
        <w:rPr>
          <w:b w:val="0"/>
          <w:bCs w:val="0"/>
        </w:rPr>
        <w:t xml:space="preserve">The wavelength of the </w:t>
      </w:r>
      <w:r w:rsidR="00F94AD1" w:rsidRPr="00DA75B2">
        <w:rPr>
          <w:b w:val="0"/>
          <w:bCs w:val="0"/>
        </w:rPr>
        <w:t>pulsed laser is 800 nm.</w:t>
      </w:r>
    </w:p>
    <w:p w14:paraId="3FA3EBE3" w14:textId="77777777" w:rsidR="00421CD2" w:rsidRDefault="00421CD2" w:rsidP="00DF5D00">
      <w:pPr>
        <w:spacing w:before="120" w:line="360" w:lineRule="auto"/>
        <w:jc w:val="both"/>
        <w:rPr>
          <w:b/>
          <w:szCs w:val="24"/>
        </w:rPr>
      </w:pPr>
      <w:r>
        <w:rPr>
          <w:b/>
          <w:szCs w:val="24"/>
        </w:rPr>
        <w:br w:type="page"/>
      </w:r>
    </w:p>
    <w:p w14:paraId="2CB98907" w14:textId="51F18B6F" w:rsidR="00380151" w:rsidRPr="002C291D" w:rsidRDefault="00380151" w:rsidP="00DF5D00">
      <w:pPr>
        <w:pStyle w:val="SMHeading"/>
        <w:spacing w:line="360" w:lineRule="auto"/>
      </w:pPr>
      <w:r w:rsidRPr="002C291D">
        <w:rPr>
          <w:rFonts w:hint="eastAsia"/>
        </w:rPr>
        <w:lastRenderedPageBreak/>
        <w:t>Not</w:t>
      </w:r>
      <w:r w:rsidRPr="002C291D">
        <w:t>e S4</w:t>
      </w:r>
      <w:r w:rsidR="00B76A12">
        <w:t xml:space="preserve"> | </w:t>
      </w:r>
      <w:r w:rsidR="006A5AF4">
        <w:t xml:space="preserve">TAS </w:t>
      </w:r>
      <w:r w:rsidR="006A5AF4">
        <w:rPr>
          <w:rFonts w:hint="eastAsia"/>
          <w:lang w:eastAsia="zh-CN"/>
        </w:rPr>
        <w:t>a</w:t>
      </w:r>
      <w:r w:rsidR="00510999">
        <w:t>nalysis</w:t>
      </w:r>
    </w:p>
    <w:p w14:paraId="64CA91D4" w14:textId="4ED4E000" w:rsidR="00380151" w:rsidRPr="002C291D" w:rsidRDefault="00380151" w:rsidP="00DF5D00">
      <w:pPr>
        <w:spacing w:before="120" w:line="360" w:lineRule="auto"/>
        <w:jc w:val="both"/>
        <w:rPr>
          <w:bCs/>
          <w:szCs w:val="24"/>
        </w:rPr>
      </w:pPr>
      <w:r w:rsidRPr="002C291D">
        <w:rPr>
          <w:bCs/>
          <w:szCs w:val="24"/>
        </w:rPr>
        <w:t xml:space="preserve">As shown in Fig. S9a, the strip-shaped region with a reduced TAS intensity for 3D perovskite located at around 800 nm can be clearly observed, which should be assigned to the GSB signal due to that the response wavelength of GBS signal is well-matched with the bandgap of 3D perovskite. This GBS signal at 800 nm disappears, and a new emerging signal at near 550 and 570 nm should be assigned to GSB signal for the BABr and BAI cases, respectively, as shown in Fig. S9b and S9c. In the range of 650 to 750 nm, the GSB signals can be attributed to the quasi-2D perovskite with </w:t>
      </w:r>
      <w:r w:rsidRPr="002C291D">
        <w:rPr>
          <w:bCs/>
          <w:i/>
          <w:iCs/>
          <w:szCs w:val="24"/>
        </w:rPr>
        <w:t>n</w:t>
      </w:r>
      <w:r w:rsidRPr="002C291D">
        <w:rPr>
          <w:bCs/>
          <w:szCs w:val="24"/>
        </w:rPr>
        <w:t xml:space="preserve"> </w:t>
      </w:r>
      <w:r w:rsidRPr="002C291D">
        <w:rPr>
          <w:rFonts w:hint="eastAsia"/>
          <w:bCs/>
          <w:szCs w:val="24"/>
        </w:rPr>
        <w:t>＞</w:t>
      </w:r>
      <w:r w:rsidRPr="002C291D">
        <w:rPr>
          <w:rFonts w:hint="eastAsia"/>
          <w:bCs/>
          <w:szCs w:val="24"/>
        </w:rPr>
        <w:t xml:space="preserve"> 2</w:t>
      </w:r>
      <w:r w:rsidRPr="002C291D">
        <w:rPr>
          <w:bCs/>
          <w:szCs w:val="24"/>
        </w:rPr>
        <w:t xml:space="preserve">, which has been widely confirmed by others. Apart from the positions of GBS signals, the opened times of GSB signals that could deduce the transport processes of charge-carriers suggest that the generated charge-carriers in 3D perovskite are firstly transported to 2D perovskite with </w:t>
      </w:r>
      <w:r w:rsidRPr="002C291D">
        <w:rPr>
          <w:bCs/>
          <w:i/>
          <w:iCs/>
          <w:szCs w:val="24"/>
        </w:rPr>
        <w:t>n</w:t>
      </w:r>
      <w:r w:rsidRPr="002C291D">
        <w:rPr>
          <w:bCs/>
          <w:szCs w:val="24"/>
        </w:rPr>
        <w:t xml:space="preserve"> = 2, and then are injected to 2D perovskite with </w:t>
      </w:r>
      <w:r w:rsidRPr="002C291D">
        <w:rPr>
          <w:bCs/>
          <w:i/>
          <w:iCs/>
          <w:szCs w:val="24"/>
        </w:rPr>
        <w:t>n</w:t>
      </w:r>
      <w:r w:rsidRPr="002C291D">
        <w:rPr>
          <w:bCs/>
          <w:szCs w:val="24"/>
        </w:rPr>
        <w:t xml:space="preserve"> &gt;</w:t>
      </w:r>
      <w:r w:rsidRPr="002C291D">
        <w:rPr>
          <w:rFonts w:hint="eastAsia"/>
          <w:bCs/>
          <w:szCs w:val="24"/>
        </w:rPr>
        <w:t xml:space="preserve"> 2</w:t>
      </w:r>
      <w:r w:rsidRPr="002C291D">
        <w:rPr>
          <w:bCs/>
          <w:szCs w:val="24"/>
        </w:rPr>
        <w:t xml:space="preserve"> with the continuous accumulation of charge-carriers in 2D perovskite with (</w:t>
      </w:r>
      <w:r w:rsidRPr="002C291D">
        <w:rPr>
          <w:bCs/>
          <w:i/>
          <w:iCs/>
          <w:szCs w:val="24"/>
        </w:rPr>
        <w:t>n</w:t>
      </w:r>
      <w:r w:rsidRPr="002C291D">
        <w:rPr>
          <w:bCs/>
          <w:szCs w:val="24"/>
        </w:rPr>
        <w:t xml:space="preserve"> = 2). Fig. S10 illustrates the TAS spectra at the different delay times. It is noted that to enhance the measured signals with a high noise ratio at </w:t>
      </w:r>
      <w:r w:rsidR="00DF2D23">
        <w:rPr>
          <w:bCs/>
          <w:szCs w:val="24"/>
        </w:rPr>
        <w:t xml:space="preserve">a </w:t>
      </w:r>
      <w:r w:rsidRPr="002C291D">
        <w:rPr>
          <w:bCs/>
          <w:szCs w:val="24"/>
        </w:rPr>
        <w:t>short wavelength range that includes the 2D perovskite response wavelength, a low concentration solution of 0.5 M is used to fabricate the 3D perovskite to reduce the thickness of 3D perovskite.</w:t>
      </w:r>
    </w:p>
    <w:p w14:paraId="4A496C60" w14:textId="77777777" w:rsidR="00380151" w:rsidRPr="00412732" w:rsidRDefault="00380151" w:rsidP="00DF5D00">
      <w:pPr>
        <w:spacing w:before="120" w:line="360" w:lineRule="auto"/>
        <w:jc w:val="both"/>
        <w:rPr>
          <w:bCs/>
          <w:szCs w:val="24"/>
        </w:rPr>
      </w:pPr>
    </w:p>
    <w:p w14:paraId="7DCF6A19" w14:textId="77777777" w:rsidR="00380151" w:rsidRDefault="00380151" w:rsidP="00DF5D00">
      <w:pPr>
        <w:spacing w:before="120" w:line="360" w:lineRule="auto"/>
        <w:jc w:val="both"/>
        <w:rPr>
          <w:rFonts w:eastAsia="SimSun"/>
          <w:szCs w:val="21"/>
        </w:rPr>
      </w:pPr>
      <w:r>
        <w:rPr>
          <w:rFonts w:eastAsia="SimSun"/>
          <w:noProof/>
          <w:szCs w:val="21"/>
        </w:rPr>
        <w:lastRenderedPageBreak/>
        <w:drawing>
          <wp:inline distT="0" distB="0" distL="0" distR="0" wp14:anchorId="0D382D93" wp14:editId="3F391AC6">
            <wp:extent cx="6120130" cy="5102181"/>
            <wp:effectExtent l="0" t="0" r="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9"/>
                    <a:stretch>
                      <a:fillRect/>
                    </a:stretch>
                  </pic:blipFill>
                  <pic:spPr>
                    <a:xfrm>
                      <a:off x="0" y="0"/>
                      <a:ext cx="6120130" cy="5102181"/>
                    </a:xfrm>
                    <a:prstGeom prst="rect">
                      <a:avLst/>
                    </a:prstGeom>
                  </pic:spPr>
                </pic:pic>
              </a:graphicData>
            </a:graphic>
          </wp:inline>
        </w:drawing>
      </w:r>
    </w:p>
    <w:p w14:paraId="19264F60" w14:textId="41AED28F" w:rsidR="00380151" w:rsidRPr="005A3CF5" w:rsidRDefault="00380151" w:rsidP="00DF5D00">
      <w:pPr>
        <w:pStyle w:val="SMHeading"/>
        <w:spacing w:line="360" w:lineRule="auto"/>
      </w:pPr>
      <w:r w:rsidRPr="00F147DD">
        <w:rPr>
          <w:rFonts w:hint="eastAsia"/>
        </w:rPr>
        <w:t>Fig</w:t>
      </w:r>
      <w:r w:rsidRPr="00F147DD">
        <w:t>. S</w:t>
      </w:r>
      <w:r>
        <w:t>11</w:t>
      </w:r>
      <w:r w:rsidR="00B76A12">
        <w:t xml:space="preserve"> | </w:t>
      </w:r>
      <w:r w:rsidRPr="00510999">
        <w:rPr>
          <w:b w:val="0"/>
          <w:bCs w:val="0"/>
        </w:rPr>
        <w:t>Transient absorption spectra at the different delay times.</w:t>
      </w:r>
    </w:p>
    <w:p w14:paraId="6DBFC6F3" w14:textId="77777777" w:rsidR="00380151" w:rsidRPr="00E107C8" w:rsidRDefault="00380151" w:rsidP="00DF5D00">
      <w:pPr>
        <w:spacing w:before="120" w:line="360" w:lineRule="auto"/>
        <w:jc w:val="both"/>
        <w:rPr>
          <w:b/>
          <w:szCs w:val="24"/>
        </w:rPr>
      </w:pPr>
    </w:p>
    <w:p w14:paraId="71405781" w14:textId="77777777" w:rsidR="00380151" w:rsidRDefault="00380151" w:rsidP="00766F06">
      <w:pPr>
        <w:pStyle w:val="NormalWeb"/>
        <w:spacing w:before="120" w:line="360" w:lineRule="auto"/>
        <w:jc w:val="center"/>
        <w:rPr>
          <w:b/>
          <w:bCs/>
          <w:sz w:val="21"/>
          <w:szCs w:val="21"/>
        </w:rPr>
      </w:pPr>
      <w:r>
        <w:rPr>
          <w:b/>
          <w:bCs/>
          <w:noProof/>
          <w:sz w:val="21"/>
          <w:szCs w:val="21"/>
        </w:rPr>
        <w:lastRenderedPageBreak/>
        <w:drawing>
          <wp:inline distT="0" distB="0" distL="0" distR="0" wp14:anchorId="0CC4E484" wp14:editId="558CCE56">
            <wp:extent cx="5410356" cy="414020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pic:nvPicPr>
                  <pic:blipFill>
                    <a:blip r:embed="rId20"/>
                    <a:stretch>
                      <a:fillRect/>
                    </a:stretch>
                  </pic:blipFill>
                  <pic:spPr>
                    <a:xfrm>
                      <a:off x="0" y="0"/>
                      <a:ext cx="5414050" cy="4143027"/>
                    </a:xfrm>
                    <a:prstGeom prst="rect">
                      <a:avLst/>
                    </a:prstGeom>
                  </pic:spPr>
                </pic:pic>
              </a:graphicData>
            </a:graphic>
          </wp:inline>
        </w:drawing>
      </w:r>
    </w:p>
    <w:p w14:paraId="4C69DA30" w14:textId="23E987CF" w:rsidR="00380151" w:rsidRPr="00510999" w:rsidRDefault="00380151" w:rsidP="00DF5D00">
      <w:pPr>
        <w:pStyle w:val="SMHeading"/>
        <w:spacing w:line="360" w:lineRule="auto"/>
        <w:jc w:val="both"/>
        <w:rPr>
          <w:b w:val="0"/>
          <w:bCs w:val="0"/>
        </w:rPr>
      </w:pPr>
      <w:bookmarkStart w:id="7" w:name="OLE_LINK1"/>
      <w:bookmarkStart w:id="8" w:name="OLE_LINK2"/>
      <w:r w:rsidRPr="00FB3DE5">
        <w:rPr>
          <w:rFonts w:hint="eastAsia"/>
        </w:rPr>
        <w:t>Fig</w:t>
      </w:r>
      <w:r w:rsidRPr="00FB3DE5">
        <w:t>. S1</w:t>
      </w:r>
      <w:r>
        <w:t>2</w:t>
      </w:r>
      <w:bookmarkEnd w:id="7"/>
      <w:bookmarkEnd w:id="8"/>
      <w:r w:rsidR="00B76A12">
        <w:t xml:space="preserve"> | </w:t>
      </w:r>
      <w:r w:rsidRPr="00510999">
        <w:rPr>
          <w:rFonts w:eastAsia="Arial Unicode MS"/>
          <w:b w:val="0"/>
          <w:bCs w:val="0"/>
          <w:color w:val="000000" w:themeColor="text1"/>
          <w:kern w:val="24"/>
        </w:rPr>
        <w:t xml:space="preserve">Steady-state PL measurements. (a) (c) The schematic diagrams of the measured structures for the cases with and without HTLs, respectively, </w:t>
      </w:r>
      <w:r w:rsidR="00766F06" w:rsidRPr="00DA75B2">
        <w:rPr>
          <w:rFonts w:eastAsia="Arial Unicode MS"/>
          <w:b w:val="0"/>
          <w:bCs w:val="0"/>
          <w:color w:val="000000" w:themeColor="text1"/>
          <w:kern w:val="24"/>
          <w:lang w:eastAsia="zh-CN"/>
        </w:rPr>
        <w:t>in which the excitation wavelength is 470 nm</w:t>
      </w:r>
      <w:r w:rsidR="00766F06">
        <w:rPr>
          <w:rFonts w:eastAsia="Arial Unicode MS"/>
          <w:b w:val="0"/>
          <w:bCs w:val="0"/>
          <w:color w:val="000000" w:themeColor="text1"/>
          <w:kern w:val="24"/>
          <w:lang w:eastAsia="zh-CN"/>
        </w:rPr>
        <w:t xml:space="preserve">, </w:t>
      </w:r>
      <w:r w:rsidRPr="00510999">
        <w:rPr>
          <w:rFonts w:eastAsia="Arial Unicode MS"/>
          <w:b w:val="0"/>
          <w:bCs w:val="0"/>
          <w:color w:val="000000" w:themeColor="text1"/>
          <w:kern w:val="24"/>
        </w:rPr>
        <w:t xml:space="preserve">and (b) (d) the corresponding PL spectra. For the case without HTLs, </w:t>
      </w:r>
      <w:r w:rsidRPr="00510999">
        <w:rPr>
          <w:b w:val="0"/>
          <w:bCs w:val="0"/>
        </w:rPr>
        <w:t xml:space="preserve">the PL </w:t>
      </w:r>
      <w:r w:rsidRPr="00510999">
        <w:rPr>
          <w:rFonts w:hint="eastAsia"/>
          <w:b w:val="0"/>
          <w:bCs w:val="0"/>
        </w:rPr>
        <w:t>feature</w:t>
      </w:r>
      <w:r w:rsidRPr="00510999">
        <w:rPr>
          <w:b w:val="0"/>
          <w:bCs w:val="0"/>
        </w:rPr>
        <w:t xml:space="preserve"> peak of 3D perovskite</w:t>
      </w:r>
      <w:r w:rsidR="00DF2D23">
        <w:rPr>
          <w:b w:val="0"/>
          <w:bCs w:val="0"/>
        </w:rPr>
        <w:t>,</w:t>
      </w:r>
      <w:r w:rsidRPr="00510999">
        <w:rPr>
          <w:b w:val="0"/>
          <w:bCs w:val="0"/>
        </w:rPr>
        <w:t xml:space="preserve"> as shown in Fig. S11b is obviously weakened by the 2D/3D heterojunction. The reduced PL intensity that is usually associated with the lowered radiative recombination is the result of the reduced free carriers in the bulk and an improved carrier transport behavior. With the presence of HTLs, the demonstrated results in Fig. S11d are just the opposite compared with the none HTL cases in Fig. S11b, and the enlarged PL intensities for the 2D/3D cases indicate improved passivation. Therefore, it can be concluded from the steady state PL, TrPL and TAS measurements that carrier dynamics of samples with 2D/3D heterojunction cannot be thoroughly evaluated by a single characterizing method, because the enhancement of surface defect passivation and charge-carrier extraction may co-exist.  </w:t>
      </w:r>
    </w:p>
    <w:p w14:paraId="13E433B0" w14:textId="77777777" w:rsidR="00380151" w:rsidRPr="00AB21D9" w:rsidRDefault="00380151" w:rsidP="00DF5D00">
      <w:pPr>
        <w:spacing w:before="120" w:line="360" w:lineRule="auto"/>
        <w:jc w:val="both"/>
        <w:rPr>
          <w:rFonts w:eastAsia="Arial Unicode MS"/>
          <w:color w:val="000000" w:themeColor="text1"/>
          <w:kern w:val="24"/>
          <w:szCs w:val="24"/>
        </w:rPr>
      </w:pPr>
    </w:p>
    <w:p w14:paraId="6D0A229D" w14:textId="2C549C11" w:rsidR="00380151" w:rsidRDefault="00380151" w:rsidP="00DF5D00">
      <w:pPr>
        <w:snapToGrid w:val="0"/>
        <w:spacing w:before="120" w:line="360" w:lineRule="auto"/>
        <w:jc w:val="center"/>
        <w:rPr>
          <w:rFonts w:eastAsia="SimSun"/>
          <w:szCs w:val="21"/>
        </w:rPr>
      </w:pPr>
      <w:r>
        <w:rPr>
          <w:rFonts w:eastAsia="SimSun"/>
          <w:szCs w:val="21"/>
        </w:rPr>
        <w:br w:type="page"/>
      </w:r>
      <w:r>
        <w:rPr>
          <w:rFonts w:eastAsia="SimSun"/>
          <w:noProof/>
          <w:szCs w:val="21"/>
        </w:rPr>
        <w:lastRenderedPageBreak/>
        <w:drawing>
          <wp:inline distT="0" distB="0" distL="0" distR="0" wp14:anchorId="47B239A6" wp14:editId="1B5A7657">
            <wp:extent cx="3253684" cy="657139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54869" cy="6573791"/>
                    </a:xfrm>
                    <a:prstGeom prst="rect">
                      <a:avLst/>
                    </a:prstGeom>
                  </pic:spPr>
                </pic:pic>
              </a:graphicData>
            </a:graphic>
          </wp:inline>
        </w:drawing>
      </w:r>
    </w:p>
    <w:p w14:paraId="38DECC09" w14:textId="510BC972" w:rsidR="00380151" w:rsidRPr="00F468EF" w:rsidRDefault="00380151" w:rsidP="00DF5D00">
      <w:pPr>
        <w:pStyle w:val="SMHeading"/>
        <w:spacing w:line="360" w:lineRule="auto"/>
        <w:jc w:val="both"/>
        <w:rPr>
          <w:rFonts w:eastAsia="Arial Unicode MS"/>
          <w:color w:val="000000" w:themeColor="text1"/>
          <w:kern w:val="24"/>
        </w:rPr>
      </w:pPr>
      <w:r w:rsidRPr="00FB3DE5">
        <w:rPr>
          <w:rFonts w:hint="eastAsia"/>
        </w:rPr>
        <w:t>Fig</w:t>
      </w:r>
      <w:r w:rsidRPr="00FB3DE5">
        <w:t>. S1</w:t>
      </w:r>
      <w:r>
        <w:t>3</w:t>
      </w:r>
      <w:r w:rsidR="00B76A12">
        <w:t xml:space="preserve"> | </w:t>
      </w:r>
      <w:r w:rsidRPr="00510999">
        <w:rPr>
          <w:rFonts w:eastAsia="Arial Unicode MS"/>
          <w:b w:val="0"/>
          <w:bCs w:val="0"/>
          <w:color w:val="000000" w:themeColor="text1"/>
          <w:kern w:val="24"/>
        </w:rPr>
        <w:t>Calculated band structures and the corresponding total density of states for (a) FAPbI</w:t>
      </w:r>
      <w:r w:rsidRPr="00510999">
        <w:rPr>
          <w:rFonts w:eastAsia="Arial Unicode MS"/>
          <w:b w:val="0"/>
          <w:bCs w:val="0"/>
          <w:color w:val="000000" w:themeColor="text1"/>
          <w:kern w:val="24"/>
          <w:vertAlign w:val="subscript"/>
        </w:rPr>
        <w:t>3</w:t>
      </w:r>
      <w:r w:rsidRPr="00510999">
        <w:rPr>
          <w:rFonts w:eastAsia="Arial Unicode MS"/>
          <w:b w:val="0"/>
          <w:bCs w:val="0"/>
          <w:color w:val="000000" w:themeColor="text1"/>
          <w:kern w:val="24"/>
        </w:rPr>
        <w:t xml:space="preserve"> 3D perovskite, (b) (BA)</w:t>
      </w:r>
      <w:r w:rsidRPr="00510999">
        <w:rPr>
          <w:rFonts w:eastAsia="Arial Unicode MS"/>
          <w:b w:val="0"/>
          <w:bCs w:val="0"/>
          <w:color w:val="000000" w:themeColor="text1"/>
          <w:kern w:val="24"/>
          <w:vertAlign w:val="subscript"/>
        </w:rPr>
        <w:t>2</w:t>
      </w:r>
      <w:r w:rsidRPr="00510999">
        <w:rPr>
          <w:rFonts w:eastAsia="Arial Unicode MS"/>
          <w:b w:val="0"/>
          <w:bCs w:val="0"/>
          <w:color w:val="000000" w:themeColor="text1"/>
          <w:kern w:val="24"/>
        </w:rPr>
        <w:t>FAPb</w:t>
      </w:r>
      <w:r w:rsidRPr="00510999">
        <w:rPr>
          <w:rFonts w:eastAsia="Arial Unicode MS"/>
          <w:b w:val="0"/>
          <w:bCs w:val="0"/>
          <w:color w:val="000000" w:themeColor="text1"/>
          <w:kern w:val="24"/>
          <w:vertAlign w:val="subscript"/>
        </w:rPr>
        <w:t>2</w:t>
      </w:r>
      <w:r w:rsidRPr="00510999">
        <w:rPr>
          <w:rFonts w:eastAsia="Arial Unicode MS"/>
          <w:b w:val="0"/>
          <w:bCs w:val="0"/>
          <w:color w:val="000000" w:themeColor="text1"/>
          <w:kern w:val="24"/>
        </w:rPr>
        <w:t>Br</w:t>
      </w:r>
      <w:r w:rsidRPr="00510999">
        <w:rPr>
          <w:rFonts w:eastAsia="Arial Unicode MS"/>
          <w:b w:val="0"/>
          <w:bCs w:val="0"/>
          <w:color w:val="000000" w:themeColor="text1"/>
          <w:kern w:val="24"/>
          <w:vertAlign w:val="subscript"/>
        </w:rPr>
        <w:t>7</w:t>
      </w:r>
      <w:r w:rsidRPr="00510999">
        <w:rPr>
          <w:rFonts w:eastAsia="Arial Unicode MS"/>
          <w:b w:val="0"/>
          <w:bCs w:val="0"/>
          <w:color w:val="000000" w:themeColor="text1"/>
          <w:kern w:val="24"/>
        </w:rPr>
        <w:t xml:space="preserve"> 2D perovskite, (c) (BA)</w:t>
      </w:r>
      <w:r w:rsidRPr="00510999">
        <w:rPr>
          <w:rFonts w:eastAsia="Arial Unicode MS"/>
          <w:b w:val="0"/>
          <w:bCs w:val="0"/>
          <w:color w:val="000000" w:themeColor="text1"/>
          <w:kern w:val="24"/>
          <w:vertAlign w:val="subscript"/>
        </w:rPr>
        <w:t>2</w:t>
      </w:r>
      <w:r w:rsidRPr="00510999">
        <w:rPr>
          <w:rFonts w:eastAsia="Arial Unicode MS"/>
          <w:b w:val="0"/>
          <w:bCs w:val="0"/>
          <w:color w:val="000000" w:themeColor="text1"/>
          <w:kern w:val="24"/>
        </w:rPr>
        <w:t>FAPb</w:t>
      </w:r>
      <w:r w:rsidRPr="00510999">
        <w:rPr>
          <w:rFonts w:eastAsia="Arial Unicode MS"/>
          <w:b w:val="0"/>
          <w:bCs w:val="0"/>
          <w:color w:val="000000" w:themeColor="text1"/>
          <w:kern w:val="24"/>
          <w:vertAlign w:val="subscript"/>
        </w:rPr>
        <w:t>2</w:t>
      </w:r>
      <w:r w:rsidRPr="00510999">
        <w:rPr>
          <w:rFonts w:eastAsia="Arial Unicode MS"/>
          <w:b w:val="0"/>
          <w:bCs w:val="0"/>
          <w:color w:val="000000" w:themeColor="text1"/>
          <w:kern w:val="24"/>
        </w:rPr>
        <w:t>I</w:t>
      </w:r>
      <w:r w:rsidRPr="00510999">
        <w:rPr>
          <w:rFonts w:eastAsia="Arial Unicode MS"/>
          <w:b w:val="0"/>
          <w:bCs w:val="0"/>
          <w:color w:val="000000" w:themeColor="text1"/>
          <w:kern w:val="24"/>
          <w:vertAlign w:val="subscript"/>
        </w:rPr>
        <w:t>7</w:t>
      </w:r>
      <w:r w:rsidRPr="00510999">
        <w:rPr>
          <w:rFonts w:eastAsia="Arial Unicode MS"/>
          <w:b w:val="0"/>
          <w:bCs w:val="0"/>
          <w:color w:val="000000" w:themeColor="text1"/>
          <w:kern w:val="24"/>
        </w:rPr>
        <w:t xml:space="preserve"> 2D perovskite</w:t>
      </w:r>
      <w:r w:rsidRPr="00510999">
        <w:rPr>
          <w:b w:val="0"/>
          <w:bCs w:val="0"/>
        </w:rPr>
        <w:t xml:space="preserve">. The absolute values of energies are </w:t>
      </w:r>
      <w:r w:rsidRPr="00510999">
        <w:rPr>
          <w:rFonts w:hint="eastAsia"/>
          <w:b w:val="0"/>
          <w:bCs w:val="0"/>
        </w:rPr>
        <w:t>ca</w:t>
      </w:r>
      <w:r w:rsidRPr="00510999">
        <w:rPr>
          <w:b w:val="0"/>
          <w:bCs w:val="0"/>
        </w:rPr>
        <w:t>lculated as –6.25 eV, –5.76 eV, –6.49 eV, respectively</w:t>
      </w:r>
      <w:r w:rsidR="00DF2D23">
        <w:rPr>
          <w:b w:val="0"/>
          <w:bCs w:val="0"/>
        </w:rPr>
        <w:t>,</w:t>
      </w:r>
      <w:r w:rsidRPr="00510999">
        <w:rPr>
          <w:b w:val="0"/>
          <w:bCs w:val="0"/>
        </w:rPr>
        <w:t xml:space="preserve"> for the three involved cases.</w:t>
      </w:r>
    </w:p>
    <w:p w14:paraId="5646376E" w14:textId="77777777" w:rsidR="00380151" w:rsidRPr="00F44B38" w:rsidRDefault="00380151" w:rsidP="00DF5D00">
      <w:pPr>
        <w:tabs>
          <w:tab w:val="left" w:pos="3202"/>
        </w:tabs>
        <w:spacing w:before="120" w:line="360" w:lineRule="auto"/>
        <w:jc w:val="both"/>
        <w:rPr>
          <w:rFonts w:eastAsia="Arial Unicode MS"/>
          <w:color w:val="000000" w:themeColor="text1"/>
          <w:kern w:val="24"/>
          <w:szCs w:val="24"/>
        </w:rPr>
      </w:pPr>
      <w:r w:rsidRPr="00891EF5">
        <w:rPr>
          <w:rFonts w:eastAsia="SimSun"/>
          <w:szCs w:val="21"/>
        </w:rPr>
        <w:br w:type="page"/>
      </w:r>
    </w:p>
    <w:p w14:paraId="5EC95FB6" w14:textId="77777777" w:rsidR="00380151" w:rsidRDefault="00380151" w:rsidP="00DF5D00">
      <w:pPr>
        <w:spacing w:before="120" w:line="360" w:lineRule="auto"/>
        <w:jc w:val="center"/>
        <w:rPr>
          <w:rFonts w:eastAsia="SimSun"/>
          <w:szCs w:val="21"/>
        </w:rPr>
      </w:pPr>
      <w:r>
        <w:rPr>
          <w:rFonts w:eastAsia="SimSun"/>
          <w:noProof/>
          <w:szCs w:val="21"/>
        </w:rPr>
        <w:lastRenderedPageBreak/>
        <w:drawing>
          <wp:inline distT="0" distB="0" distL="0" distR="0" wp14:anchorId="787AA3B2" wp14:editId="13E6D76E">
            <wp:extent cx="4614560" cy="53432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15806" cy="5344719"/>
                    </a:xfrm>
                    <a:prstGeom prst="rect">
                      <a:avLst/>
                    </a:prstGeom>
                  </pic:spPr>
                </pic:pic>
              </a:graphicData>
            </a:graphic>
          </wp:inline>
        </w:drawing>
      </w:r>
    </w:p>
    <w:p w14:paraId="6E69A068" w14:textId="51F70BCC" w:rsidR="00380151" w:rsidRPr="000D4E6D" w:rsidRDefault="00380151" w:rsidP="00DF5D00">
      <w:pPr>
        <w:pStyle w:val="SMHeading"/>
        <w:spacing w:line="360" w:lineRule="auto"/>
        <w:jc w:val="both"/>
        <w:rPr>
          <w:rFonts w:eastAsia="Arial Unicode MS"/>
          <w:color w:val="000000" w:themeColor="text1"/>
          <w:kern w:val="24"/>
        </w:rPr>
      </w:pPr>
      <w:r w:rsidRPr="00FB3DE5">
        <w:rPr>
          <w:rFonts w:hint="eastAsia"/>
        </w:rPr>
        <w:t>Fig</w:t>
      </w:r>
      <w:r w:rsidRPr="00FB3DE5">
        <w:t>. S1</w:t>
      </w:r>
      <w:r>
        <w:t>4</w:t>
      </w:r>
      <w:r w:rsidR="00B76A12">
        <w:t xml:space="preserve"> | </w:t>
      </w:r>
      <w:r w:rsidRPr="00510999">
        <w:rPr>
          <w:rFonts w:eastAsia="Arial Unicode MS"/>
          <w:b w:val="0"/>
          <w:bCs w:val="0"/>
          <w:color w:val="000000" w:themeColor="text1"/>
          <w:kern w:val="24"/>
        </w:rPr>
        <w:t>Calculated band structures and the corresponding total density of states for (BA)</w:t>
      </w:r>
      <w:r w:rsidRPr="00510999">
        <w:rPr>
          <w:rFonts w:eastAsia="Arial Unicode MS"/>
          <w:b w:val="0"/>
          <w:bCs w:val="0"/>
          <w:color w:val="000000" w:themeColor="text1"/>
          <w:kern w:val="24"/>
          <w:vertAlign w:val="subscript"/>
        </w:rPr>
        <w:t>2</w:t>
      </w:r>
      <w:r w:rsidRPr="00510999">
        <w:rPr>
          <w:rFonts w:eastAsia="Arial Unicode MS"/>
          <w:b w:val="0"/>
          <w:bCs w:val="0"/>
          <w:color w:val="000000" w:themeColor="text1"/>
          <w:kern w:val="24"/>
        </w:rPr>
        <w:t>FAPb</w:t>
      </w:r>
      <w:r w:rsidRPr="00510999">
        <w:rPr>
          <w:rFonts w:eastAsia="Arial Unicode MS"/>
          <w:b w:val="0"/>
          <w:bCs w:val="0"/>
          <w:color w:val="000000" w:themeColor="text1"/>
          <w:kern w:val="24"/>
          <w:vertAlign w:val="subscript"/>
        </w:rPr>
        <w:t>2</w:t>
      </w:r>
      <w:r w:rsidRPr="00510999">
        <w:rPr>
          <w:rFonts w:eastAsia="Arial Unicode MS"/>
          <w:b w:val="0"/>
          <w:bCs w:val="0"/>
          <w:color w:val="000000" w:themeColor="text1"/>
          <w:kern w:val="24"/>
        </w:rPr>
        <w:t>Br</w:t>
      </w:r>
      <w:r w:rsidRPr="00510999">
        <w:rPr>
          <w:rFonts w:eastAsia="Arial Unicode MS"/>
          <w:b w:val="0"/>
          <w:bCs w:val="0"/>
          <w:color w:val="000000" w:themeColor="text1"/>
          <w:kern w:val="24"/>
          <w:vertAlign w:val="subscript"/>
        </w:rPr>
        <w:t>x</w:t>
      </w:r>
      <w:r w:rsidRPr="00510999">
        <w:rPr>
          <w:rFonts w:eastAsia="Arial Unicode MS"/>
          <w:b w:val="0"/>
          <w:bCs w:val="0"/>
          <w:color w:val="000000" w:themeColor="text1"/>
          <w:kern w:val="24"/>
        </w:rPr>
        <w:t>I</w:t>
      </w:r>
      <w:r w:rsidRPr="00510999">
        <w:rPr>
          <w:rFonts w:eastAsia="Arial Unicode MS"/>
          <w:b w:val="0"/>
          <w:bCs w:val="0"/>
          <w:color w:val="000000" w:themeColor="text1"/>
          <w:kern w:val="24"/>
          <w:vertAlign w:val="subscript"/>
        </w:rPr>
        <w:t>7–x</w:t>
      </w:r>
      <w:r w:rsidRPr="00510999">
        <w:rPr>
          <w:rFonts w:eastAsia="Arial Unicode MS"/>
          <w:b w:val="0"/>
          <w:bCs w:val="0"/>
          <w:color w:val="000000" w:themeColor="text1"/>
          <w:kern w:val="24"/>
        </w:rPr>
        <w:t xml:space="preserve">. (a) (b) x = 1, (b) (c) x = 2, (e) (f) x = 4, </w:t>
      </w:r>
      <w:r w:rsidRPr="00510999">
        <w:rPr>
          <w:b w:val="0"/>
          <w:bCs w:val="0"/>
        </w:rPr>
        <w:t>with the corresponding Br element contents of14%, 29%, and 57%, respectively. The absolute values of energies are adjusted by –6.25 eV, –5.76 eV, and –6.49 eV, respectively.</w:t>
      </w:r>
    </w:p>
    <w:p w14:paraId="653BA712" w14:textId="77777777" w:rsidR="00380151" w:rsidRPr="00B25073" w:rsidRDefault="00380151" w:rsidP="00DF5D00">
      <w:pPr>
        <w:snapToGrid w:val="0"/>
        <w:spacing w:before="120" w:line="360" w:lineRule="auto"/>
        <w:jc w:val="both"/>
        <w:rPr>
          <w:color w:val="000000" w:themeColor="text1"/>
          <w:szCs w:val="28"/>
        </w:rPr>
      </w:pPr>
    </w:p>
    <w:p w14:paraId="3C854FF5" w14:textId="77777777" w:rsidR="00380151" w:rsidRDefault="00380151" w:rsidP="00DF5D00">
      <w:pPr>
        <w:spacing w:before="120" w:line="360" w:lineRule="auto"/>
        <w:jc w:val="both"/>
        <w:rPr>
          <w:szCs w:val="24"/>
        </w:rPr>
      </w:pPr>
      <w:r>
        <w:rPr>
          <w:szCs w:val="24"/>
        </w:rPr>
        <w:br w:type="page"/>
      </w:r>
    </w:p>
    <w:p w14:paraId="61592B7D" w14:textId="77777777" w:rsidR="00380151" w:rsidRPr="00024AF2" w:rsidRDefault="00380151" w:rsidP="00DF5D00">
      <w:pPr>
        <w:spacing w:before="120" w:line="360" w:lineRule="auto"/>
        <w:jc w:val="both"/>
        <w:rPr>
          <w:szCs w:val="24"/>
        </w:rPr>
      </w:pPr>
    </w:p>
    <w:p w14:paraId="34E6512C" w14:textId="77777777" w:rsidR="00380151" w:rsidRDefault="00380151" w:rsidP="00DF5D00">
      <w:pPr>
        <w:spacing w:before="120" w:line="360" w:lineRule="auto"/>
        <w:jc w:val="center"/>
        <w:rPr>
          <w:rFonts w:eastAsia="SimSun"/>
          <w:szCs w:val="21"/>
        </w:rPr>
      </w:pPr>
      <w:r w:rsidRPr="00D56A27">
        <w:rPr>
          <w:rFonts w:eastAsia="SimSun"/>
          <w:noProof/>
          <w:szCs w:val="21"/>
        </w:rPr>
        <w:drawing>
          <wp:inline distT="0" distB="0" distL="0" distR="0" wp14:anchorId="19E362DE" wp14:editId="43549233">
            <wp:extent cx="4056296" cy="303737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8101" cy="3038730"/>
                    </a:xfrm>
                    <a:prstGeom prst="rect">
                      <a:avLst/>
                    </a:prstGeom>
                    <a:noFill/>
                    <a:ln>
                      <a:noFill/>
                    </a:ln>
                  </pic:spPr>
                </pic:pic>
              </a:graphicData>
            </a:graphic>
          </wp:inline>
        </w:drawing>
      </w:r>
    </w:p>
    <w:p w14:paraId="02C4DB02" w14:textId="5DC32D53" w:rsidR="00380151" w:rsidRDefault="00380151" w:rsidP="00DF5D00">
      <w:pPr>
        <w:pStyle w:val="SMHeading"/>
        <w:spacing w:line="360" w:lineRule="auto"/>
        <w:rPr>
          <w:rFonts w:eastAsia="SimSun"/>
          <w:kern w:val="0"/>
          <w:szCs w:val="21"/>
        </w:rPr>
      </w:pPr>
      <w:r w:rsidRPr="00FB3DE5">
        <w:rPr>
          <w:rFonts w:hint="eastAsia"/>
        </w:rPr>
        <w:t>Fig</w:t>
      </w:r>
      <w:r w:rsidRPr="00FB3DE5">
        <w:t>. S1</w:t>
      </w:r>
      <w:r>
        <w:t>5</w:t>
      </w:r>
      <w:r w:rsidR="00B76A12">
        <w:t xml:space="preserve"> | </w:t>
      </w:r>
      <w:r w:rsidRPr="00510999">
        <w:rPr>
          <w:b w:val="0"/>
          <w:bCs w:val="0"/>
        </w:rPr>
        <w:t xml:space="preserve">The simulated and experimental </w:t>
      </w:r>
      <w:r w:rsidRPr="00510999">
        <w:rPr>
          <w:rFonts w:hint="eastAsia"/>
          <w:b w:val="0"/>
          <w:bCs w:val="0"/>
          <w:i/>
          <w:iCs/>
        </w:rPr>
        <w:t>J</w:t>
      </w:r>
      <w:r w:rsidRPr="00510999">
        <w:rPr>
          <w:b w:val="0"/>
          <w:bCs w:val="0"/>
          <w:i/>
          <w:iCs/>
        </w:rPr>
        <w:t>-V</w:t>
      </w:r>
      <w:r w:rsidRPr="00510999">
        <w:rPr>
          <w:b w:val="0"/>
          <w:bCs w:val="0"/>
        </w:rPr>
        <w:t xml:space="preserve"> curves for three related cases. The simulated VBO </w:t>
      </w:r>
      <w:r w:rsidRPr="00510999">
        <w:rPr>
          <w:rFonts w:hint="eastAsia"/>
          <w:b w:val="0"/>
          <w:bCs w:val="0"/>
        </w:rPr>
        <w:t>was</w:t>
      </w:r>
      <w:r w:rsidRPr="00510999">
        <w:rPr>
          <w:b w:val="0"/>
          <w:bCs w:val="0"/>
        </w:rPr>
        <w:t xml:space="preserve"> extracted from the UPS results.</w:t>
      </w:r>
    </w:p>
    <w:p w14:paraId="55127CEB" w14:textId="77777777" w:rsidR="00380151" w:rsidRDefault="00380151" w:rsidP="00DF5D00">
      <w:pPr>
        <w:spacing w:before="120" w:line="360" w:lineRule="auto"/>
        <w:jc w:val="both"/>
        <w:rPr>
          <w:rFonts w:eastAsia="SimSun"/>
          <w:szCs w:val="21"/>
        </w:rPr>
      </w:pPr>
      <w:r>
        <w:rPr>
          <w:rFonts w:eastAsia="SimSun"/>
          <w:szCs w:val="21"/>
        </w:rPr>
        <w:br w:type="page"/>
      </w:r>
    </w:p>
    <w:p w14:paraId="414F2F1F" w14:textId="77777777" w:rsidR="00380151" w:rsidRDefault="00380151" w:rsidP="00DF5D00">
      <w:pPr>
        <w:spacing w:before="120" w:line="360" w:lineRule="auto"/>
        <w:jc w:val="both"/>
        <w:rPr>
          <w:rFonts w:eastAsia="SimSun"/>
          <w:szCs w:val="21"/>
        </w:rPr>
      </w:pPr>
      <w:r>
        <w:rPr>
          <w:rFonts w:eastAsia="SimSun"/>
          <w:noProof/>
          <w:szCs w:val="21"/>
        </w:rPr>
        <w:lastRenderedPageBreak/>
        <w:drawing>
          <wp:inline distT="0" distB="0" distL="0" distR="0" wp14:anchorId="1E79872B" wp14:editId="374351E4">
            <wp:extent cx="6052782" cy="5187473"/>
            <wp:effectExtent l="0" t="0" r="571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4"/>
                    <a:stretch>
                      <a:fillRect/>
                    </a:stretch>
                  </pic:blipFill>
                  <pic:spPr>
                    <a:xfrm>
                      <a:off x="0" y="0"/>
                      <a:ext cx="6072385" cy="5204273"/>
                    </a:xfrm>
                    <a:prstGeom prst="rect">
                      <a:avLst/>
                    </a:prstGeom>
                  </pic:spPr>
                </pic:pic>
              </a:graphicData>
            </a:graphic>
          </wp:inline>
        </w:drawing>
      </w:r>
    </w:p>
    <w:p w14:paraId="15CF8A63" w14:textId="4C3BEB90" w:rsidR="00380151" w:rsidRDefault="00380151" w:rsidP="00DF5D00">
      <w:pPr>
        <w:pStyle w:val="SMHeading"/>
        <w:spacing w:line="360" w:lineRule="auto"/>
        <w:jc w:val="both"/>
        <w:rPr>
          <w:rFonts w:eastAsia="Arial Unicode MS"/>
          <w:color w:val="000000" w:themeColor="text1"/>
          <w:kern w:val="24"/>
        </w:rPr>
      </w:pPr>
      <w:r w:rsidRPr="00FB3DE5">
        <w:rPr>
          <w:rFonts w:hint="eastAsia"/>
        </w:rPr>
        <w:t>Fig</w:t>
      </w:r>
      <w:r w:rsidRPr="00FB3DE5">
        <w:t>. S1</w:t>
      </w:r>
      <w:r>
        <w:t>6</w:t>
      </w:r>
      <w:r w:rsidR="00B76A12">
        <w:t xml:space="preserve"> | </w:t>
      </w:r>
      <w:r w:rsidRPr="00510999">
        <w:rPr>
          <w:b w:val="0"/>
          <w:bCs w:val="0"/>
        </w:rPr>
        <w:t>S</w:t>
      </w:r>
      <w:r w:rsidRPr="00510999">
        <w:rPr>
          <w:rFonts w:eastAsia="Arial Unicode MS"/>
          <w:b w:val="0"/>
          <w:bCs w:val="0"/>
          <w:color w:val="000000" w:themeColor="text1"/>
          <w:kern w:val="24"/>
        </w:rPr>
        <w:t xml:space="preserve">imulated device performance as functions of VBO and interface defects: (a) </w:t>
      </w:r>
      <w:r w:rsidRPr="00766F06">
        <w:rPr>
          <w:rFonts w:eastAsia="Arial Unicode MS"/>
          <w:b w:val="0"/>
          <w:bCs w:val="0"/>
          <w:color w:val="000000" w:themeColor="text1"/>
          <w:kern w:val="24"/>
        </w:rPr>
        <w:t>PCE</w:t>
      </w:r>
      <w:r w:rsidRPr="00510999">
        <w:rPr>
          <w:rFonts w:eastAsia="Arial Unicode MS"/>
          <w:b w:val="0"/>
          <w:bCs w:val="0"/>
          <w:color w:val="000000" w:themeColor="text1"/>
          <w:kern w:val="24"/>
        </w:rPr>
        <w:t xml:space="preserve">, (b) </w:t>
      </w:r>
      <w:r w:rsidRPr="00766F06">
        <w:rPr>
          <w:rFonts w:eastAsia="Arial Unicode MS"/>
          <w:b w:val="0"/>
          <w:bCs w:val="0"/>
          <w:color w:val="000000" w:themeColor="text1"/>
          <w:kern w:val="24"/>
        </w:rPr>
        <w:t>FF</w:t>
      </w:r>
      <w:r w:rsidRPr="00510999">
        <w:rPr>
          <w:rFonts w:eastAsia="Arial Unicode MS"/>
          <w:b w:val="0"/>
          <w:bCs w:val="0"/>
          <w:color w:val="000000" w:themeColor="text1"/>
          <w:kern w:val="24"/>
        </w:rPr>
        <w:t xml:space="preserve"> and (c) </w:t>
      </w:r>
      <w:r w:rsidRPr="00510999">
        <w:rPr>
          <w:rFonts w:eastAsia="Arial Unicode MS"/>
          <w:b w:val="0"/>
          <w:bCs w:val="0"/>
          <w:i/>
          <w:iCs/>
          <w:color w:val="000000" w:themeColor="text1"/>
          <w:kern w:val="24"/>
        </w:rPr>
        <w:t>V</w:t>
      </w:r>
      <w:r w:rsidRPr="00510999">
        <w:rPr>
          <w:rFonts w:eastAsia="Arial Unicode MS"/>
          <w:b w:val="0"/>
          <w:bCs w:val="0"/>
          <w:color w:val="000000" w:themeColor="text1"/>
          <w:kern w:val="24"/>
          <w:vertAlign w:val="subscript"/>
        </w:rPr>
        <w:t>OC</w:t>
      </w:r>
      <w:r w:rsidRPr="00510999">
        <w:rPr>
          <w:rFonts w:eastAsia="Arial Unicode MS"/>
          <w:b w:val="0"/>
          <w:bCs w:val="0"/>
          <w:color w:val="000000" w:themeColor="text1"/>
          <w:kern w:val="24"/>
        </w:rPr>
        <w:t>. I</w:t>
      </w:r>
      <w:r w:rsidRPr="00510999">
        <w:rPr>
          <w:rFonts w:eastAsia="Arial Unicode MS" w:hint="eastAsia"/>
          <w:b w:val="0"/>
          <w:bCs w:val="0"/>
          <w:color w:val="000000" w:themeColor="text1"/>
          <w:kern w:val="24"/>
        </w:rPr>
        <w:t>t</w:t>
      </w:r>
      <w:r w:rsidRPr="00510999">
        <w:rPr>
          <w:rFonts w:eastAsia="Arial Unicode MS"/>
          <w:b w:val="0"/>
          <w:bCs w:val="0"/>
          <w:color w:val="000000" w:themeColor="text1"/>
          <w:kern w:val="24"/>
        </w:rPr>
        <w:t xml:space="preserve"> is noted that the change of </w:t>
      </w:r>
      <w:r w:rsidRPr="00510999">
        <w:rPr>
          <w:rFonts w:eastAsia="Arial Unicode MS"/>
          <w:b w:val="0"/>
          <w:bCs w:val="0"/>
          <w:i/>
          <w:iCs/>
          <w:color w:val="000000" w:themeColor="text1"/>
          <w:kern w:val="24"/>
        </w:rPr>
        <w:t>J</w:t>
      </w:r>
      <w:r w:rsidRPr="00510999">
        <w:rPr>
          <w:rFonts w:eastAsia="Arial Unicode MS"/>
          <w:b w:val="0"/>
          <w:bCs w:val="0"/>
          <w:color w:val="000000" w:themeColor="text1"/>
          <w:kern w:val="24"/>
        </w:rPr>
        <w:t>sc is too small to be ignored so that they are not included in this study.</w:t>
      </w:r>
    </w:p>
    <w:p w14:paraId="55FCAE70" w14:textId="77777777" w:rsidR="00380151" w:rsidRDefault="00380151" w:rsidP="00DF5D00">
      <w:pPr>
        <w:spacing w:before="120" w:line="360" w:lineRule="auto"/>
        <w:jc w:val="both"/>
        <w:rPr>
          <w:rFonts w:eastAsia="Arial Unicode MS"/>
          <w:color w:val="000000" w:themeColor="text1"/>
          <w:kern w:val="24"/>
          <w:szCs w:val="24"/>
        </w:rPr>
      </w:pPr>
      <w:r>
        <w:rPr>
          <w:rFonts w:eastAsia="Arial Unicode MS"/>
          <w:color w:val="000000" w:themeColor="text1"/>
          <w:kern w:val="24"/>
          <w:szCs w:val="24"/>
        </w:rPr>
        <w:br w:type="page"/>
      </w:r>
    </w:p>
    <w:p w14:paraId="59BCDA8C" w14:textId="77777777" w:rsidR="00380151" w:rsidRDefault="00380151" w:rsidP="00DF5D00">
      <w:pPr>
        <w:spacing w:before="120" w:line="360" w:lineRule="auto"/>
        <w:jc w:val="both"/>
        <w:rPr>
          <w:rFonts w:eastAsia="Arial Unicode MS"/>
          <w:color w:val="000000" w:themeColor="text1"/>
          <w:kern w:val="24"/>
          <w:szCs w:val="24"/>
        </w:rPr>
      </w:pPr>
      <w:r>
        <w:rPr>
          <w:rFonts w:eastAsia="Arial Unicode MS"/>
          <w:noProof/>
          <w:color w:val="000000" w:themeColor="text1"/>
          <w:kern w:val="24"/>
          <w:szCs w:val="24"/>
        </w:rPr>
        <w:lastRenderedPageBreak/>
        <w:drawing>
          <wp:inline distT="0" distB="0" distL="0" distR="0" wp14:anchorId="2CA9666E" wp14:editId="79CB5230">
            <wp:extent cx="6120130" cy="247205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2472055"/>
                    </a:xfrm>
                    <a:prstGeom prst="rect">
                      <a:avLst/>
                    </a:prstGeom>
                  </pic:spPr>
                </pic:pic>
              </a:graphicData>
            </a:graphic>
          </wp:inline>
        </w:drawing>
      </w:r>
      <w:r>
        <w:rPr>
          <w:rFonts w:eastAsia="Arial Unicode MS"/>
          <w:color w:val="000000" w:themeColor="text1"/>
          <w:kern w:val="24"/>
          <w:szCs w:val="24"/>
        </w:rPr>
        <w:t xml:space="preserve"> </w:t>
      </w:r>
    </w:p>
    <w:p w14:paraId="3D192139" w14:textId="5E29AB66" w:rsidR="00380151" w:rsidRDefault="00380151" w:rsidP="00DF5D00">
      <w:pPr>
        <w:pStyle w:val="SMHeading"/>
        <w:spacing w:line="360" w:lineRule="auto"/>
        <w:jc w:val="both"/>
        <w:rPr>
          <w:rFonts w:eastAsia="Arial Unicode MS"/>
          <w:color w:val="000000" w:themeColor="text1"/>
          <w:kern w:val="24"/>
        </w:rPr>
      </w:pPr>
      <w:r w:rsidRPr="00FB3DE5">
        <w:rPr>
          <w:rFonts w:hint="eastAsia"/>
        </w:rPr>
        <w:t>Fig</w:t>
      </w:r>
      <w:r w:rsidRPr="00FB3DE5">
        <w:t>. S1</w:t>
      </w:r>
      <w:r>
        <w:t>7</w:t>
      </w:r>
      <w:r w:rsidR="00B76A12">
        <w:t xml:space="preserve"> | </w:t>
      </w:r>
      <w:r w:rsidRPr="00510999">
        <w:rPr>
          <w:b w:val="0"/>
          <w:bCs w:val="0"/>
        </w:rPr>
        <w:t>S</w:t>
      </w:r>
      <w:r w:rsidRPr="00510999">
        <w:rPr>
          <w:rFonts w:eastAsia="Arial Unicode MS"/>
          <w:b w:val="0"/>
          <w:bCs w:val="0"/>
          <w:color w:val="000000" w:themeColor="text1"/>
          <w:kern w:val="24"/>
        </w:rPr>
        <w:t xml:space="preserve">imulated device performance as a function of VBO under the different interface defects extracted from Fig. S15: (a) </w:t>
      </w:r>
      <w:r w:rsidRPr="00510999">
        <w:rPr>
          <w:rFonts w:eastAsia="Arial Unicode MS"/>
          <w:b w:val="0"/>
          <w:bCs w:val="0"/>
          <w:i/>
          <w:iCs/>
          <w:color w:val="000000" w:themeColor="text1"/>
          <w:kern w:val="24"/>
        </w:rPr>
        <w:t>V</w:t>
      </w:r>
      <w:r w:rsidRPr="00510999">
        <w:rPr>
          <w:rFonts w:eastAsia="Arial Unicode MS"/>
          <w:b w:val="0"/>
          <w:bCs w:val="0"/>
          <w:color w:val="000000" w:themeColor="text1"/>
          <w:kern w:val="24"/>
          <w:vertAlign w:val="subscript"/>
        </w:rPr>
        <w:t>OC</w:t>
      </w:r>
      <w:r w:rsidRPr="00510999">
        <w:rPr>
          <w:rFonts w:eastAsia="Arial Unicode MS"/>
          <w:b w:val="0"/>
          <w:bCs w:val="0"/>
          <w:color w:val="000000" w:themeColor="text1"/>
          <w:kern w:val="24"/>
        </w:rPr>
        <w:t xml:space="preserve">, (b) </w:t>
      </w:r>
      <w:r w:rsidRPr="00766F06">
        <w:rPr>
          <w:rFonts w:eastAsia="Arial Unicode MS"/>
          <w:b w:val="0"/>
          <w:bCs w:val="0"/>
          <w:color w:val="000000" w:themeColor="text1"/>
          <w:kern w:val="24"/>
        </w:rPr>
        <w:t>FF</w:t>
      </w:r>
      <w:r w:rsidRPr="00510999">
        <w:rPr>
          <w:rFonts w:eastAsia="Arial Unicode MS"/>
          <w:b w:val="0"/>
          <w:bCs w:val="0"/>
          <w:color w:val="000000" w:themeColor="text1"/>
          <w:kern w:val="24"/>
        </w:rPr>
        <w:t xml:space="preserve">. </w:t>
      </w:r>
    </w:p>
    <w:p w14:paraId="081C64EC" w14:textId="77777777" w:rsidR="00380151" w:rsidRDefault="00380151" w:rsidP="00DF5D00">
      <w:pPr>
        <w:spacing w:before="120" w:line="360" w:lineRule="auto"/>
        <w:jc w:val="both"/>
        <w:rPr>
          <w:rFonts w:eastAsia="SimSun"/>
          <w:szCs w:val="21"/>
        </w:rPr>
      </w:pPr>
      <w:r>
        <w:rPr>
          <w:rFonts w:eastAsia="SimSun"/>
          <w:szCs w:val="21"/>
        </w:rPr>
        <w:br w:type="page"/>
      </w:r>
    </w:p>
    <w:p w14:paraId="445863B6" w14:textId="77777777" w:rsidR="00380151" w:rsidRDefault="00380151" w:rsidP="00DF5D00">
      <w:pPr>
        <w:spacing w:before="120" w:line="360" w:lineRule="auto"/>
        <w:jc w:val="both"/>
        <w:rPr>
          <w:b/>
          <w:sz w:val="28"/>
        </w:rPr>
      </w:pPr>
      <w:r w:rsidRPr="0042653D">
        <w:rPr>
          <w:rFonts w:eastAsia="SimSun"/>
          <w:szCs w:val="21"/>
        </w:rPr>
        <w:lastRenderedPageBreak/>
        <w:t xml:space="preserve"> </w:t>
      </w:r>
      <w:r>
        <w:rPr>
          <w:b/>
          <w:noProof/>
          <w:sz w:val="28"/>
        </w:rPr>
        <w:drawing>
          <wp:inline distT="0" distB="0" distL="0" distR="0" wp14:anchorId="081CFF8A" wp14:editId="5B840D99">
            <wp:extent cx="6120130" cy="2472055"/>
            <wp:effectExtent l="0" t="0" r="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pic:nvPicPr>
                  <pic:blipFill>
                    <a:blip r:embed="rId26"/>
                    <a:stretch>
                      <a:fillRect/>
                    </a:stretch>
                  </pic:blipFill>
                  <pic:spPr>
                    <a:xfrm>
                      <a:off x="0" y="0"/>
                      <a:ext cx="6120130" cy="2472055"/>
                    </a:xfrm>
                    <a:prstGeom prst="rect">
                      <a:avLst/>
                    </a:prstGeom>
                  </pic:spPr>
                </pic:pic>
              </a:graphicData>
            </a:graphic>
          </wp:inline>
        </w:drawing>
      </w:r>
    </w:p>
    <w:p w14:paraId="0DF61CE1" w14:textId="10C16FAF" w:rsidR="00380151" w:rsidRDefault="00380151" w:rsidP="00DF5D00">
      <w:pPr>
        <w:pStyle w:val="SMHeading"/>
        <w:spacing w:line="360" w:lineRule="auto"/>
        <w:jc w:val="both"/>
        <w:rPr>
          <w:sz w:val="28"/>
        </w:rPr>
      </w:pPr>
      <w:r w:rsidRPr="00542DB6">
        <w:rPr>
          <w:rFonts w:hint="eastAsia"/>
        </w:rPr>
        <w:t>Fig</w:t>
      </w:r>
      <w:r w:rsidRPr="00542DB6">
        <w:t>. S</w:t>
      </w:r>
      <w:r>
        <w:t>18</w:t>
      </w:r>
      <w:r w:rsidR="00B76A12">
        <w:t xml:space="preserve"> | </w:t>
      </w:r>
      <w:r w:rsidRPr="00510999">
        <w:rPr>
          <w:b w:val="0"/>
          <w:bCs w:val="0"/>
        </w:rPr>
        <w:t xml:space="preserve">Simulated </w:t>
      </w:r>
      <w:r w:rsidRPr="00510999">
        <w:rPr>
          <w:b w:val="0"/>
          <w:bCs w:val="0"/>
          <w:i/>
          <w:iCs/>
        </w:rPr>
        <w:t>E</w:t>
      </w:r>
      <w:r w:rsidRPr="00510999">
        <w:rPr>
          <w:b w:val="0"/>
          <w:bCs w:val="0"/>
        </w:rPr>
        <w:t>-</w:t>
      </w:r>
      <w:r w:rsidRPr="00510999">
        <w:rPr>
          <w:rFonts w:hint="eastAsia"/>
          <w:b w:val="0"/>
          <w:bCs w:val="0"/>
        </w:rPr>
        <w:t>fi</w:t>
      </w:r>
      <w:r w:rsidRPr="00510999">
        <w:rPr>
          <w:b w:val="0"/>
          <w:bCs w:val="0"/>
        </w:rPr>
        <w:t xml:space="preserve">eld density versus the vertical position of perovskite in PSCs without and with ion migration. </w:t>
      </w:r>
    </w:p>
    <w:p w14:paraId="35BE9C76" w14:textId="77777777" w:rsidR="00380151" w:rsidRDefault="00380151" w:rsidP="00DF5D00">
      <w:pPr>
        <w:spacing w:before="120" w:line="360" w:lineRule="auto"/>
        <w:jc w:val="center"/>
        <w:rPr>
          <w:b/>
          <w:sz w:val="28"/>
        </w:rPr>
      </w:pPr>
      <w:r>
        <w:rPr>
          <w:b/>
          <w:sz w:val="28"/>
        </w:rPr>
        <w:br w:type="page"/>
      </w:r>
      <w:r>
        <w:rPr>
          <w:b/>
          <w:noProof/>
          <w:sz w:val="28"/>
        </w:rPr>
        <w:lastRenderedPageBreak/>
        <w:drawing>
          <wp:inline distT="0" distB="0" distL="0" distR="0" wp14:anchorId="740A96D2" wp14:editId="5548FA3D">
            <wp:extent cx="3916592" cy="2938054"/>
            <wp:effectExtent l="0" t="0" r="825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27"/>
                    <a:stretch>
                      <a:fillRect/>
                    </a:stretch>
                  </pic:blipFill>
                  <pic:spPr>
                    <a:xfrm>
                      <a:off x="0" y="0"/>
                      <a:ext cx="3921519" cy="2941750"/>
                    </a:xfrm>
                    <a:prstGeom prst="rect">
                      <a:avLst/>
                    </a:prstGeom>
                  </pic:spPr>
                </pic:pic>
              </a:graphicData>
            </a:graphic>
          </wp:inline>
        </w:drawing>
      </w:r>
    </w:p>
    <w:p w14:paraId="6C852199" w14:textId="72BCD750" w:rsidR="00380151" w:rsidRPr="00C5175D" w:rsidRDefault="00380151" w:rsidP="00DF5D00">
      <w:pPr>
        <w:pStyle w:val="SMHeading"/>
        <w:spacing w:line="360" w:lineRule="auto"/>
        <w:jc w:val="both"/>
      </w:pPr>
      <w:r w:rsidRPr="00510999">
        <w:rPr>
          <w:rFonts w:hint="eastAsia"/>
        </w:rPr>
        <w:t>Fig</w:t>
      </w:r>
      <w:r w:rsidRPr="00510999">
        <w:t>. S19</w:t>
      </w:r>
      <w:r w:rsidR="00B76A12">
        <w:t xml:space="preserve"> | </w:t>
      </w:r>
      <w:r w:rsidRPr="00510999">
        <w:rPr>
          <w:b w:val="0"/>
          <w:bCs w:val="0"/>
        </w:rPr>
        <w:t>Prediction of PSC</w:t>
      </w:r>
      <w:r w:rsidRPr="00510999">
        <w:rPr>
          <w:rFonts w:hint="eastAsia"/>
          <w:b w:val="0"/>
          <w:bCs w:val="0"/>
        </w:rPr>
        <w:t>s</w:t>
      </w:r>
      <w:r w:rsidRPr="00510999">
        <w:rPr>
          <w:b w:val="0"/>
          <w:bCs w:val="0"/>
        </w:rPr>
        <w:t xml:space="preserve"> performance, </w:t>
      </w:r>
      <w:r w:rsidRPr="00510999">
        <w:rPr>
          <w:b w:val="0"/>
          <w:bCs w:val="0"/>
          <w:i/>
          <w:iCs/>
        </w:rPr>
        <w:t>i.e.</w:t>
      </w:r>
      <w:r w:rsidRPr="00510999">
        <w:rPr>
          <w:b w:val="0"/>
          <w:bCs w:val="0"/>
        </w:rPr>
        <w:t xml:space="preserve">, the optimal dual-heterojunction PSCs, ignore the defects at the HTL/perovskite interface, ignore the defects in the perovskite bulk, ignore the defect at ETL/perovskite interface and the optimal optical design. </w:t>
      </w:r>
    </w:p>
    <w:p w14:paraId="4A66D667" w14:textId="77777777" w:rsidR="00380151" w:rsidRDefault="00380151" w:rsidP="00DF5D00">
      <w:pPr>
        <w:spacing w:before="120" w:line="360" w:lineRule="auto"/>
        <w:jc w:val="both"/>
        <w:rPr>
          <w:b/>
          <w:sz w:val="28"/>
        </w:rPr>
      </w:pPr>
      <w:r>
        <w:rPr>
          <w:b/>
          <w:sz w:val="28"/>
        </w:rPr>
        <w:br w:type="page"/>
      </w:r>
    </w:p>
    <w:p w14:paraId="663C15F1" w14:textId="77777777" w:rsidR="00380151" w:rsidRDefault="00380151" w:rsidP="00DF5D00">
      <w:pPr>
        <w:spacing w:before="120" w:line="360" w:lineRule="auto"/>
        <w:jc w:val="both"/>
        <w:rPr>
          <w:b/>
          <w:sz w:val="28"/>
        </w:rPr>
      </w:pPr>
    </w:p>
    <w:p w14:paraId="2A22A74D" w14:textId="77777777" w:rsidR="00380151" w:rsidRDefault="00380151" w:rsidP="00DF5D00">
      <w:pPr>
        <w:spacing w:before="120" w:line="360" w:lineRule="auto"/>
        <w:jc w:val="both"/>
        <w:rPr>
          <w:bCs/>
          <w:szCs w:val="24"/>
        </w:rPr>
      </w:pPr>
      <w:r>
        <w:rPr>
          <w:bCs/>
          <w:noProof/>
          <w:szCs w:val="24"/>
        </w:rPr>
        <w:drawing>
          <wp:inline distT="0" distB="0" distL="0" distR="0" wp14:anchorId="6BB4CB0D" wp14:editId="11DEAA36">
            <wp:extent cx="6120130" cy="427037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28"/>
                    <a:stretch>
                      <a:fillRect/>
                    </a:stretch>
                  </pic:blipFill>
                  <pic:spPr>
                    <a:xfrm>
                      <a:off x="0" y="0"/>
                      <a:ext cx="6120130" cy="4270375"/>
                    </a:xfrm>
                    <a:prstGeom prst="rect">
                      <a:avLst/>
                    </a:prstGeom>
                  </pic:spPr>
                </pic:pic>
              </a:graphicData>
            </a:graphic>
          </wp:inline>
        </w:drawing>
      </w:r>
    </w:p>
    <w:p w14:paraId="0E790C44" w14:textId="4D2EEE02" w:rsidR="00380151" w:rsidRDefault="00380151" w:rsidP="00DF5D00">
      <w:pPr>
        <w:pStyle w:val="SMHeading"/>
        <w:spacing w:line="360" w:lineRule="auto"/>
        <w:jc w:val="both"/>
        <w:rPr>
          <w:szCs w:val="21"/>
        </w:rPr>
      </w:pPr>
      <w:r w:rsidRPr="00FB3DE5">
        <w:rPr>
          <w:rFonts w:hint="eastAsia"/>
        </w:rPr>
        <w:t>Fig</w:t>
      </w:r>
      <w:r w:rsidRPr="00FB3DE5">
        <w:t>. S</w:t>
      </w:r>
      <w:r>
        <w:t>20</w:t>
      </w:r>
      <w:r w:rsidR="00B76A12">
        <w:t xml:space="preserve"> | </w:t>
      </w:r>
      <w:r w:rsidRPr="00510999">
        <w:rPr>
          <w:b w:val="0"/>
          <w:bCs w:val="0"/>
        </w:rPr>
        <w:t>The</w:t>
      </w:r>
      <w:r w:rsidRPr="00510999">
        <w:rPr>
          <w:rFonts w:eastAsia="Arial Unicode MS"/>
          <w:b w:val="0"/>
          <w:bCs w:val="0"/>
          <w:color w:val="000000" w:themeColor="text1"/>
          <w:kern w:val="24"/>
        </w:rPr>
        <w:t xml:space="preserve"> EQE spectra and integrated current densities for the Control, BABr and BAI PSCs. The integrated current densities are determined to be 25.50, 25.48 and 25.46 mA/cm</w:t>
      </w:r>
      <w:r w:rsidRPr="00510999">
        <w:rPr>
          <w:rFonts w:eastAsia="Arial Unicode MS"/>
          <w:b w:val="0"/>
          <w:bCs w:val="0"/>
          <w:color w:val="000000" w:themeColor="text1"/>
          <w:kern w:val="24"/>
          <w:vertAlign w:val="superscript"/>
        </w:rPr>
        <w:t>2</w:t>
      </w:r>
      <w:r w:rsidRPr="00510999">
        <w:rPr>
          <w:rFonts w:eastAsia="Arial Unicode MS"/>
          <w:b w:val="0"/>
          <w:bCs w:val="0"/>
          <w:color w:val="000000" w:themeColor="text1"/>
          <w:kern w:val="24"/>
        </w:rPr>
        <w:t xml:space="preserve">, respectively, in good agreement with the </w:t>
      </w:r>
      <w:r w:rsidRPr="00510999">
        <w:rPr>
          <w:rFonts w:eastAsia="Arial Unicode MS"/>
          <w:b w:val="0"/>
          <w:bCs w:val="0"/>
          <w:i/>
          <w:iCs/>
          <w:color w:val="000000" w:themeColor="text1"/>
          <w:kern w:val="24"/>
        </w:rPr>
        <w:t>J–V</w:t>
      </w:r>
      <w:r w:rsidRPr="00510999">
        <w:rPr>
          <w:rFonts w:eastAsia="Arial Unicode MS"/>
          <w:b w:val="0"/>
          <w:bCs w:val="0"/>
          <w:color w:val="000000" w:themeColor="text1"/>
          <w:kern w:val="24"/>
        </w:rPr>
        <w:t xml:space="preserve"> results.</w:t>
      </w:r>
    </w:p>
    <w:p w14:paraId="54D857A1" w14:textId="77777777" w:rsidR="00380151" w:rsidRPr="008B7E2F" w:rsidRDefault="00380151" w:rsidP="00DF5D00">
      <w:pPr>
        <w:spacing w:before="120" w:line="360" w:lineRule="auto"/>
        <w:jc w:val="both"/>
        <w:rPr>
          <w:bCs/>
          <w:szCs w:val="24"/>
        </w:rPr>
      </w:pPr>
    </w:p>
    <w:p w14:paraId="0AA6ADE8" w14:textId="77777777" w:rsidR="00380151" w:rsidRDefault="00380151" w:rsidP="00DF5D00">
      <w:pPr>
        <w:spacing w:before="120" w:line="360" w:lineRule="auto"/>
        <w:jc w:val="both"/>
        <w:rPr>
          <w:rFonts w:eastAsia="SimSun"/>
          <w:szCs w:val="21"/>
        </w:rPr>
      </w:pPr>
      <w:r>
        <w:rPr>
          <w:rFonts w:eastAsia="SimSun"/>
          <w:szCs w:val="21"/>
        </w:rPr>
        <w:br w:type="page"/>
      </w:r>
      <w:r>
        <w:rPr>
          <w:noProof/>
          <w:szCs w:val="21"/>
        </w:rPr>
        <w:lastRenderedPageBreak/>
        <w:drawing>
          <wp:inline distT="0" distB="0" distL="0" distR="0" wp14:anchorId="26349018" wp14:editId="49889E38">
            <wp:extent cx="6120130" cy="509841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9"/>
                    <a:stretch>
                      <a:fillRect/>
                    </a:stretch>
                  </pic:blipFill>
                  <pic:spPr>
                    <a:xfrm>
                      <a:off x="0" y="0"/>
                      <a:ext cx="6120130" cy="5098415"/>
                    </a:xfrm>
                    <a:prstGeom prst="rect">
                      <a:avLst/>
                    </a:prstGeom>
                  </pic:spPr>
                </pic:pic>
              </a:graphicData>
            </a:graphic>
          </wp:inline>
        </w:drawing>
      </w:r>
    </w:p>
    <w:p w14:paraId="376A5EC5" w14:textId="3C4B47F6" w:rsidR="00380151" w:rsidRPr="00241792" w:rsidRDefault="00380151" w:rsidP="00DF5D00">
      <w:pPr>
        <w:pStyle w:val="SMHeading"/>
        <w:spacing w:line="360" w:lineRule="auto"/>
        <w:jc w:val="both"/>
      </w:pPr>
      <w:r w:rsidRPr="00FB3DE5">
        <w:rPr>
          <w:rFonts w:hint="eastAsia"/>
        </w:rPr>
        <w:t>Fig</w:t>
      </w:r>
      <w:r w:rsidRPr="00FB3DE5">
        <w:t>. S</w:t>
      </w:r>
      <w:r>
        <w:t>21</w:t>
      </w:r>
      <w:r w:rsidR="00B76A12">
        <w:t xml:space="preserve"> | </w:t>
      </w:r>
      <w:r w:rsidRPr="00510999">
        <w:rPr>
          <w:b w:val="0"/>
          <w:bCs w:val="0"/>
        </w:rPr>
        <w:t>The</w:t>
      </w:r>
      <w:r w:rsidRPr="00510999">
        <w:rPr>
          <w:rFonts w:eastAsia="Arial Unicode MS"/>
          <w:b w:val="0"/>
          <w:bCs w:val="0"/>
          <w:color w:val="000000" w:themeColor="text1"/>
          <w:kern w:val="24"/>
        </w:rPr>
        <w:t xml:space="preserve"> </w:t>
      </w:r>
      <w:r w:rsidRPr="00766F06">
        <w:rPr>
          <w:rFonts w:eastAsia="Arial Unicode MS"/>
          <w:b w:val="0"/>
          <w:bCs w:val="0"/>
          <w:color w:val="000000" w:themeColor="text1"/>
          <w:kern w:val="24"/>
        </w:rPr>
        <w:t>FF</w:t>
      </w:r>
      <w:r w:rsidRPr="00510999">
        <w:rPr>
          <w:rFonts w:eastAsia="Arial Unicode MS"/>
          <w:b w:val="0"/>
          <w:bCs w:val="0"/>
          <w:i/>
          <w:iCs/>
          <w:color w:val="000000" w:themeColor="text1"/>
          <w:kern w:val="24"/>
        </w:rPr>
        <w:t>, V</w:t>
      </w:r>
      <w:r w:rsidRPr="00510999">
        <w:rPr>
          <w:rFonts w:eastAsia="Arial Unicode MS"/>
          <w:b w:val="0"/>
          <w:bCs w:val="0"/>
          <w:color w:val="000000" w:themeColor="text1"/>
          <w:kern w:val="24"/>
          <w:vertAlign w:val="subscript"/>
        </w:rPr>
        <w:t>OC</w:t>
      </w:r>
      <w:r w:rsidRPr="00510999">
        <w:rPr>
          <w:rFonts w:eastAsia="Arial Unicode MS"/>
          <w:b w:val="0"/>
          <w:bCs w:val="0"/>
          <w:color w:val="000000" w:themeColor="text1"/>
          <w:kern w:val="24"/>
        </w:rPr>
        <w:t xml:space="preserve"> and </w:t>
      </w:r>
      <w:r w:rsidRPr="00510999">
        <w:rPr>
          <w:rFonts w:eastAsia="Arial Unicode MS"/>
          <w:b w:val="0"/>
          <w:bCs w:val="0"/>
          <w:i/>
          <w:iCs/>
          <w:color w:val="000000" w:themeColor="text1"/>
          <w:kern w:val="24"/>
        </w:rPr>
        <w:t>J</w:t>
      </w:r>
      <w:r w:rsidRPr="00510999">
        <w:rPr>
          <w:rFonts w:eastAsia="Arial Unicode MS"/>
          <w:b w:val="0"/>
          <w:bCs w:val="0"/>
          <w:color w:val="000000" w:themeColor="text1"/>
          <w:kern w:val="24"/>
          <w:vertAlign w:val="subscript"/>
        </w:rPr>
        <w:t>SC</w:t>
      </w:r>
      <w:r w:rsidRPr="00510999">
        <w:rPr>
          <w:rFonts w:eastAsia="Arial Unicode MS"/>
          <w:b w:val="0"/>
          <w:bCs w:val="0"/>
          <w:color w:val="000000" w:themeColor="text1"/>
          <w:kern w:val="24"/>
          <w:szCs w:val="21"/>
        </w:rPr>
        <w:t xml:space="preserve"> </w:t>
      </w:r>
      <w:r w:rsidR="00DF2D23">
        <w:rPr>
          <w:rFonts w:eastAsia="Arial Unicode MS"/>
          <w:b w:val="0"/>
          <w:bCs w:val="0"/>
          <w:color w:val="000000" w:themeColor="text1"/>
          <w:kern w:val="24"/>
        </w:rPr>
        <w:t>statistics</w:t>
      </w:r>
      <w:r w:rsidRPr="00510999">
        <w:rPr>
          <w:rFonts w:eastAsia="Arial Unicode MS"/>
          <w:b w:val="0"/>
          <w:bCs w:val="0"/>
          <w:color w:val="000000" w:themeColor="text1"/>
          <w:kern w:val="24"/>
        </w:rPr>
        <w:t xml:space="preserve"> of 34 cells for the three involved cases.</w:t>
      </w:r>
      <w:r w:rsidRPr="00510999">
        <w:rPr>
          <w:b w:val="0"/>
          <w:bCs w:val="0"/>
        </w:rPr>
        <w:t xml:space="preserve"> The box contains 50% of the data, the antenna shows </w:t>
      </w:r>
      <w:r w:rsidR="00DF2D23">
        <w:rPr>
          <w:b w:val="0"/>
          <w:bCs w:val="0"/>
        </w:rPr>
        <w:t xml:space="preserve">the </w:t>
      </w:r>
      <w:r w:rsidRPr="00510999">
        <w:rPr>
          <w:b w:val="0"/>
          <w:bCs w:val="0"/>
        </w:rPr>
        <w:t xml:space="preserve">minimum and maximum values, </w:t>
      </w:r>
      <w:r w:rsidR="00DF2D23">
        <w:rPr>
          <w:b w:val="0"/>
          <w:bCs w:val="0"/>
        </w:rPr>
        <w:t xml:space="preserve">and </w:t>
      </w:r>
      <w:r w:rsidRPr="00510999">
        <w:rPr>
          <w:b w:val="0"/>
          <w:bCs w:val="0"/>
        </w:rPr>
        <w:t>the bars give the median.</w:t>
      </w:r>
    </w:p>
    <w:p w14:paraId="06C27BF8" w14:textId="77777777" w:rsidR="00380151" w:rsidRPr="00241792" w:rsidRDefault="00380151" w:rsidP="00DF5D00">
      <w:pPr>
        <w:spacing w:before="120" w:line="360" w:lineRule="auto"/>
        <w:jc w:val="both"/>
        <w:rPr>
          <w:rFonts w:eastAsia="SimSun"/>
          <w:szCs w:val="24"/>
        </w:rPr>
      </w:pPr>
    </w:p>
    <w:p w14:paraId="6E1A88BF" w14:textId="77777777" w:rsidR="00380151" w:rsidRPr="002610B8" w:rsidRDefault="00380151" w:rsidP="00DF5D00">
      <w:pPr>
        <w:spacing w:before="120" w:line="360" w:lineRule="auto"/>
        <w:jc w:val="both"/>
        <w:rPr>
          <w:rFonts w:eastAsia="SimSun"/>
          <w:szCs w:val="21"/>
        </w:rPr>
      </w:pPr>
      <w:r>
        <w:rPr>
          <w:rFonts w:eastAsia="SimSun"/>
          <w:noProof/>
          <w:szCs w:val="21"/>
        </w:rPr>
        <w:lastRenderedPageBreak/>
        <w:drawing>
          <wp:inline distT="0" distB="0" distL="0" distR="0" wp14:anchorId="192A9859" wp14:editId="1223452F">
            <wp:extent cx="6120130" cy="4683345"/>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30"/>
                    <a:stretch>
                      <a:fillRect/>
                    </a:stretch>
                  </pic:blipFill>
                  <pic:spPr>
                    <a:xfrm>
                      <a:off x="0" y="0"/>
                      <a:ext cx="6120130" cy="4683345"/>
                    </a:xfrm>
                    <a:prstGeom prst="rect">
                      <a:avLst/>
                    </a:prstGeom>
                  </pic:spPr>
                </pic:pic>
              </a:graphicData>
            </a:graphic>
          </wp:inline>
        </w:drawing>
      </w:r>
    </w:p>
    <w:p w14:paraId="0AFCF54F" w14:textId="21A0EAA9" w:rsidR="00380151" w:rsidRPr="00823494" w:rsidRDefault="00380151" w:rsidP="00DF5D00">
      <w:pPr>
        <w:pStyle w:val="SMHeading"/>
        <w:spacing w:line="360" w:lineRule="auto"/>
        <w:jc w:val="both"/>
        <w:rPr>
          <w:sz w:val="21"/>
          <w:szCs w:val="21"/>
        </w:rPr>
      </w:pPr>
      <w:r w:rsidRPr="00FB3DE5">
        <w:rPr>
          <w:rFonts w:hint="eastAsia"/>
        </w:rPr>
        <w:t>Fig</w:t>
      </w:r>
      <w:r w:rsidRPr="00FB3DE5">
        <w:t>. S</w:t>
      </w:r>
      <w:r>
        <w:t>22</w:t>
      </w:r>
      <w:r w:rsidR="00B76A12">
        <w:t xml:space="preserve"> | </w:t>
      </w:r>
      <w:r w:rsidRPr="00510999">
        <w:rPr>
          <w:rFonts w:eastAsia="Arial Unicode MS"/>
          <w:b w:val="0"/>
          <w:bCs w:val="0"/>
          <w:color w:val="000000" w:themeColor="text1"/>
          <w:kern w:val="24"/>
          <w:szCs w:val="32"/>
        </w:rPr>
        <w:t>Mott</w:t>
      </w:r>
      <w:r w:rsidR="00B76A12">
        <w:rPr>
          <w:rFonts w:eastAsia="Arial Unicode MS"/>
          <w:b w:val="0"/>
          <w:bCs w:val="0"/>
          <w:color w:val="000000" w:themeColor="text1"/>
          <w:kern w:val="24"/>
          <w:szCs w:val="32"/>
        </w:rPr>
        <w:t>-</w:t>
      </w:r>
      <w:r w:rsidRPr="00510999">
        <w:rPr>
          <w:rFonts w:eastAsia="Arial Unicode MS"/>
          <w:b w:val="0"/>
          <w:bCs w:val="0"/>
          <w:color w:val="000000" w:themeColor="text1"/>
          <w:kern w:val="24"/>
          <w:szCs w:val="32"/>
        </w:rPr>
        <w:t xml:space="preserve">Schottky plots obtained from CV measurements for the control, BABr and BAI cases at 10kHz </w:t>
      </w:r>
      <w:r w:rsidR="00DF2D23">
        <w:rPr>
          <w:rFonts w:eastAsia="Arial Unicode MS"/>
          <w:b w:val="0"/>
          <w:bCs w:val="0"/>
          <w:color w:val="000000" w:themeColor="text1"/>
          <w:kern w:val="24"/>
          <w:szCs w:val="32"/>
        </w:rPr>
        <w:t>in the dark</w:t>
      </w:r>
      <w:r w:rsidRPr="00510999">
        <w:rPr>
          <w:rFonts w:eastAsia="Arial Unicode MS"/>
          <w:b w:val="0"/>
          <w:bCs w:val="0"/>
          <w:color w:val="000000" w:themeColor="text1"/>
          <w:kern w:val="24"/>
          <w:szCs w:val="32"/>
        </w:rPr>
        <w:t>.</w:t>
      </w:r>
      <w:r w:rsidRPr="00510999">
        <w:rPr>
          <w:b w:val="0"/>
          <w:bCs w:val="0"/>
        </w:rPr>
        <w:t xml:space="preserve"> </w:t>
      </w:r>
      <w:r w:rsidRPr="00510999">
        <w:rPr>
          <w:rFonts w:eastAsia="Arial Unicode MS"/>
          <w:b w:val="0"/>
          <w:bCs w:val="0"/>
          <w:color w:val="000000" w:themeColor="text1"/>
          <w:kern w:val="24"/>
          <w:szCs w:val="32"/>
        </w:rPr>
        <w:t xml:space="preserve">This analysis is used to confirm </w:t>
      </w:r>
      <w:r w:rsidR="00DF2D23">
        <w:rPr>
          <w:rFonts w:eastAsia="Arial Unicode MS"/>
          <w:b w:val="0"/>
          <w:bCs w:val="0"/>
          <w:color w:val="000000" w:themeColor="text1"/>
          <w:kern w:val="24"/>
          <w:szCs w:val="32"/>
        </w:rPr>
        <w:t xml:space="preserve">the </w:t>
      </w:r>
      <w:r w:rsidRPr="00510999">
        <w:rPr>
          <w:rFonts w:eastAsia="Arial Unicode MS"/>
          <w:b w:val="0"/>
          <w:bCs w:val="0"/>
          <w:color w:val="000000" w:themeColor="text1"/>
          <w:kern w:val="24"/>
          <w:szCs w:val="32"/>
        </w:rPr>
        <w:t>built-in potential (</w:t>
      </w:r>
      <w:proofErr w:type="spellStart"/>
      <w:r w:rsidRPr="00510999">
        <w:rPr>
          <w:rFonts w:eastAsia="Arial Unicode MS"/>
          <w:b w:val="0"/>
          <w:bCs w:val="0"/>
          <w:i/>
          <w:iCs/>
          <w:color w:val="000000" w:themeColor="text1"/>
          <w:kern w:val="24"/>
          <w:szCs w:val="32"/>
        </w:rPr>
        <w:t>V</w:t>
      </w:r>
      <w:r w:rsidRPr="00510999">
        <w:rPr>
          <w:rFonts w:eastAsia="Arial Unicode MS"/>
          <w:b w:val="0"/>
          <w:bCs w:val="0"/>
          <w:color w:val="000000" w:themeColor="text1"/>
          <w:kern w:val="24"/>
          <w:szCs w:val="32"/>
          <w:vertAlign w:val="subscript"/>
        </w:rPr>
        <w:t>bi</w:t>
      </w:r>
      <w:proofErr w:type="spellEnd"/>
      <w:r w:rsidRPr="00510999">
        <w:rPr>
          <w:rFonts w:eastAsia="Arial Unicode MS"/>
          <w:b w:val="0"/>
          <w:bCs w:val="0"/>
          <w:color w:val="000000" w:themeColor="text1"/>
          <w:kern w:val="24"/>
          <w:szCs w:val="32"/>
        </w:rPr>
        <w:t xml:space="preserve">) of PSCs that is related to </w:t>
      </w:r>
      <w:r w:rsidRPr="00510999">
        <w:rPr>
          <w:rFonts w:eastAsia="Arial Unicode MS"/>
          <w:b w:val="0"/>
          <w:bCs w:val="0"/>
          <w:i/>
          <w:iCs/>
          <w:color w:val="000000" w:themeColor="text1"/>
          <w:kern w:val="24"/>
          <w:szCs w:val="32"/>
        </w:rPr>
        <w:t>V</w:t>
      </w:r>
      <w:r w:rsidRPr="00510999">
        <w:rPr>
          <w:rFonts w:eastAsia="Arial Unicode MS"/>
          <w:b w:val="0"/>
          <w:bCs w:val="0"/>
          <w:color w:val="000000" w:themeColor="text1"/>
          <w:kern w:val="24"/>
          <w:szCs w:val="32"/>
          <w:vertAlign w:val="subscript"/>
        </w:rPr>
        <w:t>OC</w:t>
      </w:r>
      <w:r w:rsidRPr="00510999">
        <w:rPr>
          <w:rFonts w:eastAsia="Arial Unicode MS"/>
          <w:b w:val="0"/>
          <w:bCs w:val="0"/>
          <w:color w:val="000000" w:themeColor="text1"/>
          <w:kern w:val="24"/>
          <w:szCs w:val="32"/>
        </w:rPr>
        <w:t xml:space="preserve"> and can be obtained from the intersection of the slope and x-axis. It is shown that the introduction of 2D/3D heterojunction enhances </w:t>
      </w:r>
      <w:r w:rsidRPr="00510999">
        <w:rPr>
          <w:rFonts w:eastAsia="Arial Unicode MS"/>
          <w:b w:val="0"/>
          <w:bCs w:val="0"/>
          <w:i/>
          <w:iCs/>
          <w:color w:val="000000" w:themeColor="text1"/>
          <w:kern w:val="24"/>
          <w:szCs w:val="32"/>
        </w:rPr>
        <w:t>V</w:t>
      </w:r>
      <w:r w:rsidRPr="00510999">
        <w:rPr>
          <w:rFonts w:eastAsia="Arial Unicode MS"/>
          <w:b w:val="0"/>
          <w:bCs w:val="0"/>
          <w:color w:val="000000" w:themeColor="text1"/>
          <w:kern w:val="24"/>
          <w:szCs w:val="32"/>
          <w:vertAlign w:val="subscript"/>
        </w:rPr>
        <w:t>bi</w:t>
      </w:r>
      <w:r w:rsidRPr="00510999">
        <w:rPr>
          <w:rFonts w:eastAsia="Arial Unicode MS"/>
          <w:b w:val="0"/>
          <w:bCs w:val="0"/>
          <w:color w:val="000000" w:themeColor="text1"/>
          <w:kern w:val="24"/>
          <w:szCs w:val="32"/>
        </w:rPr>
        <w:t xml:space="preserve"> from 0.96 to 1.04 V, in line with the tendency of the device’s </w:t>
      </w:r>
      <w:r w:rsidRPr="00510999">
        <w:rPr>
          <w:rFonts w:eastAsia="Arial Unicode MS"/>
          <w:b w:val="0"/>
          <w:bCs w:val="0"/>
          <w:i/>
          <w:iCs/>
          <w:color w:val="000000" w:themeColor="text1"/>
          <w:kern w:val="24"/>
          <w:szCs w:val="32"/>
        </w:rPr>
        <w:t>V</w:t>
      </w:r>
      <w:r w:rsidRPr="00510999">
        <w:rPr>
          <w:rFonts w:eastAsia="Arial Unicode MS"/>
          <w:b w:val="0"/>
          <w:bCs w:val="0"/>
          <w:color w:val="000000" w:themeColor="text1"/>
          <w:kern w:val="24"/>
          <w:szCs w:val="32"/>
          <w:vertAlign w:val="subscript"/>
        </w:rPr>
        <w:t>OC</w:t>
      </w:r>
      <w:r w:rsidRPr="00510999">
        <w:rPr>
          <w:rFonts w:eastAsia="Arial Unicode MS"/>
          <w:b w:val="0"/>
          <w:bCs w:val="0"/>
          <w:color w:val="000000" w:themeColor="text1"/>
          <w:kern w:val="24"/>
          <w:szCs w:val="32"/>
        </w:rPr>
        <w:t>.</w:t>
      </w:r>
    </w:p>
    <w:p w14:paraId="255B9D29" w14:textId="77777777" w:rsidR="00380151" w:rsidRDefault="00380151" w:rsidP="00DF5D00">
      <w:pPr>
        <w:spacing w:before="120" w:line="360" w:lineRule="auto"/>
        <w:jc w:val="both"/>
        <w:rPr>
          <w:rFonts w:eastAsia="Arial Unicode MS"/>
          <w:bCs/>
          <w:color w:val="000000" w:themeColor="text1"/>
          <w:kern w:val="24"/>
          <w:szCs w:val="24"/>
        </w:rPr>
      </w:pPr>
      <w:r>
        <w:rPr>
          <w:rFonts w:eastAsia="Arial Unicode MS"/>
          <w:bCs/>
          <w:color w:val="000000" w:themeColor="text1"/>
          <w:kern w:val="24"/>
        </w:rPr>
        <w:br w:type="page"/>
      </w:r>
    </w:p>
    <w:p w14:paraId="46A8EFFB" w14:textId="77777777" w:rsidR="00380151" w:rsidRDefault="00380151" w:rsidP="00DF5D00">
      <w:pPr>
        <w:pStyle w:val="NormalWeb"/>
        <w:spacing w:before="120" w:line="360" w:lineRule="auto"/>
        <w:jc w:val="both"/>
        <w:rPr>
          <w:sz w:val="21"/>
          <w:szCs w:val="21"/>
        </w:rPr>
      </w:pPr>
      <w:r>
        <w:rPr>
          <w:noProof/>
          <w:sz w:val="21"/>
          <w:szCs w:val="21"/>
        </w:rPr>
        <w:lastRenderedPageBreak/>
        <w:drawing>
          <wp:inline distT="0" distB="0" distL="0" distR="0" wp14:anchorId="6E21CE0D" wp14:editId="21EAA87C">
            <wp:extent cx="6119563" cy="2247265"/>
            <wp:effectExtent l="0" t="0" r="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31"/>
                    <a:stretch>
                      <a:fillRect/>
                    </a:stretch>
                  </pic:blipFill>
                  <pic:spPr>
                    <a:xfrm>
                      <a:off x="0" y="0"/>
                      <a:ext cx="6119563" cy="2247265"/>
                    </a:xfrm>
                    <a:prstGeom prst="rect">
                      <a:avLst/>
                    </a:prstGeom>
                  </pic:spPr>
                </pic:pic>
              </a:graphicData>
            </a:graphic>
          </wp:inline>
        </w:drawing>
      </w:r>
    </w:p>
    <w:p w14:paraId="5A0B51F7" w14:textId="695D8944" w:rsidR="00380151" w:rsidRPr="00075022" w:rsidRDefault="00380151" w:rsidP="00DF5D00">
      <w:pPr>
        <w:pStyle w:val="SMHeading"/>
        <w:spacing w:line="360" w:lineRule="auto"/>
        <w:jc w:val="both"/>
      </w:pPr>
      <w:r w:rsidRPr="00FB3DE5">
        <w:rPr>
          <w:rFonts w:hint="eastAsia"/>
        </w:rPr>
        <w:t>Fig</w:t>
      </w:r>
      <w:r w:rsidRPr="00FB3DE5">
        <w:t>. S</w:t>
      </w:r>
      <w:r>
        <w:t>23</w:t>
      </w:r>
      <w:r w:rsidR="00B76A12">
        <w:t xml:space="preserve"> | </w:t>
      </w:r>
      <w:r w:rsidRPr="00510999">
        <w:rPr>
          <w:b w:val="0"/>
          <w:bCs w:val="0"/>
        </w:rPr>
        <w:t xml:space="preserve">TPV decay curves for three related cases. To look into </w:t>
      </w:r>
      <w:r w:rsidR="00DF2D23">
        <w:rPr>
          <w:b w:val="0"/>
          <w:bCs w:val="0"/>
        </w:rPr>
        <w:t xml:space="preserve">the </w:t>
      </w:r>
      <w:r w:rsidRPr="00510999">
        <w:rPr>
          <w:b w:val="0"/>
          <w:bCs w:val="0"/>
        </w:rPr>
        <w:t>internal forces of the efficiency increasement, TPV decay curves are employed to explore the charge-carrier recombination properties at the open-circuit conditions under full</w:t>
      </w:r>
      <w:r w:rsidR="00B34562">
        <w:rPr>
          <w:b w:val="0"/>
          <w:bCs w:val="0"/>
        </w:rPr>
        <w:t>-</w:t>
      </w:r>
      <w:r w:rsidRPr="00510999">
        <w:rPr>
          <w:b w:val="0"/>
          <w:bCs w:val="0"/>
        </w:rPr>
        <w:t xml:space="preserve">sun illumination, with the completed PSC devices. In this condition, since photocurrent is significantly smaller than that of the </w:t>
      </w:r>
      <w:r w:rsidRPr="00510999">
        <w:rPr>
          <w:b w:val="0"/>
          <w:bCs w:val="0"/>
          <w:i/>
          <w:iCs/>
        </w:rPr>
        <w:t>J</w:t>
      </w:r>
      <w:r w:rsidRPr="00510999">
        <w:rPr>
          <w:b w:val="0"/>
          <w:bCs w:val="0"/>
          <w:vertAlign w:val="subscript"/>
        </w:rPr>
        <w:t>sc</w:t>
      </w:r>
      <w:r w:rsidRPr="00510999">
        <w:rPr>
          <w:b w:val="0"/>
          <w:bCs w:val="0"/>
        </w:rPr>
        <w:t xml:space="preserve"> condition, TPV can give information on non-radiative recombination without the influence of charge injection dynamics. For typical devices in this study, interface recombination is the main donation of non-radiative recombination. When the light pulse is off, a decay of photovoltage by the photoexcited excess carriers that first reach and then recombine near one of the contact interfaces can be observed within several milliseconds. As shown in Figure 1e, W/ BABr and W/ BAI devices show similar TPV decay responses with a longer decay time than the Control condition, indicating a lower interface recombination rate with the BABr and BAI post</w:t>
      </w:r>
      <w:r w:rsidR="00B34562">
        <w:rPr>
          <w:b w:val="0"/>
          <w:bCs w:val="0"/>
        </w:rPr>
        <w:t>-</w:t>
      </w:r>
      <w:r w:rsidRPr="00510999">
        <w:rPr>
          <w:b w:val="0"/>
          <w:bCs w:val="0"/>
        </w:rPr>
        <w:t>treatment.</w:t>
      </w:r>
    </w:p>
    <w:p w14:paraId="7F544C24" w14:textId="77777777" w:rsidR="00380151" w:rsidRDefault="00380151" w:rsidP="00DF5D00">
      <w:pPr>
        <w:spacing w:before="120" w:line="360" w:lineRule="auto"/>
        <w:jc w:val="both"/>
        <w:rPr>
          <w:rFonts w:eastAsia="SimSun"/>
          <w:b/>
          <w:bCs/>
          <w:szCs w:val="21"/>
        </w:rPr>
      </w:pPr>
      <w:r>
        <w:rPr>
          <w:b/>
          <w:bCs/>
          <w:szCs w:val="21"/>
        </w:rPr>
        <w:br w:type="page"/>
      </w:r>
    </w:p>
    <w:p w14:paraId="5FF9F1FE" w14:textId="77777777" w:rsidR="00380151" w:rsidRPr="00FC3110" w:rsidRDefault="00380151" w:rsidP="00DF5D00">
      <w:pPr>
        <w:pStyle w:val="NormalWeb"/>
        <w:spacing w:before="120" w:line="360" w:lineRule="auto"/>
        <w:jc w:val="both"/>
        <w:rPr>
          <w:b/>
          <w:bCs/>
          <w:sz w:val="21"/>
          <w:szCs w:val="21"/>
        </w:rPr>
      </w:pPr>
    </w:p>
    <w:p w14:paraId="12C5934A" w14:textId="77777777" w:rsidR="00380151" w:rsidRDefault="00380151" w:rsidP="00DF5D00">
      <w:pPr>
        <w:pStyle w:val="NormalWeb"/>
        <w:spacing w:before="120" w:line="360" w:lineRule="auto"/>
        <w:jc w:val="center"/>
        <w:rPr>
          <w:b/>
          <w:bCs/>
          <w:sz w:val="21"/>
          <w:szCs w:val="21"/>
        </w:rPr>
      </w:pPr>
      <w:r>
        <w:rPr>
          <w:b/>
          <w:bCs/>
          <w:noProof/>
          <w:sz w:val="21"/>
          <w:szCs w:val="21"/>
        </w:rPr>
        <w:drawing>
          <wp:inline distT="0" distB="0" distL="0" distR="0" wp14:anchorId="424E55EB" wp14:editId="5242ED0A">
            <wp:extent cx="5643918" cy="4318930"/>
            <wp:effectExtent l="0" t="0" r="0"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32"/>
                    <a:stretch>
                      <a:fillRect/>
                    </a:stretch>
                  </pic:blipFill>
                  <pic:spPr>
                    <a:xfrm>
                      <a:off x="0" y="0"/>
                      <a:ext cx="5643918" cy="4318930"/>
                    </a:xfrm>
                    <a:prstGeom prst="rect">
                      <a:avLst/>
                    </a:prstGeom>
                  </pic:spPr>
                </pic:pic>
              </a:graphicData>
            </a:graphic>
          </wp:inline>
        </w:drawing>
      </w:r>
    </w:p>
    <w:p w14:paraId="40B03495" w14:textId="654BEC65" w:rsidR="00380151" w:rsidRDefault="00380151" w:rsidP="00DF5D00">
      <w:pPr>
        <w:pStyle w:val="SMHeading"/>
        <w:spacing w:line="360" w:lineRule="auto"/>
        <w:jc w:val="both"/>
        <w:rPr>
          <w:sz w:val="21"/>
          <w:szCs w:val="21"/>
        </w:rPr>
      </w:pPr>
      <w:r w:rsidRPr="00FB3DE5">
        <w:rPr>
          <w:rFonts w:hint="eastAsia"/>
        </w:rPr>
        <w:t>Fig</w:t>
      </w:r>
      <w:r w:rsidRPr="00FB3DE5">
        <w:t>. S</w:t>
      </w:r>
      <w:r>
        <w:t>24</w:t>
      </w:r>
      <w:r w:rsidR="00B76A12">
        <w:t xml:space="preserve"> | </w:t>
      </w:r>
      <w:r w:rsidRPr="00510999">
        <w:rPr>
          <w:rFonts w:hint="eastAsia"/>
          <w:b w:val="0"/>
          <w:bCs w:val="0"/>
        </w:rPr>
        <w:t>EIS</w:t>
      </w:r>
      <w:r w:rsidRPr="00510999">
        <w:rPr>
          <w:b w:val="0"/>
          <w:bCs w:val="0"/>
        </w:rPr>
        <w:t xml:space="preserve"> measurements under </w:t>
      </w:r>
      <w:r w:rsidRPr="00510999">
        <w:rPr>
          <w:b w:val="0"/>
          <w:bCs w:val="0"/>
          <w:i/>
          <w:iCs/>
        </w:rPr>
        <w:t>J</w:t>
      </w:r>
      <w:r w:rsidRPr="00510999">
        <w:rPr>
          <w:b w:val="0"/>
          <w:bCs w:val="0"/>
          <w:vertAlign w:val="subscript"/>
        </w:rPr>
        <w:t>SC</w:t>
      </w:r>
      <w:r w:rsidRPr="00510999">
        <w:rPr>
          <w:b w:val="0"/>
          <w:bCs w:val="0"/>
        </w:rPr>
        <w:t xml:space="preserve"> condition. EIS measurements under </w:t>
      </w:r>
      <w:r w:rsidRPr="00510999">
        <w:rPr>
          <w:b w:val="0"/>
          <w:bCs w:val="0"/>
          <w:i/>
          <w:iCs/>
        </w:rPr>
        <w:t>J</w:t>
      </w:r>
      <w:r w:rsidRPr="00510999">
        <w:rPr>
          <w:b w:val="0"/>
          <w:bCs w:val="0"/>
        </w:rPr>
        <w:t>sc condition with one</w:t>
      </w:r>
      <w:r w:rsidR="00B34562">
        <w:rPr>
          <w:b w:val="0"/>
          <w:bCs w:val="0"/>
        </w:rPr>
        <w:t>-</w:t>
      </w:r>
      <w:r w:rsidRPr="00510999">
        <w:rPr>
          <w:b w:val="0"/>
          <w:bCs w:val="0"/>
        </w:rPr>
        <w:t xml:space="preserve">sun illumination </w:t>
      </w:r>
      <w:r w:rsidR="00DF2D23">
        <w:rPr>
          <w:b w:val="0"/>
          <w:bCs w:val="0"/>
        </w:rPr>
        <w:t>are</w:t>
      </w:r>
      <w:r w:rsidRPr="00510999">
        <w:rPr>
          <w:b w:val="0"/>
          <w:bCs w:val="0"/>
        </w:rPr>
        <w:t xml:space="preserve"> performed to obtain the transport impedance inherent to the series resistors. The results, shown by Nyquist plots in Fig. S21, exhibit two semi-circles, of which the first one at </w:t>
      </w:r>
      <w:r w:rsidR="00DF2D23">
        <w:rPr>
          <w:b w:val="0"/>
          <w:bCs w:val="0"/>
        </w:rPr>
        <w:t>high-frequency</w:t>
      </w:r>
      <w:r w:rsidRPr="00510999">
        <w:rPr>
          <w:b w:val="0"/>
          <w:bCs w:val="0"/>
        </w:rPr>
        <w:t xml:space="preserve"> region is assigned to the charge transfer process at the perovskite/spiro-OMeTAD interface (hole extraction or injection), and the later one may be attributed to some slow charge transport process that </w:t>
      </w:r>
      <w:r w:rsidR="00DF2D23">
        <w:rPr>
          <w:b w:val="0"/>
          <w:bCs w:val="0"/>
        </w:rPr>
        <w:t>has</w:t>
      </w:r>
      <w:r w:rsidRPr="00510999">
        <w:rPr>
          <w:b w:val="0"/>
          <w:bCs w:val="0"/>
        </w:rPr>
        <w:t xml:space="preserve"> no direct relevance to the device physics. An equivalent circuit model in Fig. S21d is used to fit the EIS results. The fitted resistor R</w:t>
      </w:r>
      <w:r w:rsidRPr="00510999">
        <w:rPr>
          <w:b w:val="0"/>
          <w:bCs w:val="0"/>
          <w:vertAlign w:val="subscript"/>
        </w:rPr>
        <w:t>2</w:t>
      </w:r>
      <w:r w:rsidRPr="00510999">
        <w:rPr>
          <w:b w:val="0"/>
          <w:bCs w:val="0"/>
        </w:rPr>
        <w:t xml:space="preserve"> for the three devices is determined to be 261.9, 246.5 and 234.7 Ω, respectively. </w:t>
      </w:r>
    </w:p>
    <w:p w14:paraId="42DE0288" w14:textId="77777777" w:rsidR="00380151" w:rsidRPr="000D2727" w:rsidRDefault="00380151" w:rsidP="00DF5D00">
      <w:pPr>
        <w:spacing w:before="120" w:line="360" w:lineRule="auto"/>
        <w:jc w:val="both"/>
        <w:rPr>
          <w:rFonts w:eastAsia="SimSun"/>
          <w:szCs w:val="21"/>
        </w:rPr>
      </w:pPr>
      <w:r w:rsidRPr="00994276">
        <w:rPr>
          <w:sz w:val="20"/>
        </w:rPr>
        <w:br w:type="page"/>
      </w:r>
    </w:p>
    <w:p w14:paraId="5A140368" w14:textId="77777777" w:rsidR="00380151" w:rsidRDefault="00380151" w:rsidP="00DF5D00">
      <w:pPr>
        <w:spacing w:before="120" w:line="360" w:lineRule="auto"/>
        <w:jc w:val="both"/>
        <w:rPr>
          <w:szCs w:val="21"/>
        </w:rPr>
      </w:pPr>
      <w:r w:rsidRPr="009520A8">
        <w:rPr>
          <w:noProof/>
        </w:rPr>
        <w:lastRenderedPageBreak/>
        <w:t xml:space="preserve"> </w:t>
      </w:r>
      <w:r w:rsidRPr="008C2640">
        <w:rPr>
          <w:noProof/>
        </w:rPr>
        <w:t xml:space="preserve">  </w:t>
      </w:r>
      <w:r w:rsidRPr="00381043">
        <w:rPr>
          <w:noProof/>
        </w:rPr>
        <w:t xml:space="preserve">  </w:t>
      </w:r>
      <w:r>
        <w:rPr>
          <w:noProof/>
          <w:szCs w:val="21"/>
        </w:rPr>
        <w:drawing>
          <wp:inline distT="0" distB="0" distL="0" distR="0" wp14:anchorId="6C8C7C36" wp14:editId="64860CD1">
            <wp:extent cx="6120130" cy="404558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33"/>
                    <a:stretch>
                      <a:fillRect/>
                    </a:stretch>
                  </pic:blipFill>
                  <pic:spPr>
                    <a:xfrm>
                      <a:off x="0" y="0"/>
                      <a:ext cx="6120130" cy="4045585"/>
                    </a:xfrm>
                    <a:prstGeom prst="rect">
                      <a:avLst/>
                    </a:prstGeom>
                  </pic:spPr>
                </pic:pic>
              </a:graphicData>
            </a:graphic>
          </wp:inline>
        </w:drawing>
      </w:r>
    </w:p>
    <w:p w14:paraId="4CD38B1E" w14:textId="09EE6B66" w:rsidR="00380151" w:rsidRPr="00D87C82" w:rsidRDefault="00380151" w:rsidP="00DF5D00">
      <w:pPr>
        <w:pStyle w:val="SMHeading"/>
        <w:spacing w:line="360" w:lineRule="auto"/>
        <w:jc w:val="both"/>
      </w:pPr>
      <w:r w:rsidRPr="00D87C82">
        <w:rPr>
          <w:rFonts w:hint="eastAsia"/>
        </w:rPr>
        <w:t>Fig</w:t>
      </w:r>
      <w:r w:rsidRPr="00D87C82">
        <w:t>. S2</w:t>
      </w:r>
      <w:r>
        <w:t>5</w:t>
      </w:r>
      <w:r w:rsidR="00B76A12">
        <w:t xml:space="preserve"> | </w:t>
      </w:r>
      <w:r w:rsidRPr="00510999">
        <w:rPr>
          <w:b w:val="0"/>
          <w:bCs w:val="0"/>
        </w:rPr>
        <w:t xml:space="preserve">Independent efficiency measurement of PSC. The certificated results from accredited photovoltaic certification laboratory </w:t>
      </w:r>
      <w:r w:rsidRPr="00510999">
        <w:rPr>
          <w:rFonts w:hint="eastAsia"/>
          <w:b w:val="0"/>
          <w:bCs w:val="0"/>
        </w:rPr>
        <w:t>P</w:t>
      </w:r>
      <w:r w:rsidRPr="00510999">
        <w:rPr>
          <w:b w:val="0"/>
          <w:bCs w:val="0"/>
        </w:rPr>
        <w:t>hotovoltaic and Wind</w:t>
      </w:r>
      <w:r w:rsidRPr="00510999">
        <w:rPr>
          <w:rFonts w:hint="eastAsia"/>
          <w:b w:val="0"/>
          <w:bCs w:val="0"/>
        </w:rPr>
        <w:t xml:space="preserve"> P</w:t>
      </w:r>
      <w:r w:rsidRPr="00510999">
        <w:rPr>
          <w:b w:val="0"/>
          <w:bCs w:val="0"/>
        </w:rPr>
        <w:t>ower</w:t>
      </w:r>
      <w:r w:rsidRPr="00510999">
        <w:rPr>
          <w:rFonts w:hint="eastAsia"/>
          <w:b w:val="0"/>
          <w:bCs w:val="0"/>
        </w:rPr>
        <w:t xml:space="preserve"> S</w:t>
      </w:r>
      <w:r w:rsidRPr="00510999">
        <w:rPr>
          <w:b w:val="0"/>
          <w:bCs w:val="0"/>
        </w:rPr>
        <w:t>ystems</w:t>
      </w:r>
      <w:r w:rsidRPr="00510999">
        <w:rPr>
          <w:rFonts w:hint="eastAsia"/>
          <w:b w:val="0"/>
          <w:bCs w:val="0"/>
        </w:rPr>
        <w:t xml:space="preserve"> </w:t>
      </w:r>
      <w:r w:rsidRPr="00510999">
        <w:rPr>
          <w:b w:val="0"/>
          <w:bCs w:val="0"/>
        </w:rPr>
        <w:t xml:space="preserve">Quality Test Center, IEE, Chinese Academy of Sciences, China. The effective area </w:t>
      </w:r>
      <w:r w:rsidRPr="00510999">
        <w:rPr>
          <w:rFonts w:hint="eastAsia"/>
          <w:b w:val="0"/>
          <w:bCs w:val="0"/>
        </w:rPr>
        <w:t>is</w:t>
      </w:r>
      <w:r w:rsidRPr="00510999">
        <w:rPr>
          <w:b w:val="0"/>
          <w:bCs w:val="0"/>
        </w:rPr>
        <w:t xml:space="preserve"> determined by an opaque mask with a aperture area of 0.0597 cm</w:t>
      </w:r>
      <w:r w:rsidRPr="00510999">
        <w:rPr>
          <w:b w:val="0"/>
          <w:bCs w:val="0"/>
          <w:vertAlign w:val="superscript"/>
        </w:rPr>
        <w:t>2</w:t>
      </w:r>
      <w:r w:rsidRPr="00510999">
        <w:rPr>
          <w:b w:val="0"/>
          <w:bCs w:val="0"/>
        </w:rPr>
        <w:t xml:space="preserve">. The </w:t>
      </w:r>
      <w:r w:rsidRPr="00510999">
        <w:rPr>
          <w:b w:val="0"/>
          <w:bCs w:val="0"/>
          <w:i/>
          <w:iCs/>
        </w:rPr>
        <w:t>V</w:t>
      </w:r>
      <w:r w:rsidRPr="00510999">
        <w:rPr>
          <w:b w:val="0"/>
          <w:bCs w:val="0"/>
          <w:vertAlign w:val="subscript"/>
        </w:rPr>
        <w:t>OC</w:t>
      </w:r>
      <w:r w:rsidRPr="00510999">
        <w:rPr>
          <w:b w:val="0"/>
          <w:bCs w:val="0"/>
        </w:rPr>
        <w:t xml:space="preserve"> is 1.147 V</w:t>
      </w:r>
      <w:r w:rsidRPr="00510999">
        <w:rPr>
          <w:rFonts w:hint="eastAsia"/>
          <w:b w:val="0"/>
          <w:bCs w:val="0"/>
        </w:rPr>
        <w:t>,</w:t>
      </w:r>
      <w:r w:rsidRPr="00510999">
        <w:rPr>
          <w:b w:val="0"/>
          <w:bCs w:val="0"/>
        </w:rPr>
        <w:t xml:space="preserve"> </w:t>
      </w:r>
      <w:r w:rsidRPr="00510999">
        <w:rPr>
          <w:b w:val="0"/>
          <w:bCs w:val="0"/>
          <w:i/>
          <w:iCs/>
        </w:rPr>
        <w:t>J</w:t>
      </w:r>
      <w:r w:rsidRPr="00510999">
        <w:rPr>
          <w:b w:val="0"/>
          <w:bCs w:val="0"/>
          <w:vertAlign w:val="subscript"/>
        </w:rPr>
        <w:t>SC</w:t>
      </w:r>
      <w:r w:rsidRPr="00510999">
        <w:rPr>
          <w:b w:val="0"/>
          <w:bCs w:val="0"/>
        </w:rPr>
        <w:t xml:space="preserve"> is 25.757 mA/cm</w:t>
      </w:r>
      <w:r w:rsidRPr="00510999">
        <w:rPr>
          <w:b w:val="0"/>
          <w:bCs w:val="0"/>
          <w:vertAlign w:val="superscript"/>
        </w:rPr>
        <w:t>2</w:t>
      </w:r>
      <w:r w:rsidRPr="00510999">
        <w:rPr>
          <w:b w:val="0"/>
          <w:bCs w:val="0"/>
        </w:rPr>
        <w:t xml:space="preserve">, </w:t>
      </w:r>
      <w:r w:rsidRPr="00766F06">
        <w:rPr>
          <w:b w:val="0"/>
          <w:bCs w:val="0"/>
        </w:rPr>
        <w:t>FF</w:t>
      </w:r>
      <w:r w:rsidRPr="00510999">
        <w:rPr>
          <w:b w:val="0"/>
          <w:bCs w:val="0"/>
        </w:rPr>
        <w:t xml:space="preserve"> is 81.32% and </w:t>
      </w:r>
      <w:r w:rsidRPr="00766F06">
        <w:rPr>
          <w:b w:val="0"/>
          <w:bCs w:val="0"/>
        </w:rPr>
        <w:t>PCE</w:t>
      </w:r>
      <w:r w:rsidRPr="00510999">
        <w:rPr>
          <w:b w:val="0"/>
          <w:bCs w:val="0"/>
        </w:rPr>
        <w:t xml:space="preserve"> is 24.02% in the forward voltage swept (</w:t>
      </w:r>
      <w:r w:rsidRPr="00510999">
        <w:rPr>
          <w:b w:val="0"/>
          <w:bCs w:val="0"/>
          <w:i/>
          <w:iCs/>
        </w:rPr>
        <w:t>J</w:t>
      </w:r>
      <w:r w:rsidRPr="00510999">
        <w:rPr>
          <w:b w:val="0"/>
          <w:bCs w:val="0"/>
          <w:vertAlign w:val="subscript"/>
        </w:rPr>
        <w:t>SC</w:t>
      </w:r>
      <w:r w:rsidRPr="00510999">
        <w:rPr>
          <w:rFonts w:hint="eastAsia"/>
          <w:b w:val="0"/>
          <w:bCs w:val="0"/>
        </w:rPr>
        <w:t>→</w:t>
      </w:r>
      <w:r w:rsidRPr="00510999">
        <w:rPr>
          <w:b w:val="0"/>
          <w:bCs w:val="0"/>
          <w:i/>
          <w:iCs/>
        </w:rPr>
        <w:t>V</w:t>
      </w:r>
      <w:r w:rsidRPr="00510999">
        <w:rPr>
          <w:b w:val="0"/>
          <w:bCs w:val="0"/>
          <w:vertAlign w:val="subscript"/>
        </w:rPr>
        <w:t>OC</w:t>
      </w:r>
      <w:r w:rsidRPr="00510999">
        <w:rPr>
          <w:b w:val="0"/>
          <w:bCs w:val="0"/>
        </w:rPr>
        <w:t xml:space="preserve">) </w:t>
      </w:r>
      <w:r w:rsidRPr="00510999">
        <w:rPr>
          <w:b w:val="0"/>
          <w:bCs w:val="0"/>
          <w:i/>
          <w:iCs/>
        </w:rPr>
        <w:t>I-V</w:t>
      </w:r>
      <w:r w:rsidRPr="00510999">
        <w:rPr>
          <w:b w:val="0"/>
          <w:bCs w:val="0"/>
        </w:rPr>
        <w:t xml:space="preserve"> and </w:t>
      </w:r>
      <w:r w:rsidRPr="00510999">
        <w:rPr>
          <w:b w:val="0"/>
          <w:bCs w:val="0"/>
          <w:i/>
          <w:iCs/>
        </w:rPr>
        <w:t>P-V</w:t>
      </w:r>
      <w:r w:rsidRPr="00510999">
        <w:rPr>
          <w:b w:val="0"/>
          <w:bCs w:val="0"/>
        </w:rPr>
        <w:t xml:space="preserve"> curve, and the </w:t>
      </w:r>
      <w:r w:rsidRPr="00510999">
        <w:rPr>
          <w:b w:val="0"/>
          <w:bCs w:val="0"/>
          <w:i/>
          <w:iCs/>
        </w:rPr>
        <w:t>V</w:t>
      </w:r>
      <w:r w:rsidRPr="00510999">
        <w:rPr>
          <w:b w:val="0"/>
          <w:bCs w:val="0"/>
          <w:vertAlign w:val="subscript"/>
        </w:rPr>
        <w:t>OC</w:t>
      </w:r>
      <w:r w:rsidRPr="00510999">
        <w:rPr>
          <w:b w:val="0"/>
          <w:bCs w:val="0"/>
        </w:rPr>
        <w:t xml:space="preserve"> is 1.152 V</w:t>
      </w:r>
      <w:r w:rsidRPr="00510999">
        <w:rPr>
          <w:rFonts w:hint="eastAsia"/>
          <w:b w:val="0"/>
          <w:bCs w:val="0"/>
        </w:rPr>
        <w:t>,</w:t>
      </w:r>
      <w:r w:rsidRPr="00510999">
        <w:rPr>
          <w:b w:val="0"/>
          <w:bCs w:val="0"/>
        </w:rPr>
        <w:t xml:space="preserve"> </w:t>
      </w:r>
      <w:r w:rsidRPr="00510999">
        <w:rPr>
          <w:b w:val="0"/>
          <w:bCs w:val="0"/>
          <w:i/>
          <w:iCs/>
        </w:rPr>
        <w:t>J</w:t>
      </w:r>
      <w:r w:rsidRPr="00510999">
        <w:rPr>
          <w:b w:val="0"/>
          <w:bCs w:val="0"/>
          <w:vertAlign w:val="subscript"/>
        </w:rPr>
        <w:t>SC</w:t>
      </w:r>
      <w:r w:rsidRPr="00510999">
        <w:rPr>
          <w:b w:val="0"/>
          <w:bCs w:val="0"/>
        </w:rPr>
        <w:t xml:space="preserve"> is 25.986 mA/cm</w:t>
      </w:r>
      <w:r w:rsidRPr="00510999">
        <w:rPr>
          <w:b w:val="0"/>
          <w:bCs w:val="0"/>
          <w:vertAlign w:val="superscript"/>
        </w:rPr>
        <w:t>2</w:t>
      </w:r>
      <w:r w:rsidRPr="00510999">
        <w:rPr>
          <w:b w:val="0"/>
          <w:bCs w:val="0"/>
        </w:rPr>
        <w:t xml:space="preserve">, </w:t>
      </w:r>
      <w:r w:rsidRPr="00766F06">
        <w:rPr>
          <w:b w:val="0"/>
          <w:bCs w:val="0"/>
        </w:rPr>
        <w:t>FF</w:t>
      </w:r>
      <w:r w:rsidRPr="00510999">
        <w:rPr>
          <w:b w:val="0"/>
          <w:bCs w:val="0"/>
        </w:rPr>
        <w:t xml:space="preserve"> is 83.68% and </w:t>
      </w:r>
      <w:r w:rsidRPr="00766F06">
        <w:rPr>
          <w:b w:val="0"/>
          <w:bCs w:val="0"/>
        </w:rPr>
        <w:t>PCE</w:t>
      </w:r>
      <w:r w:rsidRPr="00510999">
        <w:rPr>
          <w:b w:val="0"/>
          <w:bCs w:val="0"/>
        </w:rPr>
        <w:t xml:space="preserve"> is 25.04% in the reverse voltage swept (</w:t>
      </w:r>
      <w:r w:rsidRPr="00510999">
        <w:rPr>
          <w:b w:val="0"/>
          <w:bCs w:val="0"/>
          <w:i/>
          <w:iCs/>
        </w:rPr>
        <w:t>V</w:t>
      </w:r>
      <w:r w:rsidRPr="00510999">
        <w:rPr>
          <w:b w:val="0"/>
          <w:bCs w:val="0"/>
          <w:vertAlign w:val="subscript"/>
        </w:rPr>
        <w:t>OC</w:t>
      </w:r>
      <w:r w:rsidRPr="00510999">
        <w:rPr>
          <w:rFonts w:hint="eastAsia"/>
          <w:b w:val="0"/>
          <w:bCs w:val="0"/>
        </w:rPr>
        <w:t>→</w:t>
      </w:r>
      <w:r w:rsidRPr="00510999">
        <w:rPr>
          <w:b w:val="0"/>
          <w:bCs w:val="0"/>
          <w:i/>
          <w:iCs/>
        </w:rPr>
        <w:t>J</w:t>
      </w:r>
      <w:r w:rsidRPr="00510999">
        <w:rPr>
          <w:b w:val="0"/>
          <w:bCs w:val="0"/>
          <w:vertAlign w:val="subscript"/>
        </w:rPr>
        <w:t>SC</w:t>
      </w:r>
      <w:r w:rsidRPr="00510999">
        <w:rPr>
          <w:b w:val="0"/>
          <w:bCs w:val="0"/>
        </w:rPr>
        <w:t xml:space="preserve">) </w:t>
      </w:r>
      <w:r w:rsidRPr="00510999">
        <w:rPr>
          <w:b w:val="0"/>
          <w:bCs w:val="0"/>
          <w:i/>
          <w:iCs/>
        </w:rPr>
        <w:t>I-V</w:t>
      </w:r>
      <w:r w:rsidRPr="00510999">
        <w:rPr>
          <w:b w:val="0"/>
          <w:bCs w:val="0"/>
        </w:rPr>
        <w:t xml:space="preserve"> and </w:t>
      </w:r>
      <w:r w:rsidRPr="00510999">
        <w:rPr>
          <w:b w:val="0"/>
          <w:bCs w:val="0"/>
          <w:i/>
          <w:iCs/>
        </w:rPr>
        <w:t>P-V</w:t>
      </w:r>
      <w:r w:rsidRPr="00510999">
        <w:rPr>
          <w:b w:val="0"/>
          <w:bCs w:val="0"/>
        </w:rPr>
        <w:t xml:space="preserve"> curves.</w:t>
      </w:r>
    </w:p>
    <w:p w14:paraId="6A8CCBAC" w14:textId="77777777" w:rsidR="00380151" w:rsidRDefault="00380151" w:rsidP="00DF5D00">
      <w:pPr>
        <w:spacing w:before="120" w:line="360" w:lineRule="auto"/>
        <w:jc w:val="both"/>
        <w:rPr>
          <w:szCs w:val="21"/>
        </w:rPr>
      </w:pPr>
    </w:p>
    <w:p w14:paraId="366E7428" w14:textId="77777777" w:rsidR="00380151" w:rsidRDefault="00380151" w:rsidP="00DF5D00">
      <w:pPr>
        <w:spacing w:before="120" w:line="360" w:lineRule="auto"/>
        <w:jc w:val="both"/>
        <w:rPr>
          <w:b/>
          <w:bCs/>
          <w:szCs w:val="24"/>
        </w:rPr>
      </w:pPr>
      <w:r>
        <w:rPr>
          <w:b/>
          <w:bCs/>
          <w:szCs w:val="24"/>
        </w:rPr>
        <w:br w:type="page"/>
      </w:r>
      <w:r>
        <w:rPr>
          <w:b/>
          <w:bCs/>
          <w:noProof/>
          <w:szCs w:val="24"/>
        </w:rPr>
        <w:lastRenderedPageBreak/>
        <w:drawing>
          <wp:inline distT="0" distB="0" distL="0" distR="0" wp14:anchorId="05A688AB" wp14:editId="60D5BA52">
            <wp:extent cx="6120130" cy="4719955"/>
            <wp:effectExtent l="0" t="0" r="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4"/>
                    <a:stretch>
                      <a:fillRect/>
                    </a:stretch>
                  </pic:blipFill>
                  <pic:spPr>
                    <a:xfrm>
                      <a:off x="0" y="0"/>
                      <a:ext cx="6120130" cy="4719955"/>
                    </a:xfrm>
                    <a:prstGeom prst="rect">
                      <a:avLst/>
                    </a:prstGeom>
                  </pic:spPr>
                </pic:pic>
              </a:graphicData>
            </a:graphic>
          </wp:inline>
        </w:drawing>
      </w:r>
    </w:p>
    <w:p w14:paraId="466AE0DF" w14:textId="26B40FD8" w:rsidR="00380151" w:rsidRDefault="00380151" w:rsidP="00DF5D00">
      <w:pPr>
        <w:pStyle w:val="SMHeading"/>
        <w:spacing w:line="360" w:lineRule="auto"/>
        <w:jc w:val="both"/>
      </w:pPr>
      <w:r>
        <w:rPr>
          <w:rFonts w:hint="eastAsia"/>
        </w:rPr>
        <w:t>F</w:t>
      </w:r>
      <w:r>
        <w:t>ig. S26</w:t>
      </w:r>
      <w:r w:rsidR="00B76A12">
        <w:t xml:space="preserve"> | </w:t>
      </w:r>
      <w:r w:rsidRPr="00203BA6">
        <w:rPr>
          <w:b w:val="0"/>
          <w:bCs w:val="0"/>
        </w:rPr>
        <w:t>The</w:t>
      </w:r>
      <w:r w:rsidRPr="00203BA6">
        <w:rPr>
          <w:rFonts w:eastAsia="Arial Unicode MS"/>
          <w:b w:val="0"/>
          <w:bCs w:val="0"/>
          <w:color w:val="000000" w:themeColor="text1"/>
          <w:kern w:val="24"/>
        </w:rPr>
        <w:t xml:space="preserve"> </w:t>
      </w:r>
      <w:r w:rsidRPr="00766F06">
        <w:rPr>
          <w:rFonts w:eastAsia="Arial Unicode MS"/>
          <w:b w:val="0"/>
          <w:bCs w:val="0"/>
          <w:color w:val="000000" w:themeColor="text1"/>
          <w:kern w:val="24"/>
        </w:rPr>
        <w:t>PCE</w:t>
      </w:r>
      <w:r w:rsidRPr="00203BA6">
        <w:rPr>
          <w:rFonts w:eastAsia="Arial Unicode MS"/>
          <w:b w:val="0"/>
          <w:bCs w:val="0"/>
          <w:color w:val="000000" w:themeColor="text1"/>
          <w:kern w:val="24"/>
        </w:rPr>
        <w:t xml:space="preserve">, </w:t>
      </w:r>
      <w:r w:rsidRPr="00766F06">
        <w:rPr>
          <w:rFonts w:eastAsia="Arial Unicode MS"/>
          <w:b w:val="0"/>
          <w:bCs w:val="0"/>
          <w:color w:val="000000" w:themeColor="text1"/>
          <w:kern w:val="24"/>
        </w:rPr>
        <w:t>FF</w:t>
      </w:r>
      <w:r w:rsidRPr="00203BA6">
        <w:rPr>
          <w:rFonts w:eastAsia="Arial Unicode MS"/>
          <w:b w:val="0"/>
          <w:bCs w:val="0"/>
          <w:color w:val="000000" w:themeColor="text1"/>
          <w:kern w:val="24"/>
        </w:rPr>
        <w:t>,</w:t>
      </w:r>
      <w:r w:rsidRPr="00203BA6">
        <w:rPr>
          <w:rFonts w:eastAsia="Arial Unicode MS"/>
          <w:b w:val="0"/>
          <w:bCs w:val="0"/>
          <w:i/>
          <w:iCs/>
          <w:color w:val="000000" w:themeColor="text1"/>
          <w:kern w:val="24"/>
        </w:rPr>
        <w:t xml:space="preserve"> V</w:t>
      </w:r>
      <w:r w:rsidRPr="00203BA6">
        <w:rPr>
          <w:rFonts w:eastAsia="Arial Unicode MS"/>
          <w:b w:val="0"/>
          <w:bCs w:val="0"/>
          <w:color w:val="000000" w:themeColor="text1"/>
          <w:kern w:val="24"/>
          <w:vertAlign w:val="subscript"/>
        </w:rPr>
        <w:t>OC</w:t>
      </w:r>
      <w:r w:rsidRPr="00203BA6">
        <w:rPr>
          <w:rFonts w:eastAsia="Arial Unicode MS"/>
          <w:b w:val="0"/>
          <w:bCs w:val="0"/>
          <w:color w:val="000000" w:themeColor="text1"/>
          <w:kern w:val="24"/>
        </w:rPr>
        <w:t xml:space="preserve"> and </w:t>
      </w:r>
      <w:r w:rsidRPr="00203BA6">
        <w:rPr>
          <w:rFonts w:eastAsia="Arial Unicode MS"/>
          <w:b w:val="0"/>
          <w:bCs w:val="0"/>
          <w:i/>
          <w:iCs/>
          <w:color w:val="000000" w:themeColor="text1"/>
          <w:kern w:val="24"/>
        </w:rPr>
        <w:t>J</w:t>
      </w:r>
      <w:r w:rsidRPr="00203BA6">
        <w:rPr>
          <w:rFonts w:eastAsia="Arial Unicode MS"/>
          <w:b w:val="0"/>
          <w:bCs w:val="0"/>
          <w:color w:val="000000" w:themeColor="text1"/>
          <w:kern w:val="24"/>
          <w:vertAlign w:val="subscript"/>
        </w:rPr>
        <w:t>SC</w:t>
      </w:r>
      <w:r w:rsidRPr="00203BA6">
        <w:rPr>
          <w:rFonts w:eastAsia="Arial Unicode MS"/>
          <w:b w:val="0"/>
          <w:bCs w:val="0"/>
          <w:color w:val="000000" w:themeColor="text1"/>
          <w:kern w:val="24"/>
          <w:szCs w:val="21"/>
        </w:rPr>
        <w:t xml:space="preserve"> </w:t>
      </w:r>
      <w:r w:rsidR="00DF2D23">
        <w:rPr>
          <w:rFonts w:eastAsia="Arial Unicode MS"/>
          <w:b w:val="0"/>
          <w:bCs w:val="0"/>
          <w:color w:val="000000" w:themeColor="text1"/>
          <w:kern w:val="24"/>
        </w:rPr>
        <w:t>statistics</w:t>
      </w:r>
      <w:r w:rsidRPr="00203BA6">
        <w:rPr>
          <w:rFonts w:eastAsia="Arial Unicode MS"/>
          <w:b w:val="0"/>
          <w:bCs w:val="0"/>
          <w:color w:val="000000" w:themeColor="text1"/>
          <w:kern w:val="24"/>
        </w:rPr>
        <w:t xml:space="preserve"> of 16 cells for the three involved cases.</w:t>
      </w:r>
      <w:r w:rsidRPr="00203BA6">
        <w:rPr>
          <w:b w:val="0"/>
          <w:bCs w:val="0"/>
        </w:rPr>
        <w:t xml:space="preserve"> The box contains 50% of the data, the antenna shows </w:t>
      </w:r>
      <w:r w:rsidR="00DF2D23">
        <w:rPr>
          <w:b w:val="0"/>
          <w:bCs w:val="0"/>
        </w:rPr>
        <w:t xml:space="preserve">the </w:t>
      </w:r>
      <w:r w:rsidRPr="00203BA6">
        <w:rPr>
          <w:b w:val="0"/>
          <w:bCs w:val="0"/>
        </w:rPr>
        <w:t xml:space="preserve">minimum and maximum values, </w:t>
      </w:r>
      <w:r w:rsidR="00DF2D23">
        <w:rPr>
          <w:b w:val="0"/>
          <w:bCs w:val="0"/>
        </w:rPr>
        <w:t xml:space="preserve">and </w:t>
      </w:r>
      <w:r w:rsidRPr="00203BA6">
        <w:rPr>
          <w:b w:val="0"/>
          <w:bCs w:val="0"/>
        </w:rPr>
        <w:t>the bars give the median.</w:t>
      </w:r>
    </w:p>
    <w:p w14:paraId="0D41A9A6" w14:textId="77777777" w:rsidR="00380151" w:rsidRDefault="00380151" w:rsidP="00DF5D00">
      <w:pPr>
        <w:spacing w:before="120" w:line="360" w:lineRule="auto"/>
        <w:jc w:val="both"/>
        <w:rPr>
          <w:b/>
          <w:bCs/>
          <w:szCs w:val="24"/>
        </w:rPr>
      </w:pPr>
      <w:r>
        <w:rPr>
          <w:b/>
          <w:bCs/>
          <w:szCs w:val="24"/>
        </w:rPr>
        <w:br w:type="page"/>
      </w:r>
    </w:p>
    <w:p w14:paraId="2B160898" w14:textId="59AAEBAA" w:rsidR="00380151" w:rsidRPr="00A75623" w:rsidRDefault="00380151" w:rsidP="00DF5D00">
      <w:pPr>
        <w:pStyle w:val="SMHeading"/>
        <w:spacing w:line="360" w:lineRule="auto"/>
      </w:pPr>
      <w:r w:rsidRPr="00A75623">
        <w:lastRenderedPageBreak/>
        <w:t>Tab</w:t>
      </w:r>
      <w:r>
        <w:t>le</w:t>
      </w:r>
      <w:r w:rsidRPr="00A75623">
        <w:t xml:space="preserve"> S2</w:t>
      </w:r>
      <w:r w:rsidR="00B76A12">
        <w:t xml:space="preserve"> | </w:t>
      </w:r>
      <w:r w:rsidRPr="003E25A2">
        <w:rPr>
          <w:b w:val="0"/>
          <w:bCs w:val="0"/>
        </w:rPr>
        <w:t>Performance of efficient perovskite solar cell by 2D/3D heterojunction in Fig. 4</w:t>
      </w:r>
      <w:r w:rsidR="003E25A2">
        <w:rPr>
          <w:b w:val="0"/>
          <w:bCs w:val="0"/>
        </w:rPr>
        <w:t>C</w:t>
      </w:r>
      <w:r w:rsidRPr="003E25A2">
        <w:rPr>
          <w:b w:val="0"/>
          <w:bCs w:val="0"/>
        </w:rPr>
        <w:t>.</w:t>
      </w:r>
    </w:p>
    <w:tbl>
      <w:tblPr>
        <w:tblStyle w:val="TableGrid"/>
        <w:tblW w:w="9786" w:type="dxa"/>
        <w:jc w:val="center"/>
        <w:tblLayout w:type="fixed"/>
        <w:tblLook w:val="04A0" w:firstRow="1" w:lastRow="0" w:firstColumn="1" w:lastColumn="0" w:noHBand="0" w:noVBand="1"/>
      </w:tblPr>
      <w:tblGrid>
        <w:gridCol w:w="846"/>
        <w:gridCol w:w="3270"/>
        <w:gridCol w:w="1134"/>
        <w:gridCol w:w="1417"/>
        <w:gridCol w:w="1134"/>
        <w:gridCol w:w="851"/>
        <w:gridCol w:w="1134"/>
      </w:tblGrid>
      <w:tr w:rsidR="00380151" w:rsidRPr="00765274" w14:paraId="0A1F992B" w14:textId="77777777" w:rsidTr="00C30201">
        <w:trPr>
          <w:cantSplit/>
          <w:jc w:val="center"/>
        </w:trPr>
        <w:tc>
          <w:tcPr>
            <w:tcW w:w="846" w:type="dxa"/>
            <w:vAlign w:val="center"/>
          </w:tcPr>
          <w:p w14:paraId="0754670B"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szCs w:val="24"/>
              </w:rPr>
              <w:t>Year</w:t>
            </w:r>
          </w:p>
        </w:tc>
        <w:tc>
          <w:tcPr>
            <w:tcW w:w="3270" w:type="dxa"/>
            <w:vAlign w:val="center"/>
          </w:tcPr>
          <w:p w14:paraId="4C01D0D6" w14:textId="31C4E457" w:rsidR="00380151" w:rsidRPr="00765274" w:rsidRDefault="00DF2D23" w:rsidP="00C30201">
            <w:pPr>
              <w:jc w:val="center"/>
              <w:rPr>
                <w:rFonts w:ascii="Times New Roman" w:hAnsi="Times New Roman" w:cs="Times New Roman"/>
                <w:szCs w:val="24"/>
              </w:rPr>
            </w:pPr>
            <w:r>
              <w:rPr>
                <w:rFonts w:ascii="Times New Roman" w:hAnsi="Times New Roman" w:cs="Times New Roman"/>
                <w:szCs w:val="24"/>
              </w:rPr>
              <w:t>Perovskite</w:t>
            </w:r>
            <w:r w:rsidR="00380151" w:rsidRPr="00765274">
              <w:rPr>
                <w:rFonts w:ascii="Times New Roman" w:hAnsi="Times New Roman" w:cs="Times New Roman"/>
                <w:szCs w:val="24"/>
              </w:rPr>
              <w:t xml:space="preserve"> types</w:t>
            </w:r>
          </w:p>
        </w:tc>
        <w:tc>
          <w:tcPr>
            <w:tcW w:w="1134" w:type="dxa"/>
            <w:vAlign w:val="center"/>
          </w:tcPr>
          <w:p w14:paraId="7CB57249"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i/>
                <w:szCs w:val="24"/>
              </w:rPr>
              <w:t>V</w:t>
            </w:r>
            <w:r w:rsidRPr="00765274">
              <w:rPr>
                <w:rFonts w:ascii="Times New Roman" w:hAnsi="Times New Roman" w:cs="Times New Roman"/>
                <w:szCs w:val="24"/>
                <w:vertAlign w:val="subscript"/>
              </w:rPr>
              <w:t xml:space="preserve">OC </w:t>
            </w:r>
            <w:r w:rsidRPr="00765274">
              <w:rPr>
                <w:rFonts w:ascii="Times New Roman" w:hAnsi="Times New Roman" w:cs="Times New Roman"/>
                <w:szCs w:val="24"/>
              </w:rPr>
              <w:t>(V)</w:t>
            </w:r>
          </w:p>
        </w:tc>
        <w:tc>
          <w:tcPr>
            <w:tcW w:w="1417" w:type="dxa"/>
            <w:vAlign w:val="center"/>
          </w:tcPr>
          <w:p w14:paraId="57EE64D6"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i/>
                <w:szCs w:val="24"/>
              </w:rPr>
              <w:t>J</w:t>
            </w:r>
            <w:r w:rsidRPr="00765274">
              <w:rPr>
                <w:rFonts w:ascii="Times New Roman" w:hAnsi="Times New Roman" w:cs="Times New Roman"/>
                <w:szCs w:val="24"/>
                <w:vertAlign w:val="subscript"/>
              </w:rPr>
              <w:t>SC</w:t>
            </w:r>
          </w:p>
          <w:p w14:paraId="6F9F4B91"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szCs w:val="24"/>
              </w:rPr>
              <w:t>(mA/cm</w:t>
            </w:r>
            <w:r w:rsidRPr="00765274">
              <w:rPr>
                <w:rFonts w:ascii="Times New Roman" w:hAnsi="Times New Roman" w:cs="Times New Roman"/>
                <w:szCs w:val="24"/>
                <w:vertAlign w:val="superscript"/>
              </w:rPr>
              <w:t>2</w:t>
            </w:r>
            <w:r w:rsidRPr="00765274">
              <w:rPr>
                <w:rFonts w:ascii="Times New Roman" w:hAnsi="Times New Roman" w:cs="Times New Roman"/>
                <w:szCs w:val="24"/>
              </w:rPr>
              <w:t>)</w:t>
            </w:r>
          </w:p>
        </w:tc>
        <w:tc>
          <w:tcPr>
            <w:tcW w:w="1134" w:type="dxa"/>
            <w:vAlign w:val="center"/>
          </w:tcPr>
          <w:p w14:paraId="4D22F41C" w14:textId="77777777" w:rsidR="00380151" w:rsidRPr="00765274" w:rsidRDefault="00380151" w:rsidP="00C30201">
            <w:pPr>
              <w:jc w:val="center"/>
              <w:rPr>
                <w:rFonts w:ascii="Times New Roman" w:hAnsi="Times New Roman" w:cs="Times New Roman"/>
                <w:iCs/>
                <w:szCs w:val="24"/>
              </w:rPr>
            </w:pPr>
            <w:r w:rsidRPr="00766F06">
              <w:rPr>
                <w:rFonts w:ascii="Times New Roman" w:hAnsi="Times New Roman" w:cs="Times New Roman"/>
                <w:iCs/>
                <w:szCs w:val="24"/>
              </w:rPr>
              <w:t>FF</w:t>
            </w:r>
            <w:r w:rsidRPr="00765274">
              <w:rPr>
                <w:rFonts w:ascii="Times New Roman" w:hAnsi="Times New Roman" w:cs="Times New Roman"/>
                <w:iCs/>
                <w:szCs w:val="24"/>
              </w:rPr>
              <w:t xml:space="preserve"> (%)</w:t>
            </w:r>
          </w:p>
        </w:tc>
        <w:tc>
          <w:tcPr>
            <w:tcW w:w="851" w:type="dxa"/>
            <w:vAlign w:val="center"/>
          </w:tcPr>
          <w:p w14:paraId="50FBA884" w14:textId="77777777" w:rsidR="00380151" w:rsidRPr="00765274" w:rsidRDefault="00380151" w:rsidP="00C30201">
            <w:pPr>
              <w:jc w:val="center"/>
              <w:rPr>
                <w:rFonts w:ascii="Times New Roman" w:hAnsi="Times New Roman" w:cs="Times New Roman"/>
                <w:iCs/>
                <w:szCs w:val="24"/>
              </w:rPr>
            </w:pPr>
            <w:r w:rsidRPr="00766F06">
              <w:rPr>
                <w:rFonts w:ascii="Times New Roman" w:hAnsi="Times New Roman" w:cs="Times New Roman"/>
                <w:iCs/>
                <w:szCs w:val="24"/>
              </w:rPr>
              <w:t>PCE</w:t>
            </w:r>
            <w:r w:rsidRPr="00765274">
              <w:rPr>
                <w:rFonts w:ascii="Times New Roman" w:hAnsi="Times New Roman" w:cs="Times New Roman"/>
                <w:i/>
                <w:szCs w:val="24"/>
              </w:rPr>
              <w:t xml:space="preserve"> </w:t>
            </w:r>
            <w:r w:rsidRPr="00765274">
              <w:rPr>
                <w:rFonts w:ascii="Times New Roman" w:hAnsi="Times New Roman" w:cs="Times New Roman"/>
                <w:iCs/>
                <w:szCs w:val="24"/>
              </w:rPr>
              <w:t>(%)</w:t>
            </w:r>
          </w:p>
        </w:tc>
        <w:tc>
          <w:tcPr>
            <w:tcW w:w="1134" w:type="dxa"/>
            <w:vAlign w:val="center"/>
          </w:tcPr>
          <w:p w14:paraId="617CC1B1"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szCs w:val="24"/>
              </w:rPr>
              <w:t>Ref.</w:t>
            </w:r>
          </w:p>
        </w:tc>
      </w:tr>
      <w:tr w:rsidR="00380151" w:rsidRPr="00765274" w14:paraId="1B10D35D" w14:textId="77777777" w:rsidTr="00C30201">
        <w:trPr>
          <w:cantSplit/>
          <w:jc w:val="center"/>
        </w:trPr>
        <w:tc>
          <w:tcPr>
            <w:tcW w:w="846" w:type="dxa"/>
            <w:vAlign w:val="center"/>
          </w:tcPr>
          <w:p w14:paraId="7943AF61"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hint="eastAsia"/>
                <w:szCs w:val="24"/>
              </w:rPr>
              <w:t>2</w:t>
            </w:r>
            <w:r w:rsidRPr="00765274">
              <w:rPr>
                <w:rFonts w:ascii="Times New Roman" w:hAnsi="Times New Roman" w:cs="Times New Roman"/>
                <w:szCs w:val="24"/>
              </w:rPr>
              <w:t>017</w:t>
            </w:r>
          </w:p>
        </w:tc>
        <w:tc>
          <w:tcPr>
            <w:tcW w:w="3270" w:type="dxa"/>
            <w:vAlign w:val="center"/>
          </w:tcPr>
          <w:p w14:paraId="34AC1540" w14:textId="77777777" w:rsidR="00380151" w:rsidRPr="00765274" w:rsidRDefault="00380151" w:rsidP="00C30201">
            <w:pPr>
              <w:jc w:val="center"/>
              <w:rPr>
                <w:rFonts w:ascii="Times New Roman" w:eastAsia="Whitney-Book" w:hAnsi="Times New Roman" w:cs="Times New Roman"/>
                <w:kern w:val="0"/>
                <w:szCs w:val="24"/>
              </w:rPr>
            </w:pPr>
            <w:r>
              <w:t xml:space="preserve"> </w:t>
            </w:r>
            <w:r w:rsidRPr="00307EA2">
              <w:rPr>
                <w:rFonts w:ascii="Times New Roman" w:eastAsia="Whitney-Book" w:hAnsi="Times New Roman" w:cs="Times New Roman"/>
                <w:kern w:val="0"/>
                <w:szCs w:val="24"/>
              </w:rPr>
              <w:t>MAPbI</w:t>
            </w:r>
            <w:r w:rsidRPr="00307EA2">
              <w:rPr>
                <w:rFonts w:ascii="Times New Roman" w:eastAsia="Whitney-Book" w:hAnsi="Times New Roman" w:cs="Times New Roman"/>
                <w:kern w:val="0"/>
                <w:szCs w:val="24"/>
                <w:vertAlign w:val="subscript"/>
              </w:rPr>
              <w:t>3</w:t>
            </w:r>
          </w:p>
        </w:tc>
        <w:tc>
          <w:tcPr>
            <w:tcW w:w="1134" w:type="dxa"/>
            <w:vAlign w:val="center"/>
          </w:tcPr>
          <w:p w14:paraId="48B7F936"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1</w:t>
            </w:r>
            <w:r w:rsidRPr="00765274">
              <w:rPr>
                <w:rFonts w:ascii="Times New Roman" w:eastAsia="Whitney-Book" w:hAnsi="Times New Roman" w:cs="Times New Roman"/>
                <w:kern w:val="0"/>
                <w:szCs w:val="24"/>
              </w:rPr>
              <w:t>.17</w:t>
            </w:r>
          </w:p>
        </w:tc>
        <w:tc>
          <w:tcPr>
            <w:tcW w:w="1417" w:type="dxa"/>
            <w:vAlign w:val="center"/>
          </w:tcPr>
          <w:p w14:paraId="54E078F6"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2</w:t>
            </w:r>
            <w:r w:rsidRPr="00765274">
              <w:rPr>
                <w:rFonts w:ascii="Times New Roman" w:eastAsia="Whitney-Book" w:hAnsi="Times New Roman" w:cs="Times New Roman"/>
                <w:kern w:val="0"/>
                <w:szCs w:val="24"/>
              </w:rPr>
              <w:t>1.80</w:t>
            </w:r>
          </w:p>
        </w:tc>
        <w:tc>
          <w:tcPr>
            <w:tcW w:w="1134" w:type="dxa"/>
            <w:vAlign w:val="center"/>
          </w:tcPr>
          <w:p w14:paraId="428D683C"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7</w:t>
            </w:r>
            <w:r w:rsidRPr="00765274">
              <w:rPr>
                <w:rFonts w:ascii="Times New Roman" w:eastAsia="Whitney-Book" w:hAnsi="Times New Roman" w:cs="Times New Roman"/>
                <w:kern w:val="0"/>
                <w:szCs w:val="24"/>
              </w:rPr>
              <w:t>8</w:t>
            </w:r>
          </w:p>
        </w:tc>
        <w:tc>
          <w:tcPr>
            <w:tcW w:w="851" w:type="dxa"/>
            <w:vAlign w:val="center"/>
          </w:tcPr>
          <w:p w14:paraId="45E48ABB"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1</w:t>
            </w:r>
            <w:r w:rsidRPr="00765274">
              <w:rPr>
                <w:rFonts w:ascii="Times New Roman" w:eastAsia="Whitney-Book" w:hAnsi="Times New Roman" w:cs="Times New Roman"/>
                <w:kern w:val="0"/>
                <w:szCs w:val="24"/>
              </w:rPr>
              <w:t>9.89</w:t>
            </w:r>
          </w:p>
        </w:tc>
        <w:tc>
          <w:tcPr>
            <w:tcW w:w="1134" w:type="dxa"/>
            <w:vAlign w:val="center"/>
          </w:tcPr>
          <w:p w14:paraId="6BAB05F7" w14:textId="628C90DE" w:rsidR="00380151" w:rsidRPr="00DC3463" w:rsidRDefault="00380151" w:rsidP="00C30201">
            <w:pPr>
              <w:jc w:val="center"/>
              <w:rPr>
                <w:rFonts w:ascii="Times New Roman" w:hAnsi="Times New Roman" w:cs="Times New Roman"/>
                <w:szCs w:val="24"/>
              </w:rPr>
            </w:pPr>
            <w:r w:rsidRPr="00DC3463">
              <w:rPr>
                <w:szCs w:val="24"/>
              </w:rPr>
              <w:fldChar w:fldCharType="begin"/>
            </w:r>
            <w:r w:rsidR="006D2BEF">
              <w:rPr>
                <w:szCs w:val="24"/>
              </w:rPr>
              <w:instrText xml:space="preserve"> ADDIN EN.CITE &lt;EndNote&gt;&lt;Cite&gt;&lt;Author&gt;Bai&lt;/Author&gt;&lt;Year&gt;2017&lt;/Year&gt;&lt;RecNum&gt;289&lt;/RecNum&gt;&lt;DisplayText&gt;&lt;style face="superscript"&gt;14&lt;/style&gt;&lt;/DisplayText&gt;&lt;record&gt;&lt;rec-number&gt;289&lt;/rec-number&gt;&lt;foreign-keys&gt;&lt;key app="EN" db-id="90dwdfr94fapdvepa9hpwd9fpwr0t0zfrxt2" timestamp="1660878650"&gt;289&lt;/key&gt;&lt;/foreign-keys&gt;&lt;ref-type name="Journal Article"&gt;17&lt;/ref-type&gt;&lt;contributors&gt;&lt;authors&gt;&lt;author&gt;Bai, Yang&lt;/author&gt;&lt;author&gt;Xiao, Shuang&lt;/author&gt;&lt;author&gt;Hu, Chen&lt;/author&gt;&lt;author&gt;Zhang, Teng&lt;/author&gt;&lt;author&gt;Meng, Xiangyue&lt;/author&gt;&lt;author&gt;Lin, He&lt;/author&gt;&lt;author&gt;Yang, Yinglong&lt;/author&gt;&lt;author&gt;Yang, Shihe&lt;/author&gt;&lt;/authors&gt;&lt;/contributors&gt;&lt;titles&gt;&lt;title&gt;Dimensional Engineering of a Graded 3D–2D Halide Perovskite Interface Enables Ultrahigh Voc Enhanced Stability in the p-i-n Photovoltaics&lt;/title&gt;&lt;secondary-title&gt;Advanced Energy Materials&lt;/secondary-title&gt;&lt;/titles&gt;&lt;periodical&gt;&lt;full-title&gt;Advanced Energy Materials&lt;/full-title&gt;&lt;abbr-1&gt;Adv. Energy Mater.&lt;/abbr-1&gt;&lt;/periodical&gt;&lt;pages&gt;1701038&lt;/pages&gt;&lt;volume&gt;7&lt;/volume&gt;&lt;number&gt;20&lt;/number&gt;&lt;keywords&gt;&lt;keyword&gt;blocking ion migration&lt;/keyword&gt;&lt;keyword&gt;dimensional engineering&lt;/keyword&gt;&lt;keyword&gt;energy level alignment&lt;/keyword&gt;&lt;keyword&gt;enhanced stability&lt;/keyword&gt;&lt;keyword&gt;reduced interfacial charge recombination&lt;/keyword&gt;&lt;/keywords&gt;&lt;dates&gt;&lt;year&gt;2017&lt;/year&gt;&lt;pub-dates&gt;&lt;date&gt;2017/10/01&lt;/date&gt;&lt;/pub-dates&gt;&lt;/dates&gt;&lt;publisher&gt;John Wiley &amp;amp; Sons, Ltd&lt;/publisher&gt;&lt;isbn&gt;1614-6832&lt;/isbn&gt;&lt;work-type&gt;https://doi.org/10.1002/aenm.201701038&lt;/work-type&gt;&lt;urls&gt;&lt;related-urls&gt;&lt;url&gt;https://doi.org/10.1002/aenm.201701038&lt;/url&gt;&lt;/related-urls&gt;&lt;/urls&gt;&lt;electronic-resource-num&gt;https://doi.org/10.1002/aenm.201701038&lt;/electronic-resource-num&gt;&lt;access-date&gt;2022/08/18&lt;/access-date&gt;&lt;/record&gt;&lt;/Cite&gt;&lt;/EndNote&gt;</w:instrText>
            </w:r>
            <w:r w:rsidRPr="00DC3463">
              <w:rPr>
                <w:szCs w:val="24"/>
              </w:rPr>
              <w:fldChar w:fldCharType="separate"/>
            </w:r>
            <w:r w:rsidR="006D2BEF" w:rsidRPr="006D2BEF">
              <w:rPr>
                <w:noProof/>
                <w:szCs w:val="24"/>
                <w:vertAlign w:val="superscript"/>
              </w:rPr>
              <w:t>14</w:t>
            </w:r>
            <w:r w:rsidRPr="00DC3463">
              <w:rPr>
                <w:szCs w:val="24"/>
              </w:rPr>
              <w:fldChar w:fldCharType="end"/>
            </w:r>
          </w:p>
        </w:tc>
      </w:tr>
      <w:tr w:rsidR="00380151" w:rsidRPr="00765274" w14:paraId="1BD71F72" w14:textId="77777777" w:rsidTr="00C30201">
        <w:trPr>
          <w:cantSplit/>
          <w:jc w:val="center"/>
        </w:trPr>
        <w:tc>
          <w:tcPr>
            <w:tcW w:w="846" w:type="dxa"/>
            <w:vAlign w:val="center"/>
          </w:tcPr>
          <w:p w14:paraId="6F89495C"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hint="eastAsia"/>
                <w:szCs w:val="24"/>
              </w:rPr>
              <w:t>2</w:t>
            </w:r>
            <w:r w:rsidRPr="00765274">
              <w:rPr>
                <w:rFonts w:ascii="Times New Roman" w:hAnsi="Times New Roman" w:cs="Times New Roman"/>
                <w:szCs w:val="24"/>
              </w:rPr>
              <w:t>018</w:t>
            </w:r>
          </w:p>
        </w:tc>
        <w:tc>
          <w:tcPr>
            <w:tcW w:w="3270" w:type="dxa"/>
            <w:vAlign w:val="center"/>
          </w:tcPr>
          <w:p w14:paraId="00D03F91" w14:textId="77777777" w:rsidR="00380151" w:rsidRPr="00765274" w:rsidRDefault="00380151" w:rsidP="00C30201">
            <w:pPr>
              <w:jc w:val="center"/>
              <w:rPr>
                <w:rFonts w:ascii="Times New Roman" w:eastAsia="Whitney-Book" w:hAnsi="Times New Roman" w:cs="Times New Roman"/>
                <w:kern w:val="0"/>
                <w:szCs w:val="24"/>
              </w:rPr>
            </w:pPr>
            <w:r w:rsidRPr="003C6F25">
              <w:rPr>
                <w:rFonts w:ascii="Times New Roman" w:eastAsia="Whitney-Book" w:hAnsi="Times New Roman" w:cs="Times New Roman"/>
                <w:kern w:val="0"/>
                <w:szCs w:val="24"/>
              </w:rPr>
              <w:t>(FAPbI</w:t>
            </w:r>
            <w:r w:rsidRPr="003C6F25">
              <w:rPr>
                <w:rFonts w:ascii="Times New Roman" w:eastAsia="Whitney-Book" w:hAnsi="Times New Roman" w:cs="Times New Roman"/>
                <w:kern w:val="0"/>
                <w:szCs w:val="24"/>
                <w:vertAlign w:val="subscript"/>
              </w:rPr>
              <w:t>3</w:t>
            </w:r>
            <w:r w:rsidRPr="003C6F25">
              <w:rPr>
                <w:rFonts w:ascii="Times New Roman" w:eastAsia="Whitney-Book" w:hAnsi="Times New Roman" w:cs="Times New Roman"/>
                <w:kern w:val="0"/>
                <w:szCs w:val="24"/>
              </w:rPr>
              <w:t>)</w:t>
            </w:r>
            <w:r w:rsidRPr="003C6F25">
              <w:rPr>
                <w:rFonts w:ascii="Times New Roman" w:eastAsia="Whitney-Book" w:hAnsi="Times New Roman" w:cs="Times New Roman"/>
                <w:kern w:val="0"/>
                <w:szCs w:val="24"/>
                <w:vertAlign w:val="subscript"/>
              </w:rPr>
              <w:t>0.85</w:t>
            </w:r>
            <w:r w:rsidRPr="003C6F25">
              <w:rPr>
                <w:rFonts w:ascii="Times New Roman" w:eastAsia="Whitney-Book" w:hAnsi="Times New Roman" w:cs="Times New Roman"/>
                <w:kern w:val="0"/>
                <w:szCs w:val="24"/>
              </w:rPr>
              <w:t>(MAPbBr</w:t>
            </w:r>
            <w:r w:rsidRPr="003C6F25">
              <w:rPr>
                <w:rFonts w:ascii="Times New Roman" w:eastAsia="Whitney-Book" w:hAnsi="Times New Roman" w:cs="Times New Roman"/>
                <w:kern w:val="0"/>
                <w:szCs w:val="24"/>
                <w:vertAlign w:val="subscript"/>
              </w:rPr>
              <w:t>3</w:t>
            </w:r>
            <w:r w:rsidRPr="003C6F25">
              <w:rPr>
                <w:rFonts w:ascii="Times New Roman" w:eastAsia="Whitney-Book" w:hAnsi="Times New Roman" w:cs="Times New Roman"/>
                <w:kern w:val="0"/>
                <w:szCs w:val="24"/>
              </w:rPr>
              <w:t>)</w:t>
            </w:r>
            <w:r w:rsidRPr="003C6F25">
              <w:rPr>
                <w:rFonts w:ascii="Times New Roman" w:eastAsia="Whitney-Book" w:hAnsi="Times New Roman" w:cs="Times New Roman"/>
                <w:kern w:val="0"/>
                <w:szCs w:val="24"/>
                <w:vertAlign w:val="subscript"/>
              </w:rPr>
              <w:t>0.15</w:t>
            </w:r>
          </w:p>
        </w:tc>
        <w:tc>
          <w:tcPr>
            <w:tcW w:w="1134" w:type="dxa"/>
            <w:vAlign w:val="center"/>
          </w:tcPr>
          <w:p w14:paraId="50235BF1"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w:t>
            </w:r>
          </w:p>
        </w:tc>
        <w:tc>
          <w:tcPr>
            <w:tcW w:w="1417" w:type="dxa"/>
            <w:vAlign w:val="center"/>
          </w:tcPr>
          <w:p w14:paraId="778B0437"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w:t>
            </w:r>
          </w:p>
        </w:tc>
        <w:tc>
          <w:tcPr>
            <w:tcW w:w="1134" w:type="dxa"/>
            <w:vAlign w:val="center"/>
          </w:tcPr>
          <w:p w14:paraId="2B2DAB37"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w:t>
            </w:r>
          </w:p>
        </w:tc>
        <w:tc>
          <w:tcPr>
            <w:tcW w:w="851" w:type="dxa"/>
            <w:vAlign w:val="center"/>
          </w:tcPr>
          <w:p w14:paraId="120E32ED"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2</w:t>
            </w:r>
            <w:r w:rsidRPr="00765274">
              <w:rPr>
                <w:rFonts w:ascii="Times New Roman" w:eastAsia="Whitney-Book" w:hAnsi="Times New Roman" w:cs="Times New Roman"/>
                <w:kern w:val="0"/>
                <w:szCs w:val="24"/>
              </w:rPr>
              <w:t>1.7</w:t>
            </w:r>
          </w:p>
        </w:tc>
        <w:tc>
          <w:tcPr>
            <w:tcW w:w="1134" w:type="dxa"/>
            <w:vAlign w:val="center"/>
          </w:tcPr>
          <w:p w14:paraId="45C46EB0" w14:textId="18E24BE8" w:rsidR="00380151" w:rsidRPr="00DC3463" w:rsidRDefault="00380151" w:rsidP="00C30201">
            <w:pPr>
              <w:jc w:val="center"/>
              <w:rPr>
                <w:rFonts w:ascii="Times New Roman" w:hAnsi="Times New Roman" w:cs="Times New Roman"/>
                <w:szCs w:val="24"/>
              </w:rPr>
            </w:pPr>
            <w:r w:rsidRPr="00DC3463">
              <w:rPr>
                <w:szCs w:val="24"/>
              </w:rPr>
              <w:fldChar w:fldCharType="begin"/>
            </w:r>
            <w:r w:rsidR="006D2BEF">
              <w:rPr>
                <w:szCs w:val="24"/>
              </w:rPr>
              <w:instrText xml:space="preserve"> ADDIN EN.CITE &lt;EndNote&gt;&lt;Cite&gt;&lt;Author&gt;Cho&lt;/Author&gt;&lt;Year&gt;2018&lt;/Year&gt;&lt;RecNum&gt;290&lt;/RecNum&gt;&lt;DisplayText&gt;&lt;style face="superscript"&gt;15&lt;/style&gt;&lt;/DisplayText&gt;&lt;record&gt;&lt;rec-number&gt;290&lt;/rec-number&gt;&lt;foreign-keys&gt;&lt;key app="EN" db-id="90dwdfr94fapdvepa9hpwd9fpwr0t0zfrxt2" timestamp="1660879064"&gt;290&lt;/key&gt;&lt;/foreign-keys&gt;&lt;ref-type name="Journal Article"&gt;17&lt;/ref-type&gt;&lt;contributors&gt;&lt;authors&gt;&lt;author&gt;Cho, Yongyoon&lt;/author&gt;&lt;author&gt;Soufiani, Arman Mahboubi&lt;/author&gt;&lt;author&gt;Yun, Jae Sung&lt;/author&gt;&lt;author&gt;Kim, Jincheol&lt;/author&gt;&lt;author&gt;Lee, Da Seul&lt;/author&gt;&lt;author&gt;Seidel, Jan&lt;/author&gt;&lt;author&gt;Deng, Xiaofan&lt;/author&gt;&lt;author&gt;Green, Martin A.&lt;/author&gt;&lt;author&gt;Huang, Shujuan&lt;/author&gt;&lt;author&gt;Ho-Baillie, Anita W. Y.&lt;/author&gt;&lt;/authors&gt;&lt;/contributors&gt;&lt;titles&gt;&lt;title&gt;Mixed 3D–2D Passivation Treatment for Mixed-Cation Lead Mixed-Halide Perovskite Solar Cells for Higher Efficiency and Better Stability&lt;/title&gt;&lt;secondary-title&gt;Advanced Energy Materials&lt;/secondary-title&gt;&lt;/titles&gt;&lt;periodical&gt;&lt;full-title&gt;Advanced Energy Materials&lt;/full-title&gt;&lt;abbr-1&gt;Adv. Energy Mater.&lt;/abbr-1&gt;&lt;/periodical&gt;&lt;pages&gt;1703392&lt;/pages&gt;&lt;volume&gt;8&lt;/volume&gt;&lt;number&gt;20&lt;/number&gt;&lt;keywords&gt;&lt;keyword&gt;2D perovskite&lt;/keyword&gt;&lt;keyword&gt;mixed-cation perovskite solar cells&lt;/keyword&gt;&lt;keyword&gt;passivation&lt;/keyword&gt;&lt;keyword&gt;stability&lt;/keyword&gt;&lt;/keywords&gt;&lt;dates&gt;&lt;year&gt;2018&lt;/year&gt;&lt;pub-dates&gt;&lt;date&gt;2018/07/01&lt;/date&gt;&lt;/pub-dates&gt;&lt;/dates&gt;&lt;publisher&gt;John Wiley &amp;amp; Sons, Ltd&lt;/publisher&gt;&lt;isbn&gt;1614-6832&lt;/isbn&gt;&lt;work-type&gt;https://doi.org/10.1002/aenm.201703392&lt;/work-type&gt;&lt;urls&gt;&lt;related-urls&gt;&lt;url&gt;https://doi.org/10.1002/aenm.201703392&lt;/url&gt;&lt;/related-urls&gt;&lt;/urls&gt;&lt;electronic-resource-num&gt;https://doi.org/10.1002/aenm.201703392&lt;/electronic-resource-num&gt;&lt;access-date&gt;2022/08/18&lt;/access-date&gt;&lt;/record&gt;&lt;/Cite&gt;&lt;/EndNote&gt;</w:instrText>
            </w:r>
            <w:r w:rsidRPr="00DC3463">
              <w:rPr>
                <w:szCs w:val="24"/>
              </w:rPr>
              <w:fldChar w:fldCharType="separate"/>
            </w:r>
            <w:r w:rsidR="006D2BEF" w:rsidRPr="006D2BEF">
              <w:rPr>
                <w:noProof/>
                <w:szCs w:val="24"/>
                <w:vertAlign w:val="superscript"/>
              </w:rPr>
              <w:t>15</w:t>
            </w:r>
            <w:r w:rsidRPr="00DC3463">
              <w:rPr>
                <w:szCs w:val="24"/>
              </w:rPr>
              <w:fldChar w:fldCharType="end"/>
            </w:r>
          </w:p>
        </w:tc>
      </w:tr>
      <w:tr w:rsidR="00380151" w:rsidRPr="00765274" w14:paraId="76C308A6" w14:textId="77777777" w:rsidTr="00C30201">
        <w:trPr>
          <w:cantSplit/>
          <w:jc w:val="center"/>
        </w:trPr>
        <w:tc>
          <w:tcPr>
            <w:tcW w:w="846" w:type="dxa"/>
            <w:vAlign w:val="center"/>
          </w:tcPr>
          <w:p w14:paraId="26DE1329"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hint="eastAsia"/>
                <w:szCs w:val="24"/>
              </w:rPr>
              <w:t>2</w:t>
            </w:r>
            <w:r w:rsidRPr="00765274">
              <w:rPr>
                <w:rFonts w:ascii="Times New Roman" w:hAnsi="Times New Roman" w:cs="Times New Roman"/>
                <w:szCs w:val="24"/>
              </w:rPr>
              <w:t>019</w:t>
            </w:r>
          </w:p>
        </w:tc>
        <w:tc>
          <w:tcPr>
            <w:tcW w:w="3270" w:type="dxa"/>
            <w:vAlign w:val="center"/>
          </w:tcPr>
          <w:p w14:paraId="3091CEF5" w14:textId="77777777" w:rsidR="00380151" w:rsidRPr="00765274" w:rsidRDefault="00380151" w:rsidP="00C30201">
            <w:pPr>
              <w:jc w:val="center"/>
              <w:rPr>
                <w:rFonts w:ascii="Times New Roman" w:eastAsia="Whitney-Book" w:hAnsi="Times New Roman" w:cs="Times New Roman"/>
                <w:kern w:val="0"/>
                <w:szCs w:val="24"/>
              </w:rPr>
            </w:pPr>
            <w:r w:rsidRPr="00D546D1">
              <w:rPr>
                <w:rFonts w:ascii="Times New Roman" w:eastAsia="Whitney-Book" w:hAnsi="Times New Roman" w:cs="Times New Roman"/>
                <w:kern w:val="0"/>
                <w:szCs w:val="24"/>
              </w:rPr>
              <w:t>FAPbI</w:t>
            </w:r>
            <w:r w:rsidRPr="00D546D1">
              <w:rPr>
                <w:rFonts w:ascii="Times New Roman" w:eastAsia="Whitney-Book" w:hAnsi="Times New Roman" w:cs="Times New Roman"/>
                <w:kern w:val="0"/>
                <w:szCs w:val="24"/>
                <w:vertAlign w:val="subscript"/>
              </w:rPr>
              <w:t>3</w:t>
            </w:r>
          </w:p>
        </w:tc>
        <w:tc>
          <w:tcPr>
            <w:tcW w:w="1134" w:type="dxa"/>
            <w:vAlign w:val="center"/>
          </w:tcPr>
          <w:p w14:paraId="64BD5648"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1</w:t>
            </w:r>
            <w:r w:rsidRPr="00765274">
              <w:rPr>
                <w:rFonts w:ascii="Times New Roman" w:eastAsia="Whitney-Book" w:hAnsi="Times New Roman" w:cs="Times New Roman"/>
                <w:kern w:val="0"/>
                <w:szCs w:val="24"/>
              </w:rPr>
              <w:t>.096</w:t>
            </w:r>
          </w:p>
        </w:tc>
        <w:tc>
          <w:tcPr>
            <w:tcW w:w="1417" w:type="dxa"/>
            <w:vAlign w:val="center"/>
          </w:tcPr>
          <w:p w14:paraId="4EA3FAB9"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2</w:t>
            </w:r>
            <w:r w:rsidRPr="00765274">
              <w:rPr>
                <w:rFonts w:ascii="Times New Roman" w:eastAsia="Whitney-Book" w:hAnsi="Times New Roman" w:cs="Times New Roman"/>
                <w:kern w:val="0"/>
                <w:szCs w:val="24"/>
              </w:rPr>
              <w:t>5.79</w:t>
            </w:r>
          </w:p>
        </w:tc>
        <w:tc>
          <w:tcPr>
            <w:tcW w:w="1134" w:type="dxa"/>
            <w:vAlign w:val="center"/>
          </w:tcPr>
          <w:p w14:paraId="03D65AA3"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7</w:t>
            </w:r>
            <w:r w:rsidRPr="00765274">
              <w:rPr>
                <w:rFonts w:ascii="Times New Roman" w:eastAsia="Whitney-Book" w:hAnsi="Times New Roman" w:cs="Times New Roman"/>
                <w:kern w:val="0"/>
                <w:szCs w:val="24"/>
              </w:rPr>
              <w:t>8.4</w:t>
            </w:r>
          </w:p>
        </w:tc>
        <w:tc>
          <w:tcPr>
            <w:tcW w:w="851" w:type="dxa"/>
            <w:vAlign w:val="center"/>
          </w:tcPr>
          <w:p w14:paraId="515FC102"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2</w:t>
            </w:r>
            <w:r w:rsidRPr="00765274">
              <w:rPr>
                <w:rFonts w:ascii="Times New Roman" w:eastAsia="Whitney-Book" w:hAnsi="Times New Roman" w:cs="Times New Roman"/>
                <w:kern w:val="0"/>
                <w:szCs w:val="24"/>
              </w:rPr>
              <w:t>2.16</w:t>
            </w:r>
          </w:p>
        </w:tc>
        <w:tc>
          <w:tcPr>
            <w:tcW w:w="1134" w:type="dxa"/>
            <w:vAlign w:val="center"/>
          </w:tcPr>
          <w:p w14:paraId="617C407E" w14:textId="043C7AF0" w:rsidR="00380151" w:rsidRPr="00DC3463" w:rsidRDefault="00380151" w:rsidP="00C30201">
            <w:pPr>
              <w:jc w:val="center"/>
              <w:rPr>
                <w:rFonts w:ascii="Times New Roman" w:hAnsi="Times New Roman" w:cs="Times New Roman"/>
                <w:szCs w:val="24"/>
              </w:rPr>
            </w:pPr>
            <w:r w:rsidRPr="00DC3463">
              <w:rPr>
                <w:szCs w:val="24"/>
              </w:rPr>
              <w:fldChar w:fldCharType="begin"/>
            </w:r>
            <w:r w:rsidR="006D2BEF">
              <w:rPr>
                <w:szCs w:val="24"/>
              </w:rPr>
              <w:instrText xml:space="preserve"> ADDIN EN.CITE &lt;EndNote&gt;&lt;Cite&gt;&lt;Author&gt;Liu&lt;/Author&gt;&lt;RecNum&gt;287&lt;/RecNum&gt;&lt;DisplayText&gt;&lt;style face="superscript"&gt;16&lt;/style&gt;&lt;/DisplayText&gt;&lt;record&gt;&lt;rec-number&gt;287&lt;/rec-number&gt;&lt;foreign-keys&gt;&lt;key app="EN" db-id="90dwdfr94fapdvepa9hpwd9fpwr0t0zfrxt2" timestamp="1660877813"&gt;287&lt;/key&gt;&lt;/foreign-keys&gt;&lt;ref-type name="Journal Article"&gt;17&lt;/ref-type&gt;&lt;contributors&gt;&lt;authors&gt;&lt;author&gt;Liu, Yuhang&lt;/author&gt;&lt;author&gt;Akin, Seckin&lt;/author&gt;&lt;author&gt;Pan, Linfeng&lt;/author&gt;&lt;author&gt;Uchida, Ryusuke&lt;/author&gt;&lt;author&gt;Arora, Neha&lt;/author&gt;&lt;author&gt;Milić, Jovana V.&lt;/author&gt;&lt;author&gt;Hinderhofer, Alexander&lt;/author&gt;&lt;author&gt;Schreiber, Frank&lt;/author&gt;&lt;author&gt;Uhl, Alexander R.&lt;/author&gt;&lt;author&gt;Zakeeruddin, Shaik M.&lt;/author&gt;&lt;author&gt;Hagfeldt, Anders&lt;/author&gt;&lt;author&gt;Dar, M. Ibrahim&lt;/author&gt;&lt;author&gt;Grätzel, Michael&lt;/author&gt;&lt;/authors&gt;&lt;/contributors&gt;&lt;titles&gt;&lt;title&gt;Ultrahydrophobic 3D/2D fluoroarene bilayer-based water-resistant perovskite solar cells with efficiencies exceeding 22%&lt;/title&gt;&lt;secondary-title&gt;Science Advances&lt;/secondary-title&gt;&lt;/titles&gt;&lt;periodical&gt;&lt;full-title&gt;Science Advances&lt;/full-title&gt;&lt;abbr-1&gt;Sci. Adv.&lt;/abbr-1&gt;&lt;/periodical&gt;&lt;pages&gt;eaaw2543&lt;/pages&gt;&lt;volume&gt;5&lt;/volume&gt;&lt;number&gt;6&lt;/number&gt;&lt;dates&gt;&lt;/dates&gt;&lt;publisher&gt;American Association for the Advancement of Science&lt;/publisher&gt;&lt;urls&gt;&lt;related-urls&gt;&lt;url&gt;https://doi.org/10.1126/sciadv.aaw2543&lt;/url&gt;&lt;/related-urls&gt;&lt;/urls&gt;&lt;electronic-resource-num&gt;10.1126/sciadv.aaw2543&lt;/electronic-resource-num&gt;&lt;access-date&gt;2022/08/18&lt;/access-date&gt;&lt;/record&gt;&lt;/Cite&gt;&lt;/EndNote&gt;</w:instrText>
            </w:r>
            <w:r w:rsidRPr="00DC3463">
              <w:rPr>
                <w:szCs w:val="24"/>
              </w:rPr>
              <w:fldChar w:fldCharType="separate"/>
            </w:r>
            <w:r w:rsidR="006D2BEF" w:rsidRPr="006D2BEF">
              <w:rPr>
                <w:noProof/>
                <w:szCs w:val="24"/>
                <w:vertAlign w:val="superscript"/>
              </w:rPr>
              <w:t>16</w:t>
            </w:r>
            <w:r w:rsidRPr="00DC3463">
              <w:rPr>
                <w:szCs w:val="24"/>
              </w:rPr>
              <w:fldChar w:fldCharType="end"/>
            </w:r>
          </w:p>
        </w:tc>
      </w:tr>
      <w:tr w:rsidR="00380151" w:rsidRPr="00765274" w14:paraId="31FCFB30" w14:textId="77777777" w:rsidTr="00C30201">
        <w:trPr>
          <w:cantSplit/>
          <w:jc w:val="center"/>
        </w:trPr>
        <w:tc>
          <w:tcPr>
            <w:tcW w:w="846" w:type="dxa"/>
            <w:vAlign w:val="center"/>
          </w:tcPr>
          <w:p w14:paraId="332FB135"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hint="eastAsia"/>
                <w:szCs w:val="24"/>
              </w:rPr>
              <w:t>2</w:t>
            </w:r>
            <w:r w:rsidRPr="00765274">
              <w:rPr>
                <w:rFonts w:ascii="Times New Roman" w:hAnsi="Times New Roman" w:cs="Times New Roman"/>
                <w:szCs w:val="24"/>
              </w:rPr>
              <w:t>020</w:t>
            </w:r>
          </w:p>
        </w:tc>
        <w:tc>
          <w:tcPr>
            <w:tcW w:w="3270" w:type="dxa"/>
            <w:vAlign w:val="center"/>
          </w:tcPr>
          <w:p w14:paraId="47ADFD1E" w14:textId="77777777" w:rsidR="00380151" w:rsidRPr="00765274" w:rsidRDefault="00380151" w:rsidP="00C30201">
            <w:pPr>
              <w:jc w:val="center"/>
              <w:rPr>
                <w:rFonts w:ascii="Times New Roman" w:eastAsia="Whitney-Book" w:hAnsi="Times New Roman" w:cs="Times New Roman"/>
                <w:kern w:val="0"/>
                <w:szCs w:val="24"/>
              </w:rPr>
            </w:pPr>
            <w:r w:rsidRPr="004210B6">
              <w:rPr>
                <w:rFonts w:ascii="Times New Roman" w:eastAsia="Whitney-Book" w:hAnsi="Times New Roman" w:cs="Times New Roman"/>
                <w:kern w:val="0"/>
                <w:szCs w:val="24"/>
              </w:rPr>
              <w:t>FA</w:t>
            </w:r>
            <w:r w:rsidRPr="004210B6">
              <w:rPr>
                <w:rFonts w:ascii="Times New Roman" w:eastAsia="Whitney-Book" w:hAnsi="Times New Roman" w:cs="Times New Roman"/>
                <w:kern w:val="0"/>
                <w:szCs w:val="24"/>
                <w:vertAlign w:val="subscript"/>
              </w:rPr>
              <w:t>0.95</w:t>
            </w:r>
            <w:r w:rsidRPr="004210B6">
              <w:rPr>
                <w:rFonts w:ascii="Times New Roman" w:eastAsia="Whitney-Book" w:hAnsi="Times New Roman" w:cs="Times New Roman"/>
                <w:kern w:val="0"/>
                <w:szCs w:val="24"/>
              </w:rPr>
              <w:t>Cs</w:t>
            </w:r>
            <w:r w:rsidRPr="004210B6">
              <w:rPr>
                <w:rFonts w:ascii="Times New Roman" w:eastAsia="Whitney-Book" w:hAnsi="Times New Roman" w:cs="Times New Roman"/>
                <w:kern w:val="0"/>
                <w:szCs w:val="24"/>
                <w:vertAlign w:val="subscript"/>
              </w:rPr>
              <w:t>0.05</w:t>
            </w:r>
            <w:r w:rsidRPr="004210B6">
              <w:rPr>
                <w:rFonts w:ascii="Times New Roman" w:eastAsia="Whitney-Book" w:hAnsi="Times New Roman" w:cs="Times New Roman"/>
                <w:kern w:val="0"/>
                <w:szCs w:val="24"/>
              </w:rPr>
              <w:t>PbI</w:t>
            </w:r>
            <w:r w:rsidRPr="004210B6">
              <w:rPr>
                <w:rFonts w:ascii="Times New Roman" w:eastAsia="Whitney-Book" w:hAnsi="Times New Roman" w:cs="Times New Roman"/>
                <w:kern w:val="0"/>
                <w:szCs w:val="24"/>
                <w:vertAlign w:val="subscript"/>
              </w:rPr>
              <w:t>3</w:t>
            </w:r>
          </w:p>
        </w:tc>
        <w:tc>
          <w:tcPr>
            <w:tcW w:w="1134" w:type="dxa"/>
            <w:vAlign w:val="center"/>
          </w:tcPr>
          <w:p w14:paraId="78D450F2"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1</w:t>
            </w:r>
            <w:r w:rsidRPr="00765274">
              <w:rPr>
                <w:rFonts w:ascii="Times New Roman" w:eastAsia="Whitney-Book" w:hAnsi="Times New Roman" w:cs="Times New Roman"/>
                <w:kern w:val="0"/>
                <w:szCs w:val="24"/>
              </w:rPr>
              <w:t>.14</w:t>
            </w:r>
          </w:p>
        </w:tc>
        <w:tc>
          <w:tcPr>
            <w:tcW w:w="1417" w:type="dxa"/>
            <w:vAlign w:val="center"/>
          </w:tcPr>
          <w:p w14:paraId="04324715"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2</w:t>
            </w:r>
            <w:r w:rsidRPr="00765274">
              <w:rPr>
                <w:rFonts w:ascii="Times New Roman" w:eastAsia="Whitney-Book" w:hAnsi="Times New Roman" w:cs="Times New Roman"/>
                <w:kern w:val="0"/>
                <w:szCs w:val="24"/>
              </w:rPr>
              <w:t>4.41</w:t>
            </w:r>
          </w:p>
        </w:tc>
        <w:tc>
          <w:tcPr>
            <w:tcW w:w="1134" w:type="dxa"/>
            <w:vAlign w:val="center"/>
          </w:tcPr>
          <w:p w14:paraId="17DDAB27"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7</w:t>
            </w:r>
            <w:r w:rsidRPr="00765274">
              <w:rPr>
                <w:rFonts w:ascii="Times New Roman" w:eastAsia="Whitney-Book" w:hAnsi="Times New Roman" w:cs="Times New Roman"/>
                <w:kern w:val="0"/>
                <w:szCs w:val="24"/>
              </w:rPr>
              <w:t>9.6</w:t>
            </w:r>
          </w:p>
        </w:tc>
        <w:tc>
          <w:tcPr>
            <w:tcW w:w="851" w:type="dxa"/>
            <w:vAlign w:val="center"/>
          </w:tcPr>
          <w:p w14:paraId="2DFBA553"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2</w:t>
            </w:r>
            <w:r w:rsidRPr="00765274">
              <w:rPr>
                <w:rFonts w:ascii="Times New Roman" w:eastAsia="Whitney-Book" w:hAnsi="Times New Roman" w:cs="Times New Roman"/>
                <w:kern w:val="0"/>
                <w:szCs w:val="24"/>
              </w:rPr>
              <w:t>2.2</w:t>
            </w:r>
          </w:p>
        </w:tc>
        <w:tc>
          <w:tcPr>
            <w:tcW w:w="1134" w:type="dxa"/>
            <w:vAlign w:val="center"/>
          </w:tcPr>
          <w:p w14:paraId="2A0236CC" w14:textId="433BF181" w:rsidR="00380151" w:rsidRPr="00DC3463" w:rsidRDefault="00380151" w:rsidP="00C30201">
            <w:pPr>
              <w:jc w:val="center"/>
              <w:rPr>
                <w:rFonts w:ascii="Times New Roman" w:hAnsi="Times New Roman" w:cs="Times New Roman"/>
                <w:szCs w:val="24"/>
              </w:rPr>
            </w:pPr>
            <w:r w:rsidRPr="00DC3463">
              <w:rPr>
                <w:szCs w:val="24"/>
              </w:rPr>
              <w:fldChar w:fldCharType="begin"/>
            </w:r>
            <w:r w:rsidR="006D2BEF">
              <w:rPr>
                <w:szCs w:val="24"/>
              </w:rPr>
              <w:instrText xml:space="preserve"> ADDIN EN.CITE &lt;EndNote&gt;&lt;Cite&gt;&lt;Author&gt;Yao&lt;/Author&gt;&lt;Year&gt;2020&lt;/Year&gt;&lt;RecNum&gt;286&lt;/RecNum&gt;&lt;DisplayText&gt;&lt;style face="superscript"&gt;17&lt;/style&gt;&lt;/DisplayText&gt;&lt;record&gt;&lt;rec-number&gt;286&lt;/rec-number&gt;&lt;foreign-keys&gt;&lt;key app="EN" db-id="90dwdfr94fapdvepa9hpwd9fpwr0t0zfrxt2" timestamp="1660877642"&gt;286&lt;/key&gt;&lt;/foreign-keys&gt;&lt;ref-type name="Journal Article"&gt;17&lt;/ref-type&gt;&lt;contributors&gt;&lt;authors&gt;&lt;author&gt;Yao, Qin&lt;/author&gt;&lt;author&gt;Xue, Qifan&lt;/author&gt;&lt;author&gt;Li, Zhenchao&lt;/author&gt;&lt;author&gt;Zhang, Kaicheng&lt;/author&gt;&lt;author&gt;Zhang, Teng&lt;/author&gt;&lt;author&gt;Li, Ning&lt;/author&gt;&lt;author&gt;Yang, Shihe&lt;/author&gt;&lt;author&gt;Brabec, Christoph J.&lt;/author&gt;&lt;author&gt;Yip, Hin-Lap&lt;/author&gt;&lt;author&gt;Cao, Yong&lt;/author&gt;&lt;/authors&gt;&lt;/contributors&gt;&lt;titles&gt;&lt;title&gt;Graded 2D/3D Perovskite Heterostructure for Efficient and Operationally Stable MA-Free Perovskite Solar Cells&lt;/title&gt;&lt;secondary-title&gt;Advanced Materials&lt;/secondary-title&gt;&lt;/titles&gt;&lt;periodical&gt;&lt;full-title&gt;Advanced Materials&lt;/full-title&gt;&lt;abbr-1&gt;Adv. Mater.&lt;/abbr-1&gt;&lt;/periodical&gt;&lt;pages&gt;2000571&lt;/pages&gt;&lt;volume&gt;32&lt;/volume&gt;&lt;number&gt;26&lt;/number&gt;&lt;keywords&gt;&lt;keyword&gt;2D/3D heterostructures&lt;/keyword&gt;&lt;keyword&gt;ambient stability&lt;/keyword&gt;&lt;keyword&gt;energy loss&lt;/keyword&gt;&lt;keyword&gt;high efficiency&lt;/keyword&gt;&lt;keyword&gt;MA-free perovskite solar cells&lt;/keyword&gt;&lt;/keywords&gt;&lt;dates&gt;&lt;year&gt;2020&lt;/year&gt;&lt;pub-dates&gt;&lt;date&gt;2020/07/01&lt;/date&gt;&lt;/pub-dates&gt;&lt;/dates&gt;&lt;publisher&gt;John Wiley &amp;amp; Sons, Ltd&lt;/publisher&gt;&lt;isbn&gt;0935-9648&lt;/isbn&gt;&lt;work-type&gt;https://doi.org/10.1002/adma.202000571&lt;/work-type&gt;&lt;urls&gt;&lt;related-urls&gt;&lt;url&gt;https://doi.org/10.1002/adma.202000571&lt;/url&gt;&lt;/related-urls&gt;&lt;/urls&gt;&lt;electronic-resource-num&gt;https://doi.org/10.1002/adma.202000571&lt;/electronic-resource-num&gt;&lt;access-date&gt;2022/08/18&lt;/access-date&gt;&lt;/record&gt;&lt;/Cite&gt;&lt;/EndNote&gt;</w:instrText>
            </w:r>
            <w:r w:rsidRPr="00DC3463">
              <w:rPr>
                <w:szCs w:val="24"/>
              </w:rPr>
              <w:fldChar w:fldCharType="separate"/>
            </w:r>
            <w:r w:rsidR="006D2BEF" w:rsidRPr="006D2BEF">
              <w:rPr>
                <w:noProof/>
                <w:szCs w:val="24"/>
                <w:vertAlign w:val="superscript"/>
              </w:rPr>
              <w:t>17</w:t>
            </w:r>
            <w:r w:rsidRPr="00DC3463">
              <w:rPr>
                <w:szCs w:val="24"/>
              </w:rPr>
              <w:fldChar w:fldCharType="end"/>
            </w:r>
          </w:p>
        </w:tc>
      </w:tr>
      <w:tr w:rsidR="00380151" w:rsidRPr="00765274" w14:paraId="01913815" w14:textId="77777777" w:rsidTr="00C30201">
        <w:trPr>
          <w:cantSplit/>
          <w:jc w:val="center"/>
        </w:trPr>
        <w:tc>
          <w:tcPr>
            <w:tcW w:w="846" w:type="dxa"/>
            <w:vAlign w:val="center"/>
          </w:tcPr>
          <w:p w14:paraId="513D3A6D"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szCs w:val="24"/>
              </w:rPr>
              <w:t>2021</w:t>
            </w:r>
          </w:p>
        </w:tc>
        <w:tc>
          <w:tcPr>
            <w:tcW w:w="3270" w:type="dxa"/>
            <w:vAlign w:val="center"/>
          </w:tcPr>
          <w:p w14:paraId="34F74735"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FAPbI</w:t>
            </w:r>
            <w:r w:rsidRPr="00765274">
              <w:rPr>
                <w:rFonts w:ascii="Times New Roman" w:eastAsia="Whitney-Book" w:hAnsi="Times New Roman" w:cs="Times New Roman"/>
                <w:kern w:val="0"/>
                <w:szCs w:val="24"/>
                <w:vertAlign w:val="subscript"/>
              </w:rPr>
              <w:t>3</w:t>
            </w:r>
          </w:p>
        </w:tc>
        <w:tc>
          <w:tcPr>
            <w:tcW w:w="1134" w:type="dxa"/>
            <w:vAlign w:val="center"/>
          </w:tcPr>
          <w:p w14:paraId="0D738D68"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1.141</w:t>
            </w:r>
          </w:p>
        </w:tc>
        <w:tc>
          <w:tcPr>
            <w:tcW w:w="1417" w:type="dxa"/>
            <w:vAlign w:val="center"/>
          </w:tcPr>
          <w:p w14:paraId="25047765"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24.83</w:t>
            </w:r>
          </w:p>
        </w:tc>
        <w:tc>
          <w:tcPr>
            <w:tcW w:w="1134" w:type="dxa"/>
            <w:vAlign w:val="center"/>
          </w:tcPr>
          <w:p w14:paraId="37652267"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84.25</w:t>
            </w:r>
          </w:p>
        </w:tc>
        <w:tc>
          <w:tcPr>
            <w:tcW w:w="851" w:type="dxa"/>
            <w:vAlign w:val="center"/>
          </w:tcPr>
          <w:p w14:paraId="3DE5928C"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23.91</w:t>
            </w:r>
          </w:p>
        </w:tc>
        <w:tc>
          <w:tcPr>
            <w:tcW w:w="1134" w:type="dxa"/>
            <w:vAlign w:val="center"/>
          </w:tcPr>
          <w:p w14:paraId="2B33E97D" w14:textId="7BBDEB78" w:rsidR="00380151" w:rsidRPr="00DC3463" w:rsidRDefault="00380151" w:rsidP="00C30201">
            <w:pPr>
              <w:jc w:val="center"/>
              <w:rPr>
                <w:rFonts w:ascii="Times New Roman" w:hAnsi="Times New Roman" w:cs="Times New Roman"/>
                <w:szCs w:val="24"/>
              </w:rPr>
            </w:pPr>
            <w:r w:rsidRPr="00DC3463">
              <w:rPr>
                <w:szCs w:val="24"/>
              </w:rPr>
              <w:fldChar w:fldCharType="begin"/>
            </w:r>
            <w:r w:rsidR="006D2BEF">
              <w:rPr>
                <w:szCs w:val="24"/>
              </w:rPr>
              <w:instrText xml:space="preserve"> ADDIN EN.CITE &lt;EndNote&gt;&lt;Cite&gt;&lt;Author&gt;Jeong&lt;/Author&gt;&lt;Year&gt;2021&lt;/Year&gt;&lt;RecNum&gt;246&lt;/RecNum&gt;&lt;DisplayText&gt;&lt;style face="superscript"&gt;12&lt;/style&gt;&lt;/DisplayText&gt;&lt;record&gt;&lt;rec-number&gt;246&lt;/rec-number&gt;&lt;foreign-keys&gt;&lt;key app="EN" db-id="90dwdfr94fapdvepa9hpwd9fpwr0t0zfrxt2" timestamp="1639360622"&gt;246&lt;/key&gt;&lt;/foreign-keys&gt;&lt;ref-type name="Journal Article"&gt;17&lt;/ref-type&gt;&lt;contributors&gt;&lt;authors&gt;&lt;author&gt;Jeong, Seonghwa&lt;/author&gt;&lt;author&gt;Seo, Seongrok&lt;/author&gt;&lt;author&gt;Yang, Hyunwoo&lt;/author&gt;&lt;author&gt;Park, Hyoungmin&lt;/author&gt;&lt;author&gt;Shin, Sooeun&lt;/author&gt;&lt;author&gt;Ahn, Hyungju&lt;/author&gt;&lt;author&gt;Lee, Donghwa&lt;/author&gt;&lt;author&gt;Park, Jong Hyeok&lt;/author&gt;&lt;author&gt;Park, Nam-Gyu&lt;/author&gt;&lt;author&gt;Shin, Hyunjung&lt;/author&gt;&lt;/authors&gt;&lt;/contributors&gt;&lt;titles&gt;&lt;title&gt;Cyclohexylammonium-Based 2D/3D Perovskite Heterojunction with Funnel-Like Energy Band Alignment for Efficient Solar Cells (23.91%)&lt;/title&gt;&lt;secondary-title&gt;Advanced Energy Materials&lt;/secondary-title&gt;&lt;/titles&gt;&lt;periodical&gt;&lt;full-title&gt;Advanced Energy Materials&lt;/full-title&gt;&lt;abbr-1&gt;Adv. Energy Mater.&lt;/abbr-1&gt;&lt;/periodical&gt;&lt;pages&gt;2102236&lt;/pages&gt;&lt;volume&gt;11&lt;/volume&gt;&lt;number&gt;42&lt;/number&gt;&lt;keywords&gt;&lt;keyword&gt;cyclohexylammonium iodide&lt;/keyword&gt;&lt;keyword&gt;cyclohexylmethylammonium iodide&lt;/keyword&gt;&lt;keyword&gt;high efficiency&lt;/keyword&gt;&lt;keyword&gt;perovskite solar cells&lt;/keyword&gt;&lt;/keywords&gt;&lt;dates&gt;&lt;year&gt;2021&lt;/year&gt;&lt;pub-dates&gt;&lt;date&gt;2021/11/01&lt;/date&gt;&lt;/pub-dates&gt;&lt;/dates&gt;&lt;publisher&gt;John Wiley &amp;amp; Sons, Ltd&lt;/publisher&gt;&lt;isbn&gt;1614-6832&lt;/isbn&gt;&lt;work-type&gt;https://doi.org/10.1002/aenm.202102236&lt;/work-type&gt;&lt;urls&gt;&lt;related-urls&gt;&lt;url&gt;https://doi.org/10.1002/aenm.202102236&lt;/url&gt;&lt;/related-urls&gt;&lt;/urls&gt;&lt;electronic-resource-num&gt;https://doi.org/10.1002/aenm.202102236&lt;/electronic-resource-num&gt;&lt;access-date&gt;2021/12/12&lt;/access-date&gt;&lt;/record&gt;&lt;/Cite&gt;&lt;/EndNote&gt;</w:instrText>
            </w:r>
            <w:r w:rsidRPr="00DC3463">
              <w:rPr>
                <w:szCs w:val="24"/>
              </w:rPr>
              <w:fldChar w:fldCharType="separate"/>
            </w:r>
            <w:r w:rsidR="006D2BEF" w:rsidRPr="006D2BEF">
              <w:rPr>
                <w:noProof/>
                <w:szCs w:val="24"/>
                <w:vertAlign w:val="superscript"/>
              </w:rPr>
              <w:t>12</w:t>
            </w:r>
            <w:r w:rsidRPr="00DC3463">
              <w:rPr>
                <w:szCs w:val="24"/>
              </w:rPr>
              <w:fldChar w:fldCharType="end"/>
            </w:r>
          </w:p>
        </w:tc>
      </w:tr>
      <w:tr w:rsidR="00380151" w:rsidRPr="00765274" w14:paraId="63D9548A" w14:textId="77777777" w:rsidTr="00C30201">
        <w:trPr>
          <w:cantSplit/>
          <w:jc w:val="center"/>
        </w:trPr>
        <w:tc>
          <w:tcPr>
            <w:tcW w:w="846" w:type="dxa"/>
            <w:vAlign w:val="center"/>
          </w:tcPr>
          <w:p w14:paraId="3B211EAC"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hint="eastAsia"/>
                <w:szCs w:val="24"/>
              </w:rPr>
              <w:t>2</w:t>
            </w:r>
            <w:r w:rsidRPr="00765274">
              <w:rPr>
                <w:rFonts w:ascii="Times New Roman" w:hAnsi="Times New Roman" w:cs="Times New Roman"/>
                <w:szCs w:val="24"/>
              </w:rPr>
              <w:t>022</w:t>
            </w:r>
          </w:p>
        </w:tc>
        <w:tc>
          <w:tcPr>
            <w:tcW w:w="3270" w:type="dxa"/>
            <w:vAlign w:val="center"/>
          </w:tcPr>
          <w:p w14:paraId="00A28A4D" w14:textId="77777777" w:rsidR="00380151" w:rsidRPr="00765274" w:rsidRDefault="00380151" w:rsidP="00C30201">
            <w:pPr>
              <w:jc w:val="center"/>
              <w:rPr>
                <w:rFonts w:ascii="Times New Roman" w:eastAsia="Whitney-Book" w:hAnsi="Times New Roman" w:cs="Times New Roman"/>
                <w:kern w:val="0"/>
                <w:szCs w:val="24"/>
              </w:rPr>
            </w:pPr>
            <w:r w:rsidRPr="00DC3463">
              <w:rPr>
                <w:rFonts w:ascii="Times New Roman" w:eastAsia="Whitney-Book" w:hAnsi="Times New Roman" w:cs="Times New Roman"/>
                <w:kern w:val="0"/>
                <w:szCs w:val="24"/>
              </w:rPr>
              <w:t>FAPbI</w:t>
            </w:r>
            <w:r w:rsidRPr="00DC3463">
              <w:rPr>
                <w:rFonts w:ascii="Times New Roman" w:eastAsia="Whitney-Book" w:hAnsi="Times New Roman" w:cs="Times New Roman"/>
                <w:kern w:val="0"/>
                <w:szCs w:val="24"/>
                <w:vertAlign w:val="subscript"/>
              </w:rPr>
              <w:t>3</w:t>
            </w:r>
          </w:p>
        </w:tc>
        <w:tc>
          <w:tcPr>
            <w:tcW w:w="1134" w:type="dxa"/>
            <w:vAlign w:val="center"/>
          </w:tcPr>
          <w:p w14:paraId="76A0546E"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1</w:t>
            </w:r>
            <w:r w:rsidRPr="00765274">
              <w:rPr>
                <w:rFonts w:ascii="Times New Roman" w:eastAsia="Whitney-Book" w:hAnsi="Times New Roman" w:cs="Times New Roman"/>
                <w:kern w:val="0"/>
                <w:szCs w:val="24"/>
              </w:rPr>
              <w:t>.17</w:t>
            </w:r>
          </w:p>
        </w:tc>
        <w:tc>
          <w:tcPr>
            <w:tcW w:w="1417" w:type="dxa"/>
            <w:vAlign w:val="center"/>
          </w:tcPr>
          <w:p w14:paraId="7FD40375"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2</w:t>
            </w:r>
            <w:r w:rsidRPr="00765274">
              <w:rPr>
                <w:rFonts w:ascii="Times New Roman" w:eastAsia="Whitney-Book" w:hAnsi="Times New Roman" w:cs="Times New Roman"/>
                <w:kern w:val="0"/>
                <w:szCs w:val="24"/>
              </w:rPr>
              <w:t>5.16</w:t>
            </w:r>
          </w:p>
        </w:tc>
        <w:tc>
          <w:tcPr>
            <w:tcW w:w="1134" w:type="dxa"/>
            <w:vAlign w:val="center"/>
          </w:tcPr>
          <w:p w14:paraId="0395A2DB"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8</w:t>
            </w:r>
            <w:r w:rsidRPr="00765274">
              <w:rPr>
                <w:rFonts w:ascii="Times New Roman" w:eastAsia="Whitney-Book" w:hAnsi="Times New Roman" w:cs="Times New Roman"/>
                <w:kern w:val="0"/>
                <w:szCs w:val="24"/>
              </w:rPr>
              <w:t>3.52</w:t>
            </w:r>
          </w:p>
        </w:tc>
        <w:tc>
          <w:tcPr>
            <w:tcW w:w="851" w:type="dxa"/>
            <w:vAlign w:val="center"/>
          </w:tcPr>
          <w:p w14:paraId="1E956F12"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hint="eastAsia"/>
                <w:kern w:val="0"/>
                <w:szCs w:val="24"/>
              </w:rPr>
              <w:t>2</w:t>
            </w:r>
            <w:r w:rsidRPr="00765274">
              <w:rPr>
                <w:rFonts w:ascii="Times New Roman" w:eastAsia="Whitney-Book" w:hAnsi="Times New Roman" w:cs="Times New Roman"/>
                <w:kern w:val="0"/>
                <w:szCs w:val="24"/>
              </w:rPr>
              <w:t>4.48</w:t>
            </w:r>
          </w:p>
        </w:tc>
        <w:tc>
          <w:tcPr>
            <w:tcW w:w="1134" w:type="dxa"/>
            <w:vAlign w:val="center"/>
          </w:tcPr>
          <w:p w14:paraId="65D2D243" w14:textId="0C1FF101" w:rsidR="00380151" w:rsidRPr="00DC3463" w:rsidRDefault="00380151" w:rsidP="00C30201">
            <w:pPr>
              <w:jc w:val="center"/>
              <w:rPr>
                <w:rFonts w:ascii="Times New Roman" w:hAnsi="Times New Roman" w:cs="Times New Roman"/>
                <w:szCs w:val="24"/>
              </w:rPr>
            </w:pPr>
            <w:r w:rsidRPr="00DC3463">
              <w:rPr>
                <w:szCs w:val="24"/>
              </w:rPr>
              <w:fldChar w:fldCharType="begin"/>
            </w:r>
            <w:r w:rsidR="006D2BEF">
              <w:rPr>
                <w:szCs w:val="24"/>
              </w:rPr>
              <w:instrText xml:space="preserve"> ADDIN EN.CITE &lt;EndNote&gt;&lt;Cite&gt;&lt;Author&gt;Zhao&lt;/Author&gt;&lt;Year&gt;2022&lt;/Year&gt;&lt;RecNum&gt;283&lt;/RecNum&gt;&lt;DisplayText&gt;&lt;style face="superscript"&gt;18&lt;/style&gt;&lt;/DisplayText&gt;&lt;record&gt;&lt;rec-number&gt;283&lt;/rec-number&gt;&lt;foreign-keys&gt;&lt;key app="EN" db-id="90dwdfr94fapdvepa9hpwd9fpwr0t0zfrxt2" timestamp="1660876325"&gt;283&lt;/key&gt;&lt;/foreign-keys&gt;&lt;ref-type name="Journal Article"&gt;17&lt;/ref-type&gt;&lt;contributors&gt;&lt;authors&gt;&lt;author&gt;Zhao, Dan&lt;/author&gt;&lt;author&gt;Gao, Danpeng&lt;/author&gt;&lt;author&gt;Wu, Xin&lt;/author&gt;&lt;author&gt;Li, Bo&lt;/author&gt;&lt;author&gt;Zhang, Shoufeng&lt;/author&gt;&lt;author&gt;Li, Zhen&lt;/author&gt;&lt;author&gt;Wang, Qi&lt;/author&gt;&lt;author&gt;Wu, Zongxiao&lt;/author&gt;&lt;author&gt;Zhang, Chunlei&lt;/author&gt;&lt;author&gt;Choy, Wallace&lt;/author&gt;&lt;author&gt;Zhong, Xiaoyan&lt;/author&gt;&lt;author&gt;He, Qiyuan&lt;/author&gt;&lt;author&gt;Zhu, Zonglong&lt;/author&gt;&lt;/authors&gt;&lt;/contributors&gt;&lt;titles&gt;&lt;title&gt;Efficient and Stable 3D/2D Perovskite Solar Cells through Vertical Heterostructures with (BA)4AgBiBr8 Nanosheets&lt;/title&gt;&lt;secondary-title&gt;Advanced Materials&lt;/secondary-title&gt;&lt;/titles&gt;&lt;periodical&gt;&lt;full-title&gt;Advanced Materials&lt;/full-title&gt;&lt;abbr-1&gt;Adv. Mater.&lt;/abbr-1&gt;&lt;/periodical&gt;&lt;pages&gt;2204661&lt;/pages&gt;&lt;volume&gt;n/a&lt;/volume&gt;&lt;number&gt;n/a&lt;/number&gt;&lt;keywords&gt;&lt;keyword&gt;2D nanosheet&lt;/keyword&gt;&lt;keyword&gt;energy loss&lt;/keyword&gt;&lt;keyword&gt;ion diffusion coefficient&lt;/keyword&gt;&lt;keyword&gt;perovskite solar cell&lt;/keyword&gt;&lt;keyword&gt;vertical heterostructure&lt;/keyword&gt;&lt;/keywords&gt;&lt;dates&gt;&lt;year&gt;2022&lt;/year&gt;&lt;pub-dates&gt;&lt;date&gt;2022/08/11&lt;/date&gt;&lt;/pub-dates&gt;&lt;/dates&gt;&lt;publisher&gt;John Wiley &amp;amp; Sons, Ltd&lt;/publisher&gt;&lt;isbn&gt;0935-9648&lt;/isbn&gt;&lt;work-type&gt;https://doi.org/10.1002/adma.202204661&lt;/work-type&gt;&lt;urls&gt;&lt;related-urls&gt;&lt;url&gt;https://doi.org/10.1002/adma.202204661&lt;/url&gt;&lt;/related-urls&gt;&lt;/urls&gt;&lt;electronic-resource-num&gt;https://doi.org/10.1002/adma.202204661&lt;/electronic-resource-num&gt;&lt;access-date&gt;2022/08/18&lt;/access-date&gt;&lt;/record&gt;&lt;/Cite&gt;&lt;/EndNote&gt;</w:instrText>
            </w:r>
            <w:r w:rsidRPr="00DC3463">
              <w:rPr>
                <w:szCs w:val="24"/>
              </w:rPr>
              <w:fldChar w:fldCharType="separate"/>
            </w:r>
            <w:r w:rsidR="006D2BEF" w:rsidRPr="006D2BEF">
              <w:rPr>
                <w:noProof/>
                <w:szCs w:val="24"/>
                <w:vertAlign w:val="superscript"/>
              </w:rPr>
              <w:t>18</w:t>
            </w:r>
            <w:r w:rsidRPr="00DC3463">
              <w:rPr>
                <w:szCs w:val="24"/>
              </w:rPr>
              <w:fldChar w:fldCharType="end"/>
            </w:r>
          </w:p>
        </w:tc>
      </w:tr>
      <w:tr w:rsidR="00380151" w:rsidRPr="00765274" w14:paraId="2EEE0BA0" w14:textId="77777777" w:rsidTr="00C30201">
        <w:trPr>
          <w:cantSplit/>
          <w:jc w:val="center"/>
        </w:trPr>
        <w:tc>
          <w:tcPr>
            <w:tcW w:w="846" w:type="dxa"/>
            <w:vAlign w:val="center"/>
          </w:tcPr>
          <w:p w14:paraId="238D2A2C" w14:textId="77777777" w:rsidR="00380151" w:rsidRPr="00765274" w:rsidRDefault="00380151" w:rsidP="00C30201">
            <w:pPr>
              <w:jc w:val="center"/>
              <w:rPr>
                <w:rFonts w:ascii="Times New Roman" w:hAnsi="Times New Roman" w:cs="Times New Roman"/>
                <w:szCs w:val="24"/>
              </w:rPr>
            </w:pPr>
            <w:r w:rsidRPr="00765274">
              <w:rPr>
                <w:rFonts w:ascii="Times New Roman" w:eastAsia="Whitney-Book" w:hAnsi="Times New Roman" w:cs="Times New Roman"/>
                <w:kern w:val="0"/>
                <w:szCs w:val="24"/>
              </w:rPr>
              <w:t>2022</w:t>
            </w:r>
          </w:p>
        </w:tc>
        <w:tc>
          <w:tcPr>
            <w:tcW w:w="3270" w:type="dxa"/>
            <w:vAlign w:val="center"/>
          </w:tcPr>
          <w:p w14:paraId="79978D02"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Cs</w:t>
            </w:r>
            <w:r w:rsidRPr="00765274">
              <w:rPr>
                <w:rFonts w:ascii="Times New Roman" w:eastAsia="Whitney-Book" w:hAnsi="Times New Roman" w:cs="Times New Roman"/>
                <w:kern w:val="0"/>
                <w:szCs w:val="24"/>
                <w:vertAlign w:val="subscript"/>
              </w:rPr>
              <w:t>0.05</w:t>
            </w:r>
            <w:r w:rsidRPr="00765274">
              <w:rPr>
                <w:rFonts w:ascii="Times New Roman" w:eastAsia="Whitney-Book" w:hAnsi="Times New Roman" w:cs="Times New Roman"/>
                <w:kern w:val="0"/>
                <w:szCs w:val="24"/>
              </w:rPr>
              <w:t>FA</w:t>
            </w:r>
            <w:r w:rsidRPr="00765274">
              <w:rPr>
                <w:rFonts w:ascii="Times New Roman" w:eastAsia="Whitney-Book" w:hAnsi="Times New Roman" w:cs="Times New Roman"/>
                <w:kern w:val="0"/>
                <w:szCs w:val="24"/>
                <w:vertAlign w:val="subscript"/>
              </w:rPr>
              <w:t>0.9</w:t>
            </w:r>
            <w:r w:rsidRPr="00765274">
              <w:rPr>
                <w:rFonts w:ascii="Times New Roman" w:eastAsia="Whitney-Book" w:hAnsi="Times New Roman" w:cs="Times New Roman"/>
                <w:kern w:val="0"/>
                <w:szCs w:val="24"/>
              </w:rPr>
              <w:t>MA</w:t>
            </w:r>
            <w:r w:rsidRPr="00765274">
              <w:rPr>
                <w:rFonts w:ascii="Times New Roman" w:eastAsia="Whitney-Book" w:hAnsi="Times New Roman" w:cs="Times New Roman"/>
                <w:kern w:val="0"/>
                <w:szCs w:val="24"/>
                <w:vertAlign w:val="subscript"/>
              </w:rPr>
              <w:t>0.05</w:t>
            </w:r>
            <w:r w:rsidRPr="00765274">
              <w:rPr>
                <w:rFonts w:ascii="Times New Roman" w:eastAsia="Whitney-Book" w:hAnsi="Times New Roman" w:cs="Times New Roman"/>
                <w:kern w:val="0"/>
                <w:szCs w:val="24"/>
              </w:rPr>
              <w:t>PbI</w:t>
            </w:r>
            <w:r w:rsidRPr="00765274">
              <w:rPr>
                <w:rFonts w:ascii="Times New Roman" w:eastAsia="Whitney-Book" w:hAnsi="Times New Roman" w:cs="Times New Roman"/>
                <w:kern w:val="0"/>
                <w:szCs w:val="24"/>
                <w:vertAlign w:val="subscript"/>
              </w:rPr>
              <w:t>3</w:t>
            </w:r>
          </w:p>
        </w:tc>
        <w:tc>
          <w:tcPr>
            <w:tcW w:w="1134" w:type="dxa"/>
            <w:vAlign w:val="center"/>
          </w:tcPr>
          <w:p w14:paraId="46097A51"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1.159</w:t>
            </w:r>
          </w:p>
        </w:tc>
        <w:tc>
          <w:tcPr>
            <w:tcW w:w="1417" w:type="dxa"/>
            <w:vAlign w:val="center"/>
          </w:tcPr>
          <w:p w14:paraId="74A6412D"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25.86</w:t>
            </w:r>
          </w:p>
        </w:tc>
        <w:tc>
          <w:tcPr>
            <w:tcW w:w="1134" w:type="dxa"/>
            <w:vAlign w:val="center"/>
          </w:tcPr>
          <w:p w14:paraId="291F4DB1"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83.9</w:t>
            </w:r>
          </w:p>
        </w:tc>
        <w:tc>
          <w:tcPr>
            <w:tcW w:w="851" w:type="dxa"/>
            <w:vAlign w:val="center"/>
          </w:tcPr>
          <w:p w14:paraId="30F439F9" w14:textId="77777777" w:rsidR="00380151" w:rsidRPr="00765274" w:rsidRDefault="00380151" w:rsidP="00C30201">
            <w:pPr>
              <w:jc w:val="center"/>
              <w:rPr>
                <w:rFonts w:ascii="Times New Roman" w:eastAsia="Whitney-Book" w:hAnsi="Times New Roman" w:cs="Times New Roman"/>
                <w:kern w:val="0"/>
                <w:szCs w:val="24"/>
              </w:rPr>
            </w:pPr>
            <w:r w:rsidRPr="00765274">
              <w:rPr>
                <w:rFonts w:ascii="Times New Roman" w:eastAsia="Whitney-Book" w:hAnsi="Times New Roman" w:cs="Times New Roman"/>
                <w:kern w:val="0"/>
                <w:szCs w:val="24"/>
              </w:rPr>
              <w:t>25.18</w:t>
            </w:r>
          </w:p>
        </w:tc>
        <w:tc>
          <w:tcPr>
            <w:tcW w:w="1134" w:type="dxa"/>
            <w:vAlign w:val="center"/>
          </w:tcPr>
          <w:p w14:paraId="2460C18D" w14:textId="77777777" w:rsidR="00380151" w:rsidRPr="00765274" w:rsidRDefault="00380151" w:rsidP="00C30201">
            <w:pPr>
              <w:jc w:val="center"/>
              <w:rPr>
                <w:rFonts w:ascii="Times New Roman" w:hAnsi="Times New Roman" w:cs="Times New Roman"/>
                <w:szCs w:val="24"/>
              </w:rPr>
            </w:pPr>
            <w:r w:rsidRPr="00765274">
              <w:rPr>
                <w:rFonts w:ascii="Times New Roman" w:hAnsi="Times New Roman" w:cs="Times New Roman"/>
                <w:szCs w:val="24"/>
              </w:rPr>
              <w:t>This work</w:t>
            </w:r>
          </w:p>
        </w:tc>
      </w:tr>
    </w:tbl>
    <w:p w14:paraId="0CA2EE1E" w14:textId="25F6A6A3" w:rsidR="000E684C" w:rsidRDefault="000E684C" w:rsidP="00380151">
      <w:pPr>
        <w:rPr>
          <w:szCs w:val="24"/>
        </w:rPr>
      </w:pPr>
    </w:p>
    <w:p w14:paraId="026381A7" w14:textId="77777777" w:rsidR="000E684C" w:rsidRDefault="000E684C">
      <w:pPr>
        <w:rPr>
          <w:szCs w:val="24"/>
        </w:rPr>
      </w:pPr>
      <w:r>
        <w:rPr>
          <w:szCs w:val="24"/>
        </w:rPr>
        <w:br w:type="page"/>
      </w:r>
    </w:p>
    <w:p w14:paraId="44246B29" w14:textId="279FEF37" w:rsidR="00D47A83" w:rsidRDefault="000E684C" w:rsidP="000E684C">
      <w:pPr>
        <w:pStyle w:val="SMHeading"/>
      </w:pPr>
      <w:r>
        <w:lastRenderedPageBreak/>
        <w:t>References</w:t>
      </w:r>
    </w:p>
    <w:p w14:paraId="4917C99E" w14:textId="77777777" w:rsidR="006D2BEF" w:rsidRPr="00DF2D23" w:rsidRDefault="00D47A83" w:rsidP="006D2BEF">
      <w:pPr>
        <w:pStyle w:val="EndNoteBibliography"/>
        <w:ind w:left="720" w:hanging="720"/>
        <w:rPr>
          <w:lang w:val="fr-CH"/>
        </w:rPr>
      </w:pPr>
      <w:r>
        <w:rPr>
          <w:szCs w:val="24"/>
        </w:rPr>
        <w:fldChar w:fldCharType="begin"/>
      </w:r>
      <w:r>
        <w:rPr>
          <w:szCs w:val="24"/>
        </w:rPr>
        <w:instrText xml:space="preserve"> ADDIN EN.REFLIST </w:instrText>
      </w:r>
      <w:r>
        <w:rPr>
          <w:szCs w:val="24"/>
        </w:rPr>
        <w:fldChar w:fldCharType="separate"/>
      </w:r>
      <w:r w:rsidR="006D2BEF" w:rsidRPr="006D2BEF">
        <w:t>1</w:t>
      </w:r>
      <w:r w:rsidR="006D2BEF" w:rsidRPr="006D2BEF">
        <w:tab/>
        <w:t>Ding, B.</w:t>
      </w:r>
      <w:r w:rsidR="006D2BEF" w:rsidRPr="006D2BEF">
        <w:rPr>
          <w:i/>
        </w:rPr>
        <w:t xml:space="preserve"> et al.</w:t>
      </w:r>
      <w:r w:rsidR="006D2BEF" w:rsidRPr="006D2BEF">
        <w:t xml:space="preserve"> Low-temperature SnO</w:t>
      </w:r>
      <w:r w:rsidR="006D2BEF" w:rsidRPr="00882B2B">
        <w:rPr>
          <w:vertAlign w:val="subscript"/>
        </w:rPr>
        <w:t>2</w:t>
      </w:r>
      <w:r w:rsidR="006D2BEF" w:rsidRPr="006D2BEF">
        <w:t>-modified TiO</w:t>
      </w:r>
      <w:r w:rsidR="006D2BEF" w:rsidRPr="00882B2B">
        <w:rPr>
          <w:vertAlign w:val="subscript"/>
        </w:rPr>
        <w:t>2</w:t>
      </w:r>
      <w:r w:rsidR="006D2BEF" w:rsidRPr="006D2BEF">
        <w:t xml:space="preserve"> yields record efficiency for normal planar perovskite solar modules. </w:t>
      </w:r>
      <w:r w:rsidR="006D2BEF" w:rsidRPr="00DF2D23">
        <w:rPr>
          <w:i/>
          <w:lang w:val="fr-CH"/>
        </w:rPr>
        <w:t>J. Mater. Chem. A</w:t>
      </w:r>
      <w:r w:rsidR="006D2BEF" w:rsidRPr="00DF2D23">
        <w:rPr>
          <w:lang w:val="fr-CH"/>
        </w:rPr>
        <w:t xml:space="preserve"> </w:t>
      </w:r>
      <w:r w:rsidR="006D2BEF" w:rsidRPr="00DF2D23">
        <w:rPr>
          <w:b/>
          <w:lang w:val="fr-CH"/>
        </w:rPr>
        <w:t>6</w:t>
      </w:r>
      <w:r w:rsidR="006D2BEF" w:rsidRPr="00DF2D23">
        <w:rPr>
          <w:lang w:val="fr-CH"/>
        </w:rPr>
        <w:t>, 10233-10242, doi:10.1039/C8TA01192C (2018).</w:t>
      </w:r>
    </w:p>
    <w:p w14:paraId="68307B11" w14:textId="77777777" w:rsidR="006D2BEF" w:rsidRPr="006D2BEF" w:rsidRDefault="006D2BEF" w:rsidP="006D2BEF">
      <w:pPr>
        <w:pStyle w:val="EndNoteBibliography"/>
        <w:ind w:left="720" w:hanging="720"/>
      </w:pPr>
      <w:r w:rsidRPr="00DF2D23">
        <w:rPr>
          <w:lang w:val="fr-CH"/>
        </w:rPr>
        <w:t>2</w:t>
      </w:r>
      <w:r w:rsidRPr="00DF2D23">
        <w:rPr>
          <w:lang w:val="fr-CH"/>
        </w:rPr>
        <w:tab/>
        <w:t>Gao, L.-L.</w:t>
      </w:r>
      <w:r w:rsidRPr="00DF2D23">
        <w:rPr>
          <w:i/>
          <w:lang w:val="fr-CH"/>
        </w:rPr>
        <w:t xml:space="preserve"> et al.</w:t>
      </w:r>
      <w:r w:rsidRPr="00DF2D23">
        <w:rPr>
          <w:lang w:val="fr-CH"/>
        </w:rPr>
        <w:t xml:space="preserve"> </w:t>
      </w:r>
      <w:r w:rsidRPr="006D2BEF">
        <w:t xml:space="preserve">Preparation of flexible perovskite solar cells by a gas pump drying method on a plastic substrate. </w:t>
      </w:r>
      <w:r w:rsidRPr="006D2BEF">
        <w:rPr>
          <w:i/>
        </w:rPr>
        <w:t>J. Mater. Chem. A</w:t>
      </w:r>
      <w:r w:rsidRPr="006D2BEF">
        <w:t xml:space="preserve"> </w:t>
      </w:r>
      <w:r w:rsidRPr="006D2BEF">
        <w:rPr>
          <w:b/>
        </w:rPr>
        <w:t>4</w:t>
      </w:r>
      <w:r w:rsidRPr="006D2BEF">
        <w:t>, 3704-3710, doi:10.1039/C6TA00230G (2016).</w:t>
      </w:r>
    </w:p>
    <w:p w14:paraId="46C3D274" w14:textId="0E53E7CA" w:rsidR="006D2BEF" w:rsidRPr="006D2BEF" w:rsidRDefault="006D2BEF" w:rsidP="006D2BEF">
      <w:pPr>
        <w:pStyle w:val="EndNoteBibliography"/>
        <w:ind w:left="720" w:hanging="720"/>
      </w:pPr>
      <w:r w:rsidRPr="006D2BEF">
        <w:t>3</w:t>
      </w:r>
      <w:r w:rsidRPr="006D2BEF">
        <w:tab/>
        <w:t xml:space="preserve">Kresse, G. &amp; Furthmüller, J. Efficiency of ab-initio total energy calculations for metals and semiconductors using a plane-wave basis set. </w:t>
      </w:r>
      <w:r w:rsidRPr="006D2BEF">
        <w:rPr>
          <w:i/>
        </w:rPr>
        <w:t>Comput. Mater. Sci</w:t>
      </w:r>
      <w:r w:rsidR="00E0586E">
        <w:rPr>
          <w:i/>
        </w:rPr>
        <w:t>.</w:t>
      </w:r>
      <w:r w:rsidRPr="006D2BEF">
        <w:t xml:space="preserve"> </w:t>
      </w:r>
      <w:r w:rsidRPr="006D2BEF">
        <w:rPr>
          <w:b/>
        </w:rPr>
        <w:t>6</w:t>
      </w:r>
      <w:r w:rsidRPr="006D2BEF">
        <w:t>, 15-50, doi:</w:t>
      </w:r>
      <w:hyperlink r:id="rId35" w:history="1">
        <w:r w:rsidRPr="006D2BEF">
          <w:rPr>
            <w:rStyle w:val="Hyperlink"/>
          </w:rPr>
          <w:t>https://doi.org/10.1016/0927-0256(96)00008-0</w:t>
        </w:r>
      </w:hyperlink>
      <w:r w:rsidRPr="006D2BEF">
        <w:t xml:space="preserve"> (1996).</w:t>
      </w:r>
    </w:p>
    <w:p w14:paraId="03E40819" w14:textId="2397A59C" w:rsidR="006D2BEF" w:rsidRPr="006D2BEF" w:rsidRDefault="006D2BEF" w:rsidP="006D2BEF">
      <w:pPr>
        <w:pStyle w:val="EndNoteBibliography"/>
        <w:ind w:left="720" w:hanging="720"/>
      </w:pPr>
      <w:r w:rsidRPr="006D2BEF">
        <w:t>4</w:t>
      </w:r>
      <w:r w:rsidRPr="006D2BEF">
        <w:tab/>
        <w:t xml:space="preserve">Binek, A., Hanusch, F. C., Docampo, P. &amp; Bein, T. Stabilization of the Trigonal High-Temperature Phase of Formamidinium Lead Iodide. </w:t>
      </w:r>
      <w:r w:rsidRPr="006D2BEF">
        <w:rPr>
          <w:i/>
        </w:rPr>
        <w:t>J</w:t>
      </w:r>
      <w:r w:rsidR="00E0586E">
        <w:rPr>
          <w:i/>
        </w:rPr>
        <w:t>.</w:t>
      </w:r>
      <w:r w:rsidRPr="006D2BEF">
        <w:rPr>
          <w:i/>
        </w:rPr>
        <w:t xml:space="preserve"> Phys</w:t>
      </w:r>
      <w:r w:rsidR="00E0586E">
        <w:rPr>
          <w:i/>
        </w:rPr>
        <w:t>.</w:t>
      </w:r>
      <w:r w:rsidRPr="006D2BEF">
        <w:rPr>
          <w:i/>
        </w:rPr>
        <w:t xml:space="preserve"> Chem</w:t>
      </w:r>
      <w:r w:rsidR="00E0586E">
        <w:rPr>
          <w:i/>
        </w:rPr>
        <w:t>.</w:t>
      </w:r>
      <w:r w:rsidRPr="006D2BEF">
        <w:rPr>
          <w:i/>
        </w:rPr>
        <w:t xml:space="preserve"> Lett</w:t>
      </w:r>
      <w:r w:rsidR="00E0586E">
        <w:rPr>
          <w:i/>
        </w:rPr>
        <w:t>.</w:t>
      </w:r>
      <w:r w:rsidRPr="006D2BEF">
        <w:t xml:space="preserve"> </w:t>
      </w:r>
      <w:r w:rsidRPr="006D2BEF">
        <w:rPr>
          <w:b/>
        </w:rPr>
        <w:t>6</w:t>
      </w:r>
      <w:r w:rsidRPr="006D2BEF">
        <w:t>, 1249-1253, doi:10.1021/acs.jpclett.5b00380 (2015).</w:t>
      </w:r>
    </w:p>
    <w:p w14:paraId="41A0AA1F" w14:textId="41C31A08" w:rsidR="006D2BEF" w:rsidRPr="006D2BEF" w:rsidRDefault="006D2BEF" w:rsidP="006D2BEF">
      <w:pPr>
        <w:pStyle w:val="EndNoteBibliography"/>
        <w:ind w:left="720" w:hanging="720"/>
      </w:pPr>
      <w:r w:rsidRPr="006D2BEF">
        <w:t>5</w:t>
      </w:r>
      <w:r w:rsidRPr="006D2BEF">
        <w:tab/>
        <w:t xml:space="preserve">Perdew, J. P., Burke, K. &amp; Ernzerhof, M. Generalized Gradient Approximation Made Simple. </w:t>
      </w:r>
      <w:r w:rsidRPr="006D2BEF">
        <w:rPr>
          <w:i/>
        </w:rPr>
        <w:t>Phys</w:t>
      </w:r>
      <w:r w:rsidR="00E0586E">
        <w:rPr>
          <w:i/>
        </w:rPr>
        <w:t>.</w:t>
      </w:r>
      <w:r w:rsidRPr="006D2BEF">
        <w:rPr>
          <w:i/>
        </w:rPr>
        <w:t xml:space="preserve"> Rev</w:t>
      </w:r>
      <w:r w:rsidR="00E0586E">
        <w:rPr>
          <w:i/>
        </w:rPr>
        <w:t>.</w:t>
      </w:r>
      <w:r w:rsidRPr="006D2BEF">
        <w:rPr>
          <w:i/>
        </w:rPr>
        <w:t xml:space="preserve"> Lett</w:t>
      </w:r>
      <w:r w:rsidR="00E0586E">
        <w:rPr>
          <w:i/>
        </w:rPr>
        <w:t>.</w:t>
      </w:r>
      <w:r w:rsidRPr="006D2BEF">
        <w:t xml:space="preserve"> </w:t>
      </w:r>
      <w:r w:rsidRPr="006D2BEF">
        <w:rPr>
          <w:b/>
        </w:rPr>
        <w:t>77</w:t>
      </w:r>
      <w:r w:rsidRPr="006D2BEF">
        <w:t>, 3865-3868, doi:10.1103/PhysRevLett.77.3865 (1996).</w:t>
      </w:r>
    </w:p>
    <w:p w14:paraId="58A591D8" w14:textId="468AC626" w:rsidR="006D2BEF" w:rsidRPr="006D2BEF" w:rsidRDefault="006D2BEF" w:rsidP="006D2BEF">
      <w:pPr>
        <w:pStyle w:val="EndNoteBibliography"/>
        <w:ind w:left="720" w:hanging="720"/>
      </w:pPr>
      <w:r w:rsidRPr="006D2BEF">
        <w:t>6</w:t>
      </w:r>
      <w:r w:rsidRPr="006D2BEF">
        <w:tab/>
        <w:t xml:space="preserve">Wang, V., Xu, N., Liu, J.C., Tang, G. &amp; Geng, W.-T. VASPKIT: A user-friendly interface facilitating high-throughput computing and analysis using VASP code. </w:t>
      </w:r>
      <w:r w:rsidRPr="006D2BEF">
        <w:rPr>
          <w:i/>
        </w:rPr>
        <w:t>Comput. Phys. Commun.</w:t>
      </w:r>
      <w:r w:rsidRPr="006D2BEF">
        <w:t xml:space="preserve"> </w:t>
      </w:r>
      <w:r w:rsidRPr="006D2BEF">
        <w:rPr>
          <w:b/>
        </w:rPr>
        <w:t>267</w:t>
      </w:r>
      <w:r w:rsidRPr="006D2BEF">
        <w:t>, 108033, doi:</w:t>
      </w:r>
      <w:hyperlink r:id="rId36" w:history="1">
        <w:r w:rsidRPr="006D2BEF">
          <w:rPr>
            <w:rStyle w:val="Hyperlink"/>
          </w:rPr>
          <w:t>https://doi.org/10.1016/j.cpc.2021.108033</w:t>
        </w:r>
      </w:hyperlink>
      <w:r w:rsidRPr="006D2BEF">
        <w:t xml:space="preserve"> (2021).</w:t>
      </w:r>
    </w:p>
    <w:p w14:paraId="7A4C61F8" w14:textId="77777777" w:rsidR="006D2BEF" w:rsidRPr="006D2BEF" w:rsidRDefault="006D2BEF" w:rsidP="006D2BEF">
      <w:pPr>
        <w:pStyle w:val="EndNoteBibliography"/>
        <w:ind w:left="720" w:hanging="720"/>
      </w:pPr>
      <w:r w:rsidRPr="006D2BEF">
        <w:t>7</w:t>
      </w:r>
      <w:r w:rsidRPr="006D2BEF">
        <w:tab/>
        <w:t>Freysoldt, C.</w:t>
      </w:r>
      <w:r w:rsidRPr="006D2BEF">
        <w:rPr>
          <w:i/>
        </w:rPr>
        <w:t xml:space="preserve"> et al.</w:t>
      </w:r>
      <w:r w:rsidRPr="006D2BEF">
        <w:t xml:space="preserve"> First-principles calculations for point defects in solids. </w:t>
      </w:r>
      <w:r w:rsidRPr="006D2BEF">
        <w:rPr>
          <w:i/>
        </w:rPr>
        <w:t>Rev. Mod. Phys.</w:t>
      </w:r>
      <w:r w:rsidRPr="006D2BEF">
        <w:t xml:space="preserve"> </w:t>
      </w:r>
      <w:r w:rsidRPr="006D2BEF">
        <w:rPr>
          <w:b/>
        </w:rPr>
        <w:t>86</w:t>
      </w:r>
      <w:r w:rsidRPr="006D2BEF">
        <w:t>, 253-305, doi:10.1103/RevModPhys.86.253 (2014).</w:t>
      </w:r>
    </w:p>
    <w:p w14:paraId="71999D20" w14:textId="77777777" w:rsidR="006D2BEF" w:rsidRPr="00DF2D23" w:rsidRDefault="006D2BEF" w:rsidP="006D2BEF">
      <w:pPr>
        <w:pStyle w:val="EndNoteBibliography"/>
        <w:ind w:left="720" w:hanging="720"/>
        <w:rPr>
          <w:lang w:val="fr-CH"/>
        </w:rPr>
      </w:pPr>
      <w:r w:rsidRPr="006D2BEF">
        <w:t>8</w:t>
      </w:r>
      <w:r w:rsidRPr="006D2BEF">
        <w:tab/>
        <w:t xml:space="preserve">Van de Walle, C. G. &amp; Neugebauer, J. First-principles calculations for defects and impurities: Applications to III-nitrides. </w:t>
      </w:r>
      <w:r w:rsidRPr="00DF2D23">
        <w:rPr>
          <w:i/>
          <w:lang w:val="fr-CH"/>
        </w:rPr>
        <w:t>J. Appl. Phys.</w:t>
      </w:r>
      <w:r w:rsidRPr="00DF2D23">
        <w:rPr>
          <w:lang w:val="fr-CH"/>
        </w:rPr>
        <w:t xml:space="preserve"> </w:t>
      </w:r>
      <w:r w:rsidRPr="00DF2D23">
        <w:rPr>
          <w:b/>
          <w:lang w:val="fr-CH"/>
        </w:rPr>
        <w:t>95</w:t>
      </w:r>
      <w:r w:rsidRPr="00DF2D23">
        <w:rPr>
          <w:lang w:val="fr-CH"/>
        </w:rPr>
        <w:t>, 3851-3879, doi:10.1063/1.1682673 (2004).</w:t>
      </w:r>
    </w:p>
    <w:p w14:paraId="4F1FFF3B" w14:textId="77777777" w:rsidR="006D2BEF" w:rsidRPr="00DF2D23" w:rsidRDefault="006D2BEF" w:rsidP="006D2BEF">
      <w:pPr>
        <w:pStyle w:val="EndNoteBibliography"/>
        <w:ind w:left="720" w:hanging="720"/>
        <w:rPr>
          <w:lang w:val="fr-CH"/>
        </w:rPr>
      </w:pPr>
      <w:r w:rsidRPr="00DF2D23">
        <w:rPr>
          <w:lang w:val="fr-CH"/>
        </w:rPr>
        <w:t>9</w:t>
      </w:r>
      <w:r w:rsidRPr="00DF2D23">
        <w:rPr>
          <w:lang w:val="fr-CH"/>
        </w:rPr>
        <w:tab/>
        <w:t>Yang, Z.</w:t>
      </w:r>
      <w:r w:rsidRPr="00DF2D23">
        <w:rPr>
          <w:i/>
          <w:lang w:val="fr-CH"/>
        </w:rPr>
        <w:t xml:space="preserve"> et al.</w:t>
      </w:r>
      <w:r w:rsidRPr="00DF2D23">
        <w:rPr>
          <w:lang w:val="fr-CH"/>
        </w:rPr>
        <w:t xml:space="preserve"> Device physics of back-contact perovskite solar cells. </w:t>
      </w:r>
      <w:r w:rsidRPr="00DF2D23">
        <w:rPr>
          <w:i/>
          <w:lang w:val="fr-CH"/>
        </w:rPr>
        <w:t>Energy Environ. Sci.</w:t>
      </w:r>
      <w:r w:rsidRPr="00DF2D23">
        <w:rPr>
          <w:lang w:val="fr-CH"/>
        </w:rPr>
        <w:t xml:space="preserve"> </w:t>
      </w:r>
      <w:r w:rsidRPr="00DF2D23">
        <w:rPr>
          <w:b/>
          <w:lang w:val="fr-CH"/>
        </w:rPr>
        <w:t>13</w:t>
      </w:r>
      <w:r w:rsidRPr="00DF2D23">
        <w:rPr>
          <w:lang w:val="fr-CH"/>
        </w:rPr>
        <w:t>, 1753-1765, doi:10.1039/C9EE04203B (2020).</w:t>
      </w:r>
    </w:p>
    <w:p w14:paraId="0DFF6DED" w14:textId="77777777" w:rsidR="006D2BEF" w:rsidRPr="00DF2D23" w:rsidRDefault="006D2BEF" w:rsidP="006D2BEF">
      <w:pPr>
        <w:pStyle w:val="EndNoteBibliography"/>
        <w:ind w:left="720" w:hanging="720"/>
        <w:rPr>
          <w:lang w:val="fr-CH"/>
        </w:rPr>
      </w:pPr>
      <w:r w:rsidRPr="00DF2D23">
        <w:rPr>
          <w:lang w:val="fr-CH"/>
        </w:rPr>
        <w:t>10</w:t>
      </w:r>
      <w:r w:rsidRPr="00DF2D23">
        <w:rPr>
          <w:lang w:val="fr-CH"/>
        </w:rPr>
        <w:tab/>
        <w:t>Ding, Y.</w:t>
      </w:r>
      <w:r w:rsidRPr="00DF2D23">
        <w:rPr>
          <w:i/>
          <w:lang w:val="fr-CH"/>
        </w:rPr>
        <w:t xml:space="preserve"> et al.</w:t>
      </w:r>
      <w:r w:rsidRPr="00DF2D23">
        <w:rPr>
          <w:lang w:val="fr-CH"/>
        </w:rPr>
        <w:t xml:space="preserve"> Single-crystalline TiO2 nanoparticles for stable and efficient perovskite modules. </w:t>
      </w:r>
      <w:r w:rsidRPr="00DF2D23">
        <w:rPr>
          <w:i/>
          <w:lang w:val="fr-CH"/>
        </w:rPr>
        <w:t>Nat. Nanotechnol.</w:t>
      </w:r>
      <w:r w:rsidRPr="00DF2D23">
        <w:rPr>
          <w:lang w:val="fr-CH"/>
        </w:rPr>
        <w:t xml:space="preserve"> </w:t>
      </w:r>
      <w:r w:rsidRPr="00DF2D23">
        <w:rPr>
          <w:b/>
          <w:lang w:val="fr-CH"/>
        </w:rPr>
        <w:t>17</w:t>
      </w:r>
      <w:r w:rsidRPr="00DF2D23">
        <w:rPr>
          <w:lang w:val="fr-CH"/>
        </w:rPr>
        <w:t>, 598-605, doi:10.1038/s41565-022-01108-1 (2022).</w:t>
      </w:r>
    </w:p>
    <w:p w14:paraId="07E7A84D" w14:textId="77777777" w:rsidR="006D2BEF" w:rsidRPr="006D2BEF" w:rsidRDefault="006D2BEF" w:rsidP="006D2BEF">
      <w:pPr>
        <w:pStyle w:val="EndNoteBibliography"/>
        <w:ind w:left="720" w:hanging="720"/>
      </w:pPr>
      <w:r w:rsidRPr="00DF2D23">
        <w:rPr>
          <w:lang w:val="fr-CH"/>
        </w:rPr>
        <w:t>11</w:t>
      </w:r>
      <w:r w:rsidRPr="00DF2D23">
        <w:rPr>
          <w:lang w:val="fr-CH"/>
        </w:rPr>
        <w:tab/>
        <w:t>Yang, G.</w:t>
      </w:r>
      <w:r w:rsidRPr="00DF2D23">
        <w:rPr>
          <w:i/>
          <w:lang w:val="fr-CH"/>
        </w:rPr>
        <w:t xml:space="preserve"> et al.</w:t>
      </w:r>
      <w:r w:rsidRPr="00DF2D23">
        <w:rPr>
          <w:lang w:val="fr-CH"/>
        </w:rPr>
        <w:t xml:space="preserve"> </w:t>
      </w:r>
      <w:r w:rsidRPr="006D2BEF">
        <w:t xml:space="preserve">Stable and low-photovoltage-loss perovskite solar cells by multifunctional passivation. </w:t>
      </w:r>
      <w:r w:rsidRPr="006D2BEF">
        <w:rPr>
          <w:i/>
        </w:rPr>
        <w:t>Nat. Photonics</w:t>
      </w:r>
      <w:r w:rsidRPr="006D2BEF">
        <w:t xml:space="preserve"> </w:t>
      </w:r>
      <w:r w:rsidRPr="006D2BEF">
        <w:rPr>
          <w:b/>
        </w:rPr>
        <w:t>15</w:t>
      </w:r>
      <w:r w:rsidRPr="006D2BEF">
        <w:t>, 681-689, doi:10.1038/s41566-021-00829-4 (2021).</w:t>
      </w:r>
    </w:p>
    <w:p w14:paraId="0436C7ED" w14:textId="761345CB" w:rsidR="006D2BEF" w:rsidRPr="006D2BEF" w:rsidRDefault="006D2BEF" w:rsidP="006D2BEF">
      <w:pPr>
        <w:pStyle w:val="EndNoteBibliography"/>
        <w:ind w:left="720" w:hanging="720"/>
      </w:pPr>
      <w:r w:rsidRPr="006D2BEF">
        <w:t>12</w:t>
      </w:r>
      <w:r w:rsidRPr="006D2BEF">
        <w:tab/>
        <w:t>Jeong, S.</w:t>
      </w:r>
      <w:r w:rsidRPr="006D2BEF">
        <w:rPr>
          <w:i/>
        </w:rPr>
        <w:t xml:space="preserve"> et al.</w:t>
      </w:r>
      <w:r w:rsidRPr="006D2BEF">
        <w:t xml:space="preserve"> Cyclohexylammonium-Based 2D/3D Perovskite Heterojunction with Funnel-Like Energy Band Alignment for Efficient Solar Cells (23.91%). </w:t>
      </w:r>
      <w:r w:rsidRPr="006D2BEF">
        <w:rPr>
          <w:i/>
        </w:rPr>
        <w:t>Adv. Energy Mater.</w:t>
      </w:r>
      <w:r w:rsidRPr="006D2BEF">
        <w:t xml:space="preserve"> </w:t>
      </w:r>
      <w:r w:rsidRPr="006D2BEF">
        <w:rPr>
          <w:b/>
        </w:rPr>
        <w:t>11</w:t>
      </w:r>
      <w:r w:rsidRPr="006D2BEF">
        <w:t>, 2102236, doi:</w:t>
      </w:r>
      <w:hyperlink r:id="rId37" w:history="1">
        <w:r w:rsidRPr="006D2BEF">
          <w:rPr>
            <w:rStyle w:val="Hyperlink"/>
          </w:rPr>
          <w:t>https://doi.org/10.1002/aenm.202102236</w:t>
        </w:r>
      </w:hyperlink>
      <w:r w:rsidRPr="006D2BEF">
        <w:t xml:space="preserve"> (2021).</w:t>
      </w:r>
    </w:p>
    <w:p w14:paraId="4384B401" w14:textId="26115B8F" w:rsidR="006D2BEF" w:rsidRPr="006D2BEF" w:rsidRDefault="006D2BEF" w:rsidP="006D2BEF">
      <w:pPr>
        <w:pStyle w:val="EndNoteBibliography"/>
        <w:ind w:left="720" w:hanging="720"/>
      </w:pPr>
      <w:r w:rsidRPr="006D2BEF">
        <w:t>13</w:t>
      </w:r>
      <w:r w:rsidRPr="006D2BEF">
        <w:tab/>
        <w:t>Yang, W.</w:t>
      </w:r>
      <w:r w:rsidRPr="006D2BEF">
        <w:rPr>
          <w:i/>
        </w:rPr>
        <w:t xml:space="preserve"> et al.</w:t>
      </w:r>
      <w:r w:rsidRPr="006D2BEF">
        <w:t xml:space="preserve"> Unlocking Voltage Potentials of Mixed-Halide Perovskite Solar Cells via Phase Segregation Suppression. </w:t>
      </w:r>
      <w:r w:rsidRPr="006D2BEF">
        <w:rPr>
          <w:i/>
        </w:rPr>
        <w:t>Adv. Funct. Mater.</w:t>
      </w:r>
      <w:r w:rsidRPr="006D2BEF">
        <w:t xml:space="preserve"> </w:t>
      </w:r>
      <w:r w:rsidRPr="006D2BEF">
        <w:rPr>
          <w:b/>
        </w:rPr>
        <w:t>32</w:t>
      </w:r>
      <w:r w:rsidRPr="006D2BEF">
        <w:t>, 2110698, doi:</w:t>
      </w:r>
      <w:hyperlink r:id="rId38" w:history="1">
        <w:r w:rsidRPr="006D2BEF">
          <w:rPr>
            <w:rStyle w:val="Hyperlink"/>
          </w:rPr>
          <w:t>https://doi.org/10.1002/adfm.202110698</w:t>
        </w:r>
      </w:hyperlink>
      <w:r w:rsidRPr="006D2BEF">
        <w:t xml:space="preserve"> (2022).</w:t>
      </w:r>
    </w:p>
    <w:p w14:paraId="15D8762B" w14:textId="302DE058" w:rsidR="006D2BEF" w:rsidRPr="006D2BEF" w:rsidRDefault="006D2BEF" w:rsidP="006D2BEF">
      <w:pPr>
        <w:pStyle w:val="EndNoteBibliography"/>
        <w:ind w:left="720" w:hanging="720"/>
      </w:pPr>
      <w:r w:rsidRPr="006D2BEF">
        <w:t>14</w:t>
      </w:r>
      <w:r w:rsidRPr="006D2BEF">
        <w:tab/>
        <w:t>Bai, Y.</w:t>
      </w:r>
      <w:r w:rsidRPr="006D2BEF">
        <w:rPr>
          <w:i/>
        </w:rPr>
        <w:t xml:space="preserve"> et al.</w:t>
      </w:r>
      <w:r w:rsidRPr="006D2BEF">
        <w:t xml:space="preserve"> Dimensional Engineering of a Graded 3D–2D Halide Perovskite Interface Enables Ultrahigh Voc Enhanced Stability in the p-i-n Photovoltaics. </w:t>
      </w:r>
      <w:r w:rsidRPr="006D2BEF">
        <w:rPr>
          <w:i/>
        </w:rPr>
        <w:t>Adv. Energy Mater.</w:t>
      </w:r>
      <w:r w:rsidRPr="006D2BEF">
        <w:t xml:space="preserve"> </w:t>
      </w:r>
      <w:r w:rsidRPr="006D2BEF">
        <w:rPr>
          <w:b/>
        </w:rPr>
        <w:t>7</w:t>
      </w:r>
      <w:r w:rsidRPr="006D2BEF">
        <w:t>, 1701038, doi:</w:t>
      </w:r>
      <w:hyperlink r:id="rId39" w:history="1">
        <w:r w:rsidRPr="006D2BEF">
          <w:rPr>
            <w:rStyle w:val="Hyperlink"/>
          </w:rPr>
          <w:t>https://doi.org/10.1002/aenm.201701038</w:t>
        </w:r>
      </w:hyperlink>
      <w:r w:rsidRPr="006D2BEF">
        <w:t xml:space="preserve"> (2017).</w:t>
      </w:r>
    </w:p>
    <w:p w14:paraId="7C8F1DCF" w14:textId="1E998863" w:rsidR="006D2BEF" w:rsidRPr="006D2BEF" w:rsidRDefault="006D2BEF" w:rsidP="006D2BEF">
      <w:pPr>
        <w:pStyle w:val="EndNoteBibliography"/>
        <w:ind w:left="720" w:hanging="720"/>
      </w:pPr>
      <w:r w:rsidRPr="006D2BEF">
        <w:t>15</w:t>
      </w:r>
      <w:r w:rsidRPr="006D2BEF">
        <w:tab/>
        <w:t>Cho, Y.</w:t>
      </w:r>
      <w:r w:rsidRPr="006D2BEF">
        <w:rPr>
          <w:i/>
        </w:rPr>
        <w:t xml:space="preserve"> et al.</w:t>
      </w:r>
      <w:r w:rsidRPr="006D2BEF">
        <w:t xml:space="preserve"> Mixed 3D–2D Passivation Treatment for Mixed-Cation Lead Mixed-Halide Perovskite Solar Cells for Higher Efficiency and Better Stability. </w:t>
      </w:r>
      <w:r w:rsidRPr="006D2BEF">
        <w:rPr>
          <w:i/>
        </w:rPr>
        <w:t>Adv. Energy Mater.</w:t>
      </w:r>
      <w:r w:rsidRPr="006D2BEF">
        <w:t xml:space="preserve"> </w:t>
      </w:r>
      <w:r w:rsidRPr="006D2BEF">
        <w:rPr>
          <w:b/>
        </w:rPr>
        <w:t>8</w:t>
      </w:r>
      <w:r w:rsidRPr="006D2BEF">
        <w:t>, 1703392, doi:</w:t>
      </w:r>
      <w:hyperlink r:id="rId40" w:history="1">
        <w:r w:rsidRPr="006D2BEF">
          <w:rPr>
            <w:rStyle w:val="Hyperlink"/>
          </w:rPr>
          <w:t>https://doi.org/10.1002/aenm.201703392</w:t>
        </w:r>
      </w:hyperlink>
      <w:r w:rsidRPr="006D2BEF">
        <w:t xml:space="preserve"> (2018).</w:t>
      </w:r>
    </w:p>
    <w:p w14:paraId="6CC8340B" w14:textId="77777777" w:rsidR="006D2BEF" w:rsidRPr="00DF2D23" w:rsidRDefault="006D2BEF" w:rsidP="006D2BEF">
      <w:pPr>
        <w:pStyle w:val="EndNoteBibliography"/>
        <w:ind w:left="720" w:hanging="720"/>
        <w:rPr>
          <w:lang w:val="fr-CH"/>
        </w:rPr>
      </w:pPr>
      <w:r w:rsidRPr="006D2BEF">
        <w:t>16</w:t>
      </w:r>
      <w:r w:rsidRPr="006D2BEF">
        <w:tab/>
        <w:t>Liu, Y.</w:t>
      </w:r>
      <w:r w:rsidRPr="006D2BEF">
        <w:rPr>
          <w:i/>
        </w:rPr>
        <w:t xml:space="preserve"> et al.</w:t>
      </w:r>
      <w:r w:rsidRPr="006D2BEF">
        <w:t xml:space="preserve"> Ultrahydrophobic 3D/2D fluoroarene bilayer-based water-resistant perovskite solar cells with efficiencies exceeding 22%. </w:t>
      </w:r>
      <w:r w:rsidRPr="00DF2D23">
        <w:rPr>
          <w:i/>
          <w:lang w:val="fr-CH"/>
        </w:rPr>
        <w:t>Sci. Adv.</w:t>
      </w:r>
      <w:r w:rsidRPr="00DF2D23">
        <w:rPr>
          <w:lang w:val="fr-CH"/>
        </w:rPr>
        <w:t xml:space="preserve"> </w:t>
      </w:r>
      <w:r w:rsidRPr="00DF2D23">
        <w:rPr>
          <w:b/>
          <w:lang w:val="fr-CH"/>
        </w:rPr>
        <w:t>5</w:t>
      </w:r>
      <w:r w:rsidRPr="00DF2D23">
        <w:rPr>
          <w:lang w:val="fr-CH"/>
        </w:rPr>
        <w:t>, eaaw2543, doi:10.1126/sciadv.aaw2543.</w:t>
      </w:r>
    </w:p>
    <w:p w14:paraId="46F8EBF0" w14:textId="76BD358C" w:rsidR="006D2BEF" w:rsidRPr="006D2BEF" w:rsidRDefault="006D2BEF" w:rsidP="006D2BEF">
      <w:pPr>
        <w:pStyle w:val="EndNoteBibliography"/>
        <w:ind w:left="720" w:hanging="720"/>
      </w:pPr>
      <w:r w:rsidRPr="00DF2D23">
        <w:rPr>
          <w:lang w:val="fr-CH"/>
        </w:rPr>
        <w:t>17</w:t>
      </w:r>
      <w:r w:rsidRPr="00DF2D23">
        <w:rPr>
          <w:lang w:val="fr-CH"/>
        </w:rPr>
        <w:tab/>
        <w:t>Yao, Q.</w:t>
      </w:r>
      <w:r w:rsidRPr="00DF2D23">
        <w:rPr>
          <w:i/>
          <w:lang w:val="fr-CH"/>
        </w:rPr>
        <w:t xml:space="preserve"> et al.</w:t>
      </w:r>
      <w:r w:rsidRPr="00DF2D23">
        <w:rPr>
          <w:lang w:val="fr-CH"/>
        </w:rPr>
        <w:t xml:space="preserve"> </w:t>
      </w:r>
      <w:r w:rsidRPr="006D2BEF">
        <w:t xml:space="preserve">Graded 2D/3D Perovskite Heterostructure for Efficient and Operationally Stable MA-Free Perovskite Solar Cells. </w:t>
      </w:r>
      <w:r w:rsidRPr="006D2BEF">
        <w:rPr>
          <w:i/>
        </w:rPr>
        <w:t>Adv. Mater.</w:t>
      </w:r>
      <w:r w:rsidRPr="006D2BEF">
        <w:t xml:space="preserve"> </w:t>
      </w:r>
      <w:r w:rsidRPr="006D2BEF">
        <w:rPr>
          <w:b/>
        </w:rPr>
        <w:t>32</w:t>
      </w:r>
      <w:r w:rsidRPr="006D2BEF">
        <w:t xml:space="preserve">, 2000571, </w:t>
      </w:r>
      <w:r w:rsidRPr="006D2BEF">
        <w:lastRenderedPageBreak/>
        <w:t>doi:</w:t>
      </w:r>
      <w:hyperlink r:id="rId41" w:history="1">
        <w:r w:rsidRPr="006D2BEF">
          <w:rPr>
            <w:rStyle w:val="Hyperlink"/>
          </w:rPr>
          <w:t>https://doi.org/10.1002/adma.202000571</w:t>
        </w:r>
      </w:hyperlink>
      <w:r w:rsidRPr="006D2BEF">
        <w:t xml:space="preserve"> (2020).</w:t>
      </w:r>
    </w:p>
    <w:p w14:paraId="0E91504A" w14:textId="5FB90DA5" w:rsidR="006D2BEF" w:rsidRPr="006D2BEF" w:rsidRDefault="006D2BEF" w:rsidP="006D2BEF">
      <w:pPr>
        <w:pStyle w:val="EndNoteBibliography"/>
        <w:ind w:left="720" w:hanging="720"/>
      </w:pPr>
      <w:r w:rsidRPr="006D2BEF">
        <w:t>18</w:t>
      </w:r>
      <w:r w:rsidRPr="006D2BEF">
        <w:tab/>
        <w:t>Zhao, D.</w:t>
      </w:r>
      <w:r w:rsidRPr="006D2BEF">
        <w:rPr>
          <w:i/>
        </w:rPr>
        <w:t xml:space="preserve"> et al.</w:t>
      </w:r>
      <w:r w:rsidRPr="006D2BEF">
        <w:t xml:space="preserve"> Efficient and Stable 3D/2D Perovskite Solar Cells through Vertical Heterostructures with (BA)4AgBiBr8 Nanosheets. </w:t>
      </w:r>
      <w:r w:rsidRPr="006D2BEF">
        <w:rPr>
          <w:i/>
        </w:rPr>
        <w:t>Adv. Mater.</w:t>
      </w:r>
      <w:r w:rsidRPr="006D2BEF">
        <w:t xml:space="preserve"> </w:t>
      </w:r>
      <w:r w:rsidRPr="006D2BEF">
        <w:rPr>
          <w:b/>
        </w:rPr>
        <w:t>n/a</w:t>
      </w:r>
      <w:r w:rsidRPr="006D2BEF">
        <w:t>, 2204661, doi:</w:t>
      </w:r>
      <w:hyperlink r:id="rId42" w:history="1">
        <w:r w:rsidRPr="006D2BEF">
          <w:rPr>
            <w:rStyle w:val="Hyperlink"/>
          </w:rPr>
          <w:t>https://doi.org/10.1002/adma.202204661</w:t>
        </w:r>
      </w:hyperlink>
      <w:r w:rsidRPr="006D2BEF">
        <w:t xml:space="preserve"> (2022).</w:t>
      </w:r>
    </w:p>
    <w:p w14:paraId="7D40C4F3" w14:textId="56802ED4" w:rsidR="00380151" w:rsidRPr="00765274" w:rsidRDefault="00D47A83" w:rsidP="00380151">
      <w:pPr>
        <w:rPr>
          <w:szCs w:val="24"/>
        </w:rPr>
      </w:pPr>
      <w:r>
        <w:rPr>
          <w:szCs w:val="24"/>
        </w:rPr>
        <w:fldChar w:fldCharType="end"/>
      </w:r>
    </w:p>
    <w:sectPr w:rsidR="00380151" w:rsidRPr="00765274" w:rsidSect="00E853D5">
      <w:headerReference w:type="default" r:id="rId43"/>
      <w:footerReference w:type="default" r:id="rId4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6E811" w14:textId="77777777" w:rsidR="00671C86" w:rsidRDefault="00671C86">
      <w:r>
        <w:separator/>
      </w:r>
    </w:p>
  </w:endnote>
  <w:endnote w:type="continuationSeparator" w:id="0">
    <w:p w14:paraId="229360DE" w14:textId="77777777" w:rsidR="00671C86" w:rsidRDefault="0067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nionPro-Regular">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Whitney-Book">
    <w:altName w:val="微软雅黑"/>
    <w:panose1 w:val="020B0604020202020204"/>
    <w:charset w:val="86"/>
    <w:family w:val="swiss"/>
    <w:notTrueType/>
    <w:pitch w:val="default"/>
    <w:sig w:usb0="00000003" w:usb1="08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rsidP="00B76F3F">
    <w:pPr>
      <w:pStyle w:val="Footer"/>
      <w:jc w:val="center"/>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54E9" w14:textId="77777777" w:rsidR="00671C86" w:rsidRDefault="00671C86">
      <w:r>
        <w:separator/>
      </w:r>
    </w:p>
  </w:footnote>
  <w:footnote w:type="continuationSeparator" w:id="0">
    <w:p w14:paraId="08BABC30" w14:textId="77777777" w:rsidR="00671C86" w:rsidRDefault="00671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1069309637">
    <w:abstractNumId w:val="9"/>
  </w:num>
  <w:num w:numId="2" w16cid:durableId="316879388">
    <w:abstractNumId w:val="7"/>
  </w:num>
  <w:num w:numId="3" w16cid:durableId="264928447">
    <w:abstractNumId w:val="6"/>
  </w:num>
  <w:num w:numId="4" w16cid:durableId="993292768">
    <w:abstractNumId w:val="5"/>
  </w:num>
  <w:num w:numId="5" w16cid:durableId="1066687882">
    <w:abstractNumId w:val="4"/>
  </w:num>
  <w:num w:numId="6" w16cid:durableId="1412577184">
    <w:abstractNumId w:val="8"/>
  </w:num>
  <w:num w:numId="7" w16cid:durableId="1085151258">
    <w:abstractNumId w:val="3"/>
  </w:num>
  <w:num w:numId="8" w16cid:durableId="41171839">
    <w:abstractNumId w:val="2"/>
  </w:num>
  <w:num w:numId="9" w16cid:durableId="1949508200">
    <w:abstractNumId w:val="1"/>
  </w:num>
  <w:num w:numId="10" w16cid:durableId="1024398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dwdfr94fapdvepa9hpwd9fpwr0t0zfrxt2&quot;&gt;My EndNote Library Copy&lt;record-ids&gt;&lt;item&gt;234&lt;/item&gt;&lt;item&gt;243&lt;/item&gt;&lt;item&gt;246&lt;/item&gt;&lt;item&gt;281&lt;/item&gt;&lt;item&gt;283&lt;/item&gt;&lt;item&gt;286&lt;/item&gt;&lt;item&gt;287&lt;/item&gt;&lt;item&gt;289&lt;/item&gt;&lt;item&gt;290&lt;/item&gt;&lt;item&gt;293&lt;/item&gt;&lt;item&gt;294&lt;/item&gt;&lt;item&gt;295&lt;/item&gt;&lt;item&gt;296&lt;/item&gt;&lt;item&gt;297&lt;/item&gt;&lt;item&gt;298&lt;/item&gt;&lt;item&gt;299&lt;/item&gt;&lt;item&gt;300&lt;/item&gt;&lt;item&gt;301&lt;/item&gt;&lt;/record-ids&gt;&lt;/item&gt;&lt;/Libraries&gt;"/>
  </w:docVars>
  <w:rsids>
    <w:rsidRoot w:val="002C030F"/>
    <w:rsid w:val="00015F74"/>
    <w:rsid w:val="00062C27"/>
    <w:rsid w:val="00065EBD"/>
    <w:rsid w:val="000813E8"/>
    <w:rsid w:val="00083B44"/>
    <w:rsid w:val="000850DC"/>
    <w:rsid w:val="000858F5"/>
    <w:rsid w:val="000A15BF"/>
    <w:rsid w:val="000C2771"/>
    <w:rsid w:val="000D29A2"/>
    <w:rsid w:val="000D46F4"/>
    <w:rsid w:val="000E684C"/>
    <w:rsid w:val="000F0DCE"/>
    <w:rsid w:val="000F6BE3"/>
    <w:rsid w:val="00112C5B"/>
    <w:rsid w:val="00114193"/>
    <w:rsid w:val="00115A38"/>
    <w:rsid w:val="0011687B"/>
    <w:rsid w:val="00124F82"/>
    <w:rsid w:val="0014087F"/>
    <w:rsid w:val="0016337A"/>
    <w:rsid w:val="00164269"/>
    <w:rsid w:val="001A1BDE"/>
    <w:rsid w:val="001D627A"/>
    <w:rsid w:val="001F0876"/>
    <w:rsid w:val="001F167C"/>
    <w:rsid w:val="001F1868"/>
    <w:rsid w:val="001F5E91"/>
    <w:rsid w:val="001F722D"/>
    <w:rsid w:val="00203BA6"/>
    <w:rsid w:val="002077B9"/>
    <w:rsid w:val="0022616D"/>
    <w:rsid w:val="00262D72"/>
    <w:rsid w:val="00294FBB"/>
    <w:rsid w:val="002A417A"/>
    <w:rsid w:val="002C030F"/>
    <w:rsid w:val="002D33D6"/>
    <w:rsid w:val="003200FF"/>
    <w:rsid w:val="00331D75"/>
    <w:rsid w:val="00355362"/>
    <w:rsid w:val="00363E44"/>
    <w:rsid w:val="00380151"/>
    <w:rsid w:val="00395E86"/>
    <w:rsid w:val="00397524"/>
    <w:rsid w:val="003A2FD8"/>
    <w:rsid w:val="003B40E6"/>
    <w:rsid w:val="003E25A2"/>
    <w:rsid w:val="003E74FB"/>
    <w:rsid w:val="003F26B5"/>
    <w:rsid w:val="003F6E14"/>
    <w:rsid w:val="00405336"/>
    <w:rsid w:val="00421CD2"/>
    <w:rsid w:val="00435FFF"/>
    <w:rsid w:val="004571D5"/>
    <w:rsid w:val="00461D81"/>
    <w:rsid w:val="0046356B"/>
    <w:rsid w:val="00477182"/>
    <w:rsid w:val="004779CB"/>
    <w:rsid w:val="00490786"/>
    <w:rsid w:val="004C78D5"/>
    <w:rsid w:val="004E42D8"/>
    <w:rsid w:val="004E7BA2"/>
    <w:rsid w:val="004F7EDF"/>
    <w:rsid w:val="005001AC"/>
    <w:rsid w:val="00510999"/>
    <w:rsid w:val="00517CBD"/>
    <w:rsid w:val="00527D71"/>
    <w:rsid w:val="005520A8"/>
    <w:rsid w:val="005607DD"/>
    <w:rsid w:val="005706A6"/>
    <w:rsid w:val="005A558C"/>
    <w:rsid w:val="005E28F8"/>
    <w:rsid w:val="005E6513"/>
    <w:rsid w:val="00651114"/>
    <w:rsid w:val="00664560"/>
    <w:rsid w:val="00670299"/>
    <w:rsid w:val="00671C86"/>
    <w:rsid w:val="00691985"/>
    <w:rsid w:val="006A1B64"/>
    <w:rsid w:val="006A5AF4"/>
    <w:rsid w:val="006D2BEF"/>
    <w:rsid w:val="007108F5"/>
    <w:rsid w:val="00713E5B"/>
    <w:rsid w:val="007319BB"/>
    <w:rsid w:val="007402FC"/>
    <w:rsid w:val="007411A1"/>
    <w:rsid w:val="00766F06"/>
    <w:rsid w:val="00771AA4"/>
    <w:rsid w:val="00793072"/>
    <w:rsid w:val="007A3992"/>
    <w:rsid w:val="00807D35"/>
    <w:rsid w:val="008218C4"/>
    <w:rsid w:val="008325C9"/>
    <w:rsid w:val="008500AC"/>
    <w:rsid w:val="00860CE2"/>
    <w:rsid w:val="00863BD5"/>
    <w:rsid w:val="00867A98"/>
    <w:rsid w:val="00870867"/>
    <w:rsid w:val="00882B2B"/>
    <w:rsid w:val="00885C9B"/>
    <w:rsid w:val="008C1350"/>
    <w:rsid w:val="008D5D2A"/>
    <w:rsid w:val="00904D48"/>
    <w:rsid w:val="00914B63"/>
    <w:rsid w:val="00915137"/>
    <w:rsid w:val="009354F3"/>
    <w:rsid w:val="009447DC"/>
    <w:rsid w:val="00961BA5"/>
    <w:rsid w:val="00966C3A"/>
    <w:rsid w:val="0096710C"/>
    <w:rsid w:val="009743A9"/>
    <w:rsid w:val="009A5287"/>
    <w:rsid w:val="009B2AC5"/>
    <w:rsid w:val="009B7984"/>
    <w:rsid w:val="009F4BED"/>
    <w:rsid w:val="009F7D93"/>
    <w:rsid w:val="00A3403B"/>
    <w:rsid w:val="00A51A12"/>
    <w:rsid w:val="00A627D4"/>
    <w:rsid w:val="00A74DA2"/>
    <w:rsid w:val="00A817B7"/>
    <w:rsid w:val="00A91428"/>
    <w:rsid w:val="00AB2C3B"/>
    <w:rsid w:val="00AB399E"/>
    <w:rsid w:val="00AC59D0"/>
    <w:rsid w:val="00AD16B1"/>
    <w:rsid w:val="00AD499C"/>
    <w:rsid w:val="00AD7118"/>
    <w:rsid w:val="00B010AD"/>
    <w:rsid w:val="00B1652F"/>
    <w:rsid w:val="00B34562"/>
    <w:rsid w:val="00B36869"/>
    <w:rsid w:val="00B43B31"/>
    <w:rsid w:val="00B47CFA"/>
    <w:rsid w:val="00B5371D"/>
    <w:rsid w:val="00B57F00"/>
    <w:rsid w:val="00B60F4B"/>
    <w:rsid w:val="00B66787"/>
    <w:rsid w:val="00B673AA"/>
    <w:rsid w:val="00B76A12"/>
    <w:rsid w:val="00B76F3F"/>
    <w:rsid w:val="00B77B2A"/>
    <w:rsid w:val="00B82C22"/>
    <w:rsid w:val="00B93DBA"/>
    <w:rsid w:val="00B9440A"/>
    <w:rsid w:val="00BB2D2A"/>
    <w:rsid w:val="00BC3E04"/>
    <w:rsid w:val="00BD2FB0"/>
    <w:rsid w:val="00BD58CF"/>
    <w:rsid w:val="00BF0C92"/>
    <w:rsid w:val="00C00B51"/>
    <w:rsid w:val="00C04CC1"/>
    <w:rsid w:val="00C145E9"/>
    <w:rsid w:val="00C319FA"/>
    <w:rsid w:val="00C37E10"/>
    <w:rsid w:val="00C4096C"/>
    <w:rsid w:val="00C479CD"/>
    <w:rsid w:val="00C50C6D"/>
    <w:rsid w:val="00C600D9"/>
    <w:rsid w:val="00C92B22"/>
    <w:rsid w:val="00CC1384"/>
    <w:rsid w:val="00CC6AA7"/>
    <w:rsid w:val="00CD3720"/>
    <w:rsid w:val="00CE273A"/>
    <w:rsid w:val="00CE45F6"/>
    <w:rsid w:val="00CF1848"/>
    <w:rsid w:val="00CF5C2F"/>
    <w:rsid w:val="00D04BCF"/>
    <w:rsid w:val="00D143D9"/>
    <w:rsid w:val="00D257E7"/>
    <w:rsid w:val="00D44C55"/>
    <w:rsid w:val="00D47A83"/>
    <w:rsid w:val="00D5511B"/>
    <w:rsid w:val="00D766F1"/>
    <w:rsid w:val="00DA75B2"/>
    <w:rsid w:val="00DF2D23"/>
    <w:rsid w:val="00DF5D00"/>
    <w:rsid w:val="00E0586E"/>
    <w:rsid w:val="00E06CD8"/>
    <w:rsid w:val="00E257C8"/>
    <w:rsid w:val="00E41512"/>
    <w:rsid w:val="00E4519A"/>
    <w:rsid w:val="00E853D5"/>
    <w:rsid w:val="00E9773B"/>
    <w:rsid w:val="00EA6F42"/>
    <w:rsid w:val="00EC13A3"/>
    <w:rsid w:val="00EC7C85"/>
    <w:rsid w:val="00F125EE"/>
    <w:rsid w:val="00F12E98"/>
    <w:rsid w:val="00F22029"/>
    <w:rsid w:val="00F515FB"/>
    <w:rsid w:val="00F5445D"/>
    <w:rsid w:val="00F630EA"/>
    <w:rsid w:val="00F7007E"/>
    <w:rsid w:val="00F73193"/>
    <w:rsid w:val="00F74F95"/>
    <w:rsid w:val="00F76B85"/>
    <w:rsid w:val="00F80705"/>
    <w:rsid w:val="00F94AD1"/>
    <w:rsid w:val="00FA1481"/>
    <w:rsid w:val="00FC2C1B"/>
    <w:rsid w:val="00FD4F18"/>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uiPriority w:val="99"/>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character" w:customStyle="1" w:styleId="fontstyle01">
    <w:name w:val="fontstyle01"/>
    <w:basedOn w:val="DefaultParagraphFont"/>
    <w:rsid w:val="003F26B5"/>
    <w:rPr>
      <w:rFonts w:ascii="MinionPro-Regular" w:hAnsi="MinionPro-Regular" w:hint="default"/>
      <w:b w:val="0"/>
      <w:bCs w:val="0"/>
      <w:i w:val="0"/>
      <w:iCs w:val="0"/>
      <w:color w:val="000000"/>
      <w:sz w:val="18"/>
      <w:szCs w:val="18"/>
    </w:rPr>
  </w:style>
  <w:style w:type="paragraph" w:customStyle="1" w:styleId="EndNoteBibliographyTitle">
    <w:name w:val="EndNote Bibliography Title"/>
    <w:basedOn w:val="Normal"/>
    <w:link w:val="EndNoteBibliographyTitleChar"/>
    <w:rsid w:val="00380151"/>
    <w:pPr>
      <w:widowControl w:val="0"/>
      <w:jc w:val="center"/>
    </w:pPr>
    <w:rPr>
      <w:rFonts w:eastAsia="SimSun"/>
      <w:noProof/>
      <w:kern w:val="2"/>
      <w:szCs w:val="22"/>
      <w:lang w:eastAsia="zh-CN"/>
    </w:rPr>
  </w:style>
  <w:style w:type="character" w:customStyle="1" w:styleId="EndNoteBibliographyTitleChar">
    <w:name w:val="EndNote Bibliography Title Char"/>
    <w:basedOn w:val="DefaultParagraphFont"/>
    <w:link w:val="EndNoteBibliographyTitle"/>
    <w:rsid w:val="00380151"/>
    <w:rPr>
      <w:rFonts w:eastAsia="SimSun"/>
      <w:noProof/>
      <w:kern w:val="2"/>
      <w:sz w:val="24"/>
      <w:szCs w:val="22"/>
      <w:lang w:eastAsia="zh-CN"/>
    </w:rPr>
  </w:style>
  <w:style w:type="paragraph" w:customStyle="1" w:styleId="EndNoteBibliography">
    <w:name w:val="EndNote Bibliography"/>
    <w:basedOn w:val="Normal"/>
    <w:link w:val="EndNoteBibliographyChar"/>
    <w:rsid w:val="00380151"/>
    <w:pPr>
      <w:widowControl w:val="0"/>
    </w:pPr>
    <w:rPr>
      <w:rFonts w:eastAsia="SimSun"/>
      <w:noProof/>
      <w:kern w:val="2"/>
      <w:szCs w:val="22"/>
      <w:lang w:eastAsia="zh-CN"/>
    </w:rPr>
  </w:style>
  <w:style w:type="character" w:customStyle="1" w:styleId="EndNoteBibliographyChar">
    <w:name w:val="EndNote Bibliography Char"/>
    <w:basedOn w:val="DefaultParagraphFont"/>
    <w:link w:val="EndNoteBibliography"/>
    <w:rsid w:val="00380151"/>
    <w:rPr>
      <w:rFonts w:eastAsia="SimSun"/>
      <w:noProof/>
      <w:kern w:val="2"/>
      <w:sz w:val="24"/>
      <w:szCs w:val="22"/>
      <w:lang w:eastAsia="zh-CN"/>
    </w:rPr>
  </w:style>
  <w:style w:type="table" w:styleId="TableGrid">
    <w:name w:val="Table Grid"/>
    <w:basedOn w:val="TableNormal"/>
    <w:uiPriority w:val="39"/>
    <w:rsid w:val="00380151"/>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0151"/>
    <w:rPr>
      <w:rFonts w:asciiTheme="minorHAnsi" w:hAnsiTheme="minorHAnsi" w:cstheme="minorBidi"/>
      <w:kern w:val="2"/>
      <w:sz w:val="21"/>
      <w:szCs w:val="22"/>
      <w:lang w:eastAsia="zh-CN"/>
    </w:rPr>
  </w:style>
  <w:style w:type="paragraph" w:customStyle="1" w:styleId="xl68">
    <w:name w:val="xl68"/>
    <w:basedOn w:val="Normal"/>
    <w:rsid w:val="00380151"/>
    <w:pPr>
      <w:spacing w:before="100" w:beforeAutospacing="1" w:after="100" w:afterAutospacing="1"/>
      <w:jc w:val="center"/>
      <w:textAlignment w:val="center"/>
    </w:pPr>
    <w:rPr>
      <w:rFonts w:ascii="SimSun" w:eastAsia="SimSun" w:hAnsi="SimSun" w:cs="SimSun"/>
      <w:szCs w:val="24"/>
      <w:lang w:eastAsia="zh-CN"/>
    </w:rPr>
  </w:style>
  <w:style w:type="paragraph" w:customStyle="1" w:styleId="xl79">
    <w:name w:val="xl79"/>
    <w:basedOn w:val="Normal"/>
    <w:rsid w:val="00380151"/>
    <w:pPr>
      <w:shd w:val="clear" w:color="000000" w:fill="FFFF00"/>
      <w:spacing w:before="100" w:beforeAutospacing="1" w:after="100" w:afterAutospacing="1"/>
      <w:jc w:val="center"/>
      <w:textAlignment w:val="center"/>
    </w:pPr>
    <w:rPr>
      <w:rFonts w:ascii="SimSun" w:eastAsia="SimSun" w:hAnsi="SimSun" w:cs="SimSun"/>
      <w:szCs w:val="24"/>
      <w:lang w:eastAsia="zh-CN"/>
    </w:rPr>
  </w:style>
  <w:style w:type="character" w:styleId="LineNumber">
    <w:name w:val="line number"/>
    <w:basedOn w:val="DefaultParagraphFont"/>
    <w:uiPriority w:val="99"/>
    <w:semiHidden/>
    <w:unhideWhenUsed/>
    <w:rsid w:val="00380151"/>
  </w:style>
  <w:style w:type="paragraph" w:customStyle="1" w:styleId="Addresses">
    <w:name w:val="Addresses"/>
    <w:basedOn w:val="Normal"/>
    <w:rsid w:val="00380151"/>
    <w:rPr>
      <w:rFonts w:eastAsia="MS Mincho"/>
      <w:szCs w:val="24"/>
      <w:lang w:eastAsia="ja-JP"/>
    </w:rPr>
  </w:style>
  <w:style w:type="paragraph" w:customStyle="1" w:styleId="SOMContent">
    <w:name w:val="SOMContent"/>
    <w:basedOn w:val="Normal"/>
    <w:rsid w:val="00380151"/>
    <w:pPr>
      <w:spacing w:before="120"/>
    </w:pPr>
    <w:rPr>
      <w:rFonts w:eastAsia="Times New Roman"/>
      <w:szCs w:val="24"/>
    </w:rPr>
  </w:style>
  <w:style w:type="paragraph" w:customStyle="1" w:styleId="Paragraph">
    <w:name w:val="Paragraph"/>
    <w:basedOn w:val="Normal"/>
    <w:rsid w:val="00966C3A"/>
    <w:pPr>
      <w:spacing w:before="120"/>
      <w:ind w:firstLine="720"/>
    </w:pPr>
    <w:rPr>
      <w:rFonts w:eastAsia="Times New Roman"/>
      <w:szCs w:val="24"/>
    </w:rPr>
  </w:style>
  <w:style w:type="paragraph" w:customStyle="1" w:styleId="Head">
    <w:name w:val="Head"/>
    <w:basedOn w:val="Normal"/>
    <w:rsid w:val="00966C3A"/>
    <w:pPr>
      <w:keepNext/>
      <w:spacing w:before="120" w:after="120"/>
      <w:jc w:val="center"/>
      <w:outlineLvl w:val="0"/>
    </w:pPr>
    <w:rPr>
      <w:rFonts w:eastAsia="Times New Roman"/>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doi.org/10.1002/aenm.201701038"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doi.org/10.1002/adma.202204661"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doi.org/10.1002/aenm.202102236" TargetMode="External"/><Relationship Id="rId40" Type="http://schemas.openxmlformats.org/officeDocument/2006/relationships/hyperlink" Target="https://doi.org/10.1002/aenm.201703392"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hyperlink" Target="https://doi.org/10.1016/j.cpc.2021.108033" TargetMode="Externa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doi.org/10.1016/0927-0256(96)00008-0" TargetMode="External"/><Relationship Id="rId43"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oleObject" Target="embeddings/oleObject1.bin"/><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doi.org/10.1002/adfm.202110698" TargetMode="External"/><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https://doi.org/10.1002/adma.2020005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2158FF-A996-4F4D-88CA-A4A489392B40}">
  <we:reference id="wa200001011" version="1.2.0.0" store="en-GB" storeType="OMEX"/>
  <we:alternateReferences>
    <we:reference id="wa200001011" version="1.2.0.0" store="en-GB"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7</TotalTime>
  <Pages>40</Pages>
  <Words>9097</Words>
  <Characters>48947</Characters>
  <Application>Microsoft Office Word</Application>
  <DocSecurity>0</DocSecurity>
  <Lines>1019</Lines>
  <Paragraphs>367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57677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Weichuang Yang</dc:creator>
  <cp:keywords/>
  <cp:lastModifiedBy>Microsoft Office User</cp:lastModifiedBy>
  <cp:revision>3</cp:revision>
  <cp:lastPrinted>2018-01-11T19:53:00Z</cp:lastPrinted>
  <dcterms:created xsi:type="dcterms:W3CDTF">2022-10-09T08:07:00Z</dcterms:created>
  <dcterms:modified xsi:type="dcterms:W3CDTF">2022-10-09T08:14:00Z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documentId_668</vt:lpwstr>
  </property>
  <property fmtid="{D5CDD505-2E9C-101B-9397-08002B2CF9AE}" pid="3" name="grammarly_documentContext">
    <vt:lpwstr>{"goals":[],"domain":"general","emotions":[],"dialect":"british"}</vt:lpwstr>
  </property>
</Properties>
</file>