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77571" w14:textId="77777777" w:rsidR="004A79E8" w:rsidRDefault="004A79E8" w:rsidP="004A79E8">
      <w:pPr>
        <w:spacing w:before="100" w:beforeAutospacing="1" w:after="100" w:afterAutospacing="1" w:line="360" w:lineRule="auto"/>
        <w:contextualSpacing/>
        <w:rPr>
          <w:rFonts w:asciiTheme="majorBidi" w:hAnsiTheme="majorBidi" w:cstheme="majorBidi"/>
        </w:rPr>
      </w:pPr>
      <w:r w:rsidRPr="003F0BCD">
        <w:rPr>
          <w:rFonts w:asciiTheme="majorBidi" w:hAnsiTheme="majorBidi" w:cstheme="majorBidi"/>
          <w:b/>
          <w:bCs/>
        </w:rPr>
        <w:t>Table 1.</w:t>
      </w:r>
      <w:r w:rsidRPr="003F0BCD">
        <w:rPr>
          <w:rFonts w:asciiTheme="majorBidi" w:hAnsiTheme="majorBidi" w:cstheme="majorBidi"/>
        </w:rPr>
        <w:t xml:space="preserve"> Sulfur content of organic and inorganic phases of studied samples measured by Rock-Eval7S programmed pyrolysis.</w:t>
      </w:r>
    </w:p>
    <w:p w14:paraId="44055543" w14:textId="28A36518" w:rsidR="004A79E8" w:rsidRDefault="004A79E8" w:rsidP="004A79E8">
      <w:pPr>
        <w:spacing w:before="100" w:beforeAutospacing="1" w:after="100" w:afterAutospacing="1" w:line="360" w:lineRule="auto"/>
        <w:contextualSpacing/>
        <w:rPr>
          <w:rFonts w:asciiTheme="majorBidi" w:hAnsiTheme="majorBidi" w:cstheme="majorBidi"/>
          <w:b/>
          <w:bCs/>
        </w:rPr>
      </w:pPr>
      <w:r w:rsidRPr="00104639">
        <w:rPr>
          <w:noProof/>
          <w:lang w:eastAsia="en-CA"/>
        </w:rPr>
        <w:drawing>
          <wp:inline distT="0" distB="0" distL="0" distR="0" wp14:anchorId="1F6A12A0" wp14:editId="435953D9">
            <wp:extent cx="5400040" cy="209613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21B3C" w14:textId="77777777" w:rsidR="004A79E8" w:rsidRDefault="004A79E8" w:rsidP="004A79E8">
      <w:pPr>
        <w:spacing w:before="100" w:beforeAutospacing="1" w:after="100" w:afterAutospacing="1" w:line="360" w:lineRule="auto"/>
        <w:contextualSpacing/>
        <w:rPr>
          <w:rFonts w:asciiTheme="majorBidi" w:hAnsiTheme="majorBidi" w:cstheme="majorBidi"/>
        </w:rPr>
      </w:pPr>
      <w:r w:rsidRPr="003F0BCD">
        <w:rPr>
          <w:rFonts w:asciiTheme="majorBidi" w:hAnsiTheme="majorBidi" w:cstheme="majorBidi"/>
          <w:b/>
          <w:bCs/>
        </w:rPr>
        <w:t>Table 2.</w:t>
      </w:r>
      <w:r w:rsidRPr="003F0BCD">
        <w:rPr>
          <w:rFonts w:asciiTheme="majorBidi" w:hAnsiTheme="majorBidi" w:cstheme="majorBidi"/>
        </w:rPr>
        <w:t xml:space="preserve"> Basic programmed pyrolysis results of immature and artificially matured samples.</w:t>
      </w:r>
    </w:p>
    <w:p w14:paraId="6A9E8644" w14:textId="5CDCCFE1" w:rsidR="004A79E8" w:rsidRDefault="004A79E8" w:rsidP="004A79E8">
      <w:pPr>
        <w:spacing w:before="100" w:beforeAutospacing="1" w:after="100" w:afterAutospacing="1" w:line="360" w:lineRule="auto"/>
        <w:contextualSpacing/>
        <w:rPr>
          <w:rFonts w:asciiTheme="majorBidi" w:hAnsiTheme="majorBidi" w:cstheme="majorBidi"/>
          <w:b/>
          <w:bCs/>
        </w:rPr>
      </w:pPr>
      <w:r w:rsidRPr="00C44991">
        <w:rPr>
          <w:rFonts w:ascii="Times New Roman" w:eastAsiaTheme="majorEastAsia" w:hAnsi="Times New Roman" w:cstheme="majorBidi"/>
          <w:noProof/>
          <w:kern w:val="2"/>
          <w:sz w:val="24"/>
          <w:lang w:eastAsia="en-CA"/>
        </w:rPr>
        <w:drawing>
          <wp:inline distT="0" distB="0" distL="0" distR="0" wp14:anchorId="1E1FD0A5" wp14:editId="4593FE9E">
            <wp:extent cx="5400040" cy="3765550"/>
            <wp:effectExtent l="0" t="0" r="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7842B" w14:textId="32907328" w:rsidR="004A79E8" w:rsidRDefault="004A79E8" w:rsidP="004A79E8">
      <w:pPr>
        <w:spacing w:before="100" w:beforeAutospacing="1" w:after="100" w:afterAutospacing="1" w:line="360" w:lineRule="auto"/>
        <w:contextualSpacing/>
        <w:rPr>
          <w:rFonts w:asciiTheme="majorBidi" w:hAnsiTheme="majorBidi" w:cstheme="majorBidi"/>
        </w:rPr>
      </w:pPr>
      <w:r w:rsidRPr="007C526F">
        <w:rPr>
          <w:rFonts w:asciiTheme="majorBidi" w:hAnsiTheme="majorBidi" w:cstheme="majorBidi"/>
          <w:b/>
          <w:bCs/>
        </w:rPr>
        <w:t>Table 3.</w:t>
      </w:r>
      <w:r w:rsidRPr="007C526F">
        <w:rPr>
          <w:rFonts w:asciiTheme="majorBidi" w:hAnsiTheme="majorBidi" w:cstheme="majorBidi"/>
        </w:rPr>
        <w:t xml:space="preserve"> Measured vitrinite reflectance, bitumen reflectance and %VR equivalent, and %</w:t>
      </w:r>
      <w:proofErr w:type="spellStart"/>
      <w:r w:rsidRPr="007C526F">
        <w:rPr>
          <w:rFonts w:asciiTheme="majorBidi" w:hAnsiTheme="majorBidi" w:cstheme="majorBidi"/>
        </w:rPr>
        <w:t>VRo</w:t>
      </w:r>
      <w:proofErr w:type="spellEnd"/>
      <w:r w:rsidRPr="007C526F">
        <w:rPr>
          <w:rFonts w:asciiTheme="majorBidi" w:hAnsiTheme="majorBidi" w:cstheme="majorBidi"/>
        </w:rPr>
        <w:t xml:space="preserve"> from </w:t>
      </w:r>
      <w:proofErr w:type="spellStart"/>
      <w:r w:rsidRPr="007C526F">
        <w:rPr>
          <w:rFonts w:asciiTheme="majorBidi" w:hAnsiTheme="majorBidi" w:cstheme="majorBidi"/>
        </w:rPr>
        <w:t>Tmax</w:t>
      </w:r>
      <w:proofErr w:type="spellEnd"/>
      <w:r w:rsidRPr="007C526F">
        <w:rPr>
          <w:rFonts w:asciiTheme="majorBidi" w:hAnsiTheme="majorBidi" w:cstheme="majorBidi"/>
        </w:rPr>
        <w:t>.  Bolded %</w:t>
      </w:r>
      <w:proofErr w:type="spellStart"/>
      <w:r w:rsidRPr="007C526F">
        <w:rPr>
          <w:rFonts w:asciiTheme="majorBidi" w:hAnsiTheme="majorBidi" w:cstheme="majorBidi"/>
        </w:rPr>
        <w:t>VRo</w:t>
      </w:r>
      <w:r w:rsidRPr="007C526F">
        <w:rPr>
          <w:rFonts w:asciiTheme="majorBidi" w:hAnsiTheme="majorBidi" w:cstheme="majorBidi"/>
          <w:vertAlign w:val="subscript"/>
        </w:rPr>
        <w:t>eqv</w:t>
      </w:r>
      <w:proofErr w:type="spellEnd"/>
      <w:r w:rsidRPr="007C526F">
        <w:rPr>
          <w:rFonts w:asciiTheme="majorBidi" w:hAnsiTheme="majorBidi" w:cstheme="majorBidi"/>
        </w:rPr>
        <w:t xml:space="preserve"> values were used for plotting against porosity data. Italicized data indicate secondary populations of bitumen. </w:t>
      </w:r>
      <w:proofErr w:type="spellStart"/>
      <w:r w:rsidRPr="007C526F">
        <w:rPr>
          <w:rFonts w:asciiTheme="majorBidi" w:hAnsiTheme="majorBidi" w:cstheme="majorBidi"/>
        </w:rPr>
        <w:t>na</w:t>
      </w:r>
      <w:proofErr w:type="spellEnd"/>
      <w:r w:rsidRPr="007C526F">
        <w:rPr>
          <w:rFonts w:asciiTheme="majorBidi" w:hAnsiTheme="majorBidi" w:cstheme="majorBidi"/>
        </w:rPr>
        <w:t xml:space="preserve">: no measured vitrinite particles, #: average of two to three measurements, *: anisotropic fine-grained mosaic pyrobitumen, 1: </w:t>
      </w:r>
      <w:proofErr w:type="spellStart"/>
      <w:r w:rsidRPr="007C526F">
        <w:rPr>
          <w:rFonts w:asciiTheme="majorBidi" w:hAnsiTheme="majorBidi" w:cstheme="majorBidi"/>
        </w:rPr>
        <w:t>Waliczek</w:t>
      </w:r>
      <w:proofErr w:type="spellEnd"/>
      <w:r w:rsidRPr="007C526F">
        <w:rPr>
          <w:rFonts w:asciiTheme="majorBidi" w:hAnsiTheme="majorBidi" w:cstheme="majorBidi"/>
        </w:rPr>
        <w:t xml:space="preserve"> et al., 2021.</w:t>
      </w:r>
    </w:p>
    <w:p w14:paraId="248CBB31" w14:textId="7A680155" w:rsidR="004A79E8" w:rsidRDefault="004A79E8" w:rsidP="004A79E8">
      <w:pPr>
        <w:spacing w:before="100" w:beforeAutospacing="1" w:after="100" w:afterAutospacing="1" w:line="360" w:lineRule="auto"/>
        <w:contextualSpacing/>
        <w:rPr>
          <w:rFonts w:asciiTheme="majorBidi" w:hAnsiTheme="majorBidi" w:cstheme="majorBidi"/>
          <w:b/>
          <w:bCs/>
          <w:lang w:val="en-US"/>
        </w:rPr>
      </w:pPr>
      <w:r w:rsidRPr="00ED0105">
        <w:rPr>
          <w:noProof/>
          <w:lang w:eastAsia="en-CA"/>
        </w:rPr>
        <w:lastRenderedPageBreak/>
        <w:drawing>
          <wp:inline distT="0" distB="0" distL="0" distR="0" wp14:anchorId="03081C1C" wp14:editId="692B05F5">
            <wp:extent cx="5760000" cy="4809708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80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C5398" w14:textId="194FC6DD" w:rsidR="004A79E8" w:rsidRPr="00DE7587" w:rsidRDefault="004A79E8" w:rsidP="004A79E8">
      <w:pPr>
        <w:spacing w:before="100" w:beforeAutospacing="1" w:after="100" w:afterAutospacing="1" w:line="360" w:lineRule="auto"/>
        <w:contextualSpacing/>
        <w:rPr>
          <w:rFonts w:asciiTheme="majorBidi" w:hAnsiTheme="majorBidi" w:cstheme="majorBidi"/>
          <w:b/>
          <w:bCs/>
          <w:lang w:val="en-US"/>
        </w:rPr>
      </w:pPr>
      <w:r w:rsidRPr="00DE7587">
        <w:rPr>
          <w:rFonts w:asciiTheme="majorBidi" w:hAnsiTheme="majorBidi" w:cstheme="majorBidi" w:hint="eastAsia"/>
          <w:b/>
          <w:bCs/>
          <w:lang w:val="en-US"/>
        </w:rPr>
        <w:t>Table 4</w:t>
      </w:r>
      <w:r w:rsidRPr="00DE7587">
        <w:rPr>
          <w:rFonts w:asciiTheme="majorBidi" w:hAnsiTheme="majorBidi" w:cstheme="majorBidi"/>
          <w:b/>
          <w:bCs/>
          <w:lang w:val="en-US"/>
        </w:rPr>
        <w:t xml:space="preserve">. </w:t>
      </w:r>
      <w:r w:rsidRPr="00DE7587">
        <w:rPr>
          <w:rFonts w:asciiTheme="majorBidi" w:hAnsiTheme="majorBidi" w:cstheme="majorBidi"/>
          <w:lang w:val="en-US"/>
        </w:rPr>
        <w:t>Pore volume from MICP and N</w:t>
      </w:r>
      <w:r w:rsidRPr="00DE7587">
        <w:rPr>
          <w:rFonts w:asciiTheme="majorBidi" w:hAnsiTheme="majorBidi" w:cstheme="majorBidi"/>
          <w:vertAlign w:val="subscript"/>
          <w:lang w:val="en-US"/>
        </w:rPr>
        <w:t>2</w:t>
      </w:r>
      <w:r w:rsidRPr="00DE7587">
        <w:rPr>
          <w:rFonts w:asciiTheme="majorBidi" w:hAnsiTheme="majorBidi" w:cstheme="majorBidi"/>
          <w:lang w:val="en-US"/>
        </w:rPr>
        <w:t>-adsorption</w:t>
      </w:r>
    </w:p>
    <w:p w14:paraId="3F3861D8" w14:textId="2D214B9D" w:rsidR="00A04D6D" w:rsidRDefault="004A79E8">
      <w:r w:rsidRPr="00431B84">
        <w:rPr>
          <w:noProof/>
          <w:lang w:eastAsia="en-CA"/>
        </w:rPr>
        <w:lastRenderedPageBreak/>
        <w:drawing>
          <wp:inline distT="0" distB="0" distL="0" distR="0" wp14:anchorId="715EA198" wp14:editId="566A4312">
            <wp:extent cx="2700000" cy="4559131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455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4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9E8"/>
    <w:rsid w:val="004A79E8"/>
    <w:rsid w:val="00A0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F5702"/>
  <w15:chartTrackingRefBased/>
  <w15:docId w15:val="{62D154FB-146F-4974-A0EA-D5BD56CE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9E8"/>
    <w:rPr>
      <w:rFonts w:eastAsia="MS Mincho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2022-10-14T03:07:00Z</dcterms:created>
  <dcterms:modified xsi:type="dcterms:W3CDTF">2022-10-14T03:12:00Z</dcterms:modified>
</cp:coreProperties>
</file>