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DBEE" w14:textId="77777777" w:rsidR="00691930" w:rsidRPr="00E355E7" w:rsidRDefault="00691930" w:rsidP="00691930">
      <w:pPr>
        <w:spacing w:before="100" w:beforeAutospacing="1" w:after="100" w:afterAutospacing="1" w:line="480" w:lineRule="auto"/>
        <w:rPr>
          <w:rFonts w:ascii="Times New Roman" w:eastAsia="Times New Roman" w:hAnsi="Times New Roman" w:cs="Times New Roman"/>
          <w:b/>
          <w:sz w:val="24"/>
          <w:szCs w:val="24"/>
        </w:rPr>
      </w:pPr>
      <w:bookmarkStart w:id="0" w:name="_Hlk100820161"/>
      <w:r w:rsidRPr="00E355E7">
        <w:rPr>
          <w:rFonts w:ascii="Times New Roman" w:eastAsia="Times New Roman" w:hAnsi="Times New Roman" w:cs="Times New Roman"/>
          <w:b/>
          <w:sz w:val="24"/>
          <w:szCs w:val="24"/>
        </w:rPr>
        <w:t>Supplemental Methods:</w:t>
      </w:r>
    </w:p>
    <w:bookmarkEnd w:id="0"/>
    <w:p w14:paraId="5DB8165F" w14:textId="5D517F71" w:rsidR="00691930" w:rsidRPr="00E355E7" w:rsidRDefault="00691930" w:rsidP="00691930">
      <w:pPr>
        <w:spacing w:before="100" w:beforeAutospacing="1" w:after="100" w:afterAutospacing="1" w:line="480" w:lineRule="auto"/>
        <w:rPr>
          <w:rFonts w:ascii="Times New Roman" w:eastAsia="Times New Roman" w:hAnsi="Times New Roman" w:cs="Times New Roman"/>
          <w:b/>
          <w:sz w:val="24"/>
          <w:szCs w:val="24"/>
        </w:rPr>
      </w:pPr>
      <w:r w:rsidRPr="00E355E7">
        <w:rPr>
          <w:rFonts w:ascii="Times New Roman" w:eastAsia="Times New Roman" w:hAnsi="Times New Roman" w:cs="Times New Roman"/>
          <w:b/>
          <w:sz w:val="24"/>
          <w:szCs w:val="24"/>
        </w:rPr>
        <w:t>Decomposition analysis:</w:t>
      </w:r>
    </w:p>
    <w:p w14:paraId="7A3F1D57" w14:textId="42F3134A" w:rsidR="00691930" w:rsidRPr="00E355E7" w:rsidRDefault="00691930" w:rsidP="00FF62B1">
      <w:pPr>
        <w:spacing w:before="100" w:beforeAutospacing="1" w:after="100" w:afterAutospacing="1" w:line="480" w:lineRule="auto"/>
        <w:jc w:val="both"/>
        <w:rPr>
          <w:rFonts w:ascii="Times New Roman" w:eastAsia="Times New Roman" w:hAnsi="Times New Roman" w:cs="Times New Roman"/>
          <w:sz w:val="24"/>
          <w:szCs w:val="24"/>
        </w:rPr>
      </w:pPr>
      <w:r w:rsidRPr="00E355E7">
        <w:rPr>
          <w:rFonts w:ascii="Times New Roman" w:eastAsia="Times New Roman" w:hAnsi="Times New Roman" w:cs="Times New Roman"/>
          <w:sz w:val="24"/>
          <w:szCs w:val="24"/>
        </w:rPr>
        <w:t>We first used the decomposition methodology of Das Gupta</w:t>
      </w:r>
      <w:r w:rsidRPr="00E355E7">
        <w:rPr>
          <w:rFonts w:ascii="Times New Roman" w:eastAsia="Times New Roman" w:hAnsi="Times New Roman" w:cs="Times New Roman"/>
          <w:sz w:val="24"/>
          <w:szCs w:val="24"/>
        </w:rPr>
        <w:fldChar w:fldCharType="begin">
          <w:fldData xml:space="preserve">PEVuZE5vdGU+PENpdGU+PEF1dGhvcj5QLjwvQXV0aG9yPjxZZWFyPjE5OTM8L1llYXI+PFJlY051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</w:fldData>
        </w:fldChar>
      </w:r>
      <w:r w:rsidR="00C555F8">
        <w:rPr>
          <w:rFonts w:ascii="Times New Roman" w:eastAsia="Times New Roman" w:hAnsi="Times New Roman" w:cs="Times New Roman"/>
          <w:sz w:val="24"/>
          <w:szCs w:val="24"/>
        </w:rPr>
        <w:instrText xml:space="preserve"> ADDIN EN.CITE </w:instrText>
      </w:r>
      <w:r w:rsidR="00C555F8">
        <w:rPr>
          <w:rFonts w:ascii="Times New Roman" w:eastAsia="Times New Roman" w:hAnsi="Times New Roman" w:cs="Times New Roman"/>
          <w:sz w:val="24"/>
          <w:szCs w:val="24"/>
        </w:rPr>
        <w:fldChar w:fldCharType="begin">
          <w:fldData xml:space="preserve">PEVuZE5vdGU+PENpdGU+PEF1dGhvcj5QLjwvQXV0aG9yPjxZZWFyPjE5OTM8L1llYXI+PFJlY051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</w:fldData>
        </w:fldChar>
      </w:r>
      <w:r w:rsidR="00C555F8">
        <w:rPr>
          <w:rFonts w:ascii="Times New Roman" w:eastAsia="Times New Roman" w:hAnsi="Times New Roman" w:cs="Times New Roman"/>
          <w:sz w:val="24"/>
          <w:szCs w:val="24"/>
        </w:rPr>
        <w:instrText xml:space="preserve"> ADDIN EN.CITE.DATA </w:instrText>
      </w:r>
      <w:r w:rsidR="00C555F8">
        <w:rPr>
          <w:rFonts w:ascii="Times New Roman" w:eastAsia="Times New Roman" w:hAnsi="Times New Roman" w:cs="Times New Roman"/>
          <w:sz w:val="24"/>
          <w:szCs w:val="24"/>
        </w:rPr>
      </w:r>
      <w:r w:rsidR="00C555F8">
        <w:rPr>
          <w:rFonts w:ascii="Times New Roman" w:eastAsia="Times New Roman" w:hAnsi="Times New Roman" w:cs="Times New Roman"/>
          <w:sz w:val="24"/>
          <w:szCs w:val="24"/>
        </w:rPr>
        <w:fldChar w:fldCharType="end"/>
      </w:r>
      <w:r w:rsidRPr="00E355E7">
        <w:rPr>
          <w:rFonts w:ascii="Times New Roman" w:eastAsia="Times New Roman" w:hAnsi="Times New Roman" w:cs="Times New Roman"/>
          <w:sz w:val="24"/>
          <w:szCs w:val="24"/>
        </w:rPr>
      </w:r>
      <w:r w:rsidRPr="00E355E7">
        <w:rPr>
          <w:rFonts w:ascii="Times New Roman" w:eastAsia="Times New Roman" w:hAnsi="Times New Roman" w:cs="Times New Roman"/>
          <w:sz w:val="24"/>
          <w:szCs w:val="24"/>
        </w:rPr>
        <w:fldChar w:fldCharType="separate"/>
      </w:r>
      <w:r w:rsidR="00C555F8">
        <w:rPr>
          <w:rFonts w:ascii="Times New Roman" w:eastAsia="Times New Roman" w:hAnsi="Times New Roman" w:cs="Times New Roman"/>
          <w:noProof/>
          <w:sz w:val="24"/>
          <w:szCs w:val="24"/>
        </w:rPr>
        <w:t>(7-9)</w:t>
      </w:r>
      <w:r w:rsidRPr="00E355E7">
        <w:rPr>
          <w:rFonts w:ascii="Times New Roman" w:eastAsia="Times New Roman" w:hAnsi="Times New Roman" w:cs="Times New Roman"/>
          <w:sz w:val="24"/>
          <w:szCs w:val="24"/>
        </w:rPr>
        <w:fldChar w:fldCharType="end"/>
      </w:r>
      <w:r w:rsidRPr="00E355E7">
        <w:rPr>
          <w:rFonts w:ascii="Times New Roman" w:eastAsia="Times New Roman" w:hAnsi="Times New Roman" w:cs="Times New Roman"/>
          <w:sz w:val="24"/>
          <w:szCs w:val="24"/>
        </w:rPr>
        <w:t xml:space="preserve"> to decompose </w:t>
      </w:r>
      <w:r w:rsidR="00A91456" w:rsidRPr="00E355E7">
        <w:rPr>
          <w:rFonts w:ascii="Times New Roman" w:eastAsia="Times New Roman" w:hAnsi="Times New Roman" w:cs="Times New Roman"/>
          <w:sz w:val="24"/>
          <w:szCs w:val="24"/>
        </w:rPr>
        <w:t>GORD</w:t>
      </w:r>
      <w:r w:rsidRPr="00E355E7">
        <w:rPr>
          <w:rFonts w:ascii="Times New Roman" w:eastAsia="Times New Roman" w:hAnsi="Times New Roman" w:cs="Times New Roman"/>
          <w:sz w:val="24"/>
          <w:szCs w:val="24"/>
        </w:rPr>
        <w:t xml:space="preserve">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s by population age structure, population growth, and epidemiologic changes. The number of Y</w:t>
      </w:r>
      <w:r w:rsidR="00A91456" w:rsidRPr="00E355E7">
        <w:rPr>
          <w:rFonts w:ascii="Times New Roman" w:eastAsia="Times New Roman" w:hAnsi="Times New Roman" w:cs="Times New Roman"/>
          <w:sz w:val="24"/>
          <w:szCs w:val="24"/>
        </w:rPr>
        <w:t>LD</w:t>
      </w:r>
      <w:r w:rsidRPr="00E355E7">
        <w:rPr>
          <w:rFonts w:ascii="Times New Roman" w:eastAsia="Times New Roman" w:hAnsi="Times New Roman" w:cs="Times New Roman"/>
          <w:sz w:val="24"/>
          <w:szCs w:val="24"/>
        </w:rPr>
        <w:t>s at each location was obtained from the following formula:</w:t>
      </w:r>
    </w:p>
    <w:p w14:paraId="625582D9" w14:textId="5A4530B9" w:rsidR="00691930" w:rsidRPr="00E355E7" w:rsidRDefault="00A91456" w:rsidP="00FF62B1">
      <w:pPr>
        <w:spacing w:before="100" w:beforeAutospacing="1" w:after="100" w:afterAutospacing="1" w:line="480" w:lineRule="auto"/>
        <w:jc w:val="both"/>
        <w:rPr>
          <w:rFonts w:ascii="Times New Roman" w:eastAsia="Times New Roman" w:hAnsi="Times New Roman" w:cs="Times New Roman"/>
          <w:sz w:val="24"/>
          <w:szCs w:val="24"/>
        </w:rPr>
      </w:pPr>
      <w:r w:rsidRPr="00E355E7">
        <w:rPr>
          <w:rFonts w:ascii="Times New Roman" w:eastAsia="Times New Roman" w:hAnsi="Times New Roman" w:cs="Times New Roman"/>
          <w:sz w:val="24"/>
          <w:szCs w:val="24"/>
        </w:rPr>
        <w:t>YLD</w:t>
      </w:r>
      <w:r w:rsidR="00691930" w:rsidRPr="00E355E7">
        <w:rPr>
          <w:rFonts w:ascii="Times New Roman" w:eastAsia="Times New Roman" w:hAnsi="Times New Roman" w:cs="Times New Roman"/>
          <w:sz w:val="24"/>
          <w:szCs w:val="24"/>
        </w:rPr>
        <w:t xml:space="preserve"> </w:t>
      </w:r>
      <w:r w:rsidR="00691930" w:rsidRPr="00E355E7">
        <w:rPr>
          <w:rFonts w:ascii="Times New Roman" w:eastAsia="Times New Roman" w:hAnsi="Times New Roman" w:cs="Times New Roman"/>
          <w:sz w:val="24"/>
          <w:szCs w:val="24"/>
          <w:vertAlign w:val="subscript"/>
        </w:rPr>
        <w:t xml:space="preserve">ay, </w:t>
      </w:r>
      <w:proofErr w:type="spellStart"/>
      <w:r w:rsidR="00691930" w:rsidRPr="00E355E7">
        <w:rPr>
          <w:rFonts w:ascii="Times New Roman" w:eastAsia="Times New Roman" w:hAnsi="Times New Roman" w:cs="Times New Roman"/>
          <w:sz w:val="24"/>
          <w:szCs w:val="24"/>
          <w:vertAlign w:val="subscript"/>
        </w:rPr>
        <w:t>py</w:t>
      </w:r>
      <w:proofErr w:type="spellEnd"/>
      <w:r w:rsidR="00691930" w:rsidRPr="00E355E7">
        <w:rPr>
          <w:rFonts w:ascii="Times New Roman" w:eastAsia="Times New Roman" w:hAnsi="Times New Roman" w:cs="Times New Roman"/>
          <w:sz w:val="24"/>
          <w:szCs w:val="24"/>
          <w:vertAlign w:val="subscript"/>
        </w:rPr>
        <w:t xml:space="preserve">, </w:t>
      </w:r>
      <w:proofErr w:type="spellStart"/>
      <w:r w:rsidR="00691930" w:rsidRPr="00E355E7">
        <w:rPr>
          <w:rFonts w:ascii="Times New Roman" w:eastAsia="Times New Roman" w:hAnsi="Times New Roman" w:cs="Times New Roman"/>
          <w:sz w:val="24"/>
          <w:szCs w:val="24"/>
          <w:vertAlign w:val="subscript"/>
        </w:rPr>
        <w:t>ey</w:t>
      </w:r>
      <w:proofErr w:type="spellEnd"/>
      <w:r w:rsidR="00691930" w:rsidRPr="00E355E7">
        <w:rPr>
          <w:rFonts w:ascii="Times New Roman" w:eastAsia="Times New Roman" w:hAnsi="Times New Roman" w:cs="Times New Roman"/>
          <w:sz w:val="24"/>
          <w:szCs w:val="24"/>
        </w:rPr>
        <w:t xml:space="preserve"> = </w:t>
      </w:r>
      <m:oMath>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20</m:t>
            </m:r>
          </m:sup>
          <m:e>
            <m:r>
              <w:rPr>
                <w:rFonts w:ascii="Cambria Math" w:eastAsia="Times New Roman" w:hAnsi="Cambria Math" w:cs="Times New Roman"/>
                <w:sz w:val="24"/>
                <w:szCs w:val="24"/>
              </w:rPr>
              <m:t>(</m:t>
            </m:r>
          </m:e>
        </m:nary>
      </m:oMath>
      <w:r w:rsidR="00691930" w:rsidRPr="00E355E7">
        <w:rPr>
          <w:rFonts w:ascii="Times New Roman" w:eastAsia="Times New Roman" w:hAnsi="Times New Roman" w:cs="Times New Roman"/>
          <w:sz w:val="24"/>
          <w:szCs w:val="24"/>
        </w:rPr>
        <w:t xml:space="preserve">a </w:t>
      </w:r>
      <w:proofErr w:type="spellStart"/>
      <w:r w:rsidR="00691930" w:rsidRPr="00E355E7">
        <w:rPr>
          <w:rFonts w:ascii="Times New Roman" w:eastAsia="Times New Roman" w:hAnsi="Times New Roman" w:cs="Times New Roman"/>
          <w:sz w:val="24"/>
          <w:szCs w:val="24"/>
          <w:vertAlign w:val="subscript"/>
        </w:rPr>
        <w:t>i</w:t>
      </w:r>
      <w:proofErr w:type="spellEnd"/>
      <w:r w:rsidR="00691930" w:rsidRPr="00E355E7">
        <w:rPr>
          <w:rFonts w:ascii="Times New Roman" w:eastAsia="Times New Roman" w:hAnsi="Times New Roman" w:cs="Times New Roman"/>
          <w:sz w:val="24"/>
          <w:szCs w:val="24"/>
          <w:vertAlign w:val="subscript"/>
        </w:rPr>
        <w:t>, y</w:t>
      </w:r>
      <w:r w:rsidR="00691930" w:rsidRPr="00E355E7">
        <w:rPr>
          <w:rFonts w:ascii="Times New Roman" w:eastAsia="Times New Roman" w:hAnsi="Times New Roman" w:cs="Times New Roman"/>
          <w:sz w:val="24"/>
          <w:szCs w:val="24"/>
        </w:rPr>
        <w:t xml:space="preserve"> * p </w:t>
      </w:r>
      <w:r w:rsidR="00691930" w:rsidRPr="00E355E7">
        <w:rPr>
          <w:rFonts w:ascii="Times New Roman" w:eastAsia="Times New Roman" w:hAnsi="Times New Roman" w:cs="Times New Roman"/>
          <w:sz w:val="24"/>
          <w:szCs w:val="24"/>
          <w:vertAlign w:val="subscript"/>
        </w:rPr>
        <w:t>y</w:t>
      </w:r>
      <w:r w:rsidR="00691930" w:rsidRPr="00E355E7">
        <w:rPr>
          <w:rFonts w:ascii="Times New Roman" w:eastAsia="Times New Roman" w:hAnsi="Times New Roman" w:cs="Times New Roman"/>
          <w:sz w:val="24"/>
          <w:szCs w:val="24"/>
        </w:rPr>
        <w:t xml:space="preserve"> * e </w:t>
      </w:r>
      <w:proofErr w:type="spellStart"/>
      <w:r w:rsidR="00691930" w:rsidRPr="00E355E7">
        <w:rPr>
          <w:rFonts w:ascii="Times New Roman" w:eastAsia="Times New Roman" w:hAnsi="Times New Roman" w:cs="Times New Roman"/>
          <w:sz w:val="24"/>
          <w:szCs w:val="24"/>
          <w:vertAlign w:val="subscript"/>
        </w:rPr>
        <w:t>i</w:t>
      </w:r>
      <w:proofErr w:type="spellEnd"/>
      <w:r w:rsidR="00691930" w:rsidRPr="00E355E7">
        <w:rPr>
          <w:rFonts w:ascii="Times New Roman" w:eastAsia="Times New Roman" w:hAnsi="Times New Roman" w:cs="Times New Roman"/>
          <w:sz w:val="24"/>
          <w:szCs w:val="24"/>
          <w:vertAlign w:val="subscript"/>
        </w:rPr>
        <w:t>, y</w:t>
      </w:r>
      <w:r w:rsidR="00691930" w:rsidRPr="00E355E7">
        <w:rPr>
          <w:rFonts w:ascii="Times New Roman" w:eastAsia="Times New Roman" w:hAnsi="Times New Roman" w:cs="Times New Roman"/>
          <w:sz w:val="24"/>
          <w:szCs w:val="24"/>
        </w:rPr>
        <w:t>)</w:t>
      </w:r>
    </w:p>
    <w:p w14:paraId="05899C92" w14:textId="174B4B1A" w:rsidR="00691930" w:rsidRPr="00E355E7" w:rsidRDefault="00691930" w:rsidP="00FF62B1">
      <w:pPr>
        <w:spacing w:before="100" w:beforeAutospacing="1" w:after="100" w:afterAutospacing="1" w:line="480" w:lineRule="auto"/>
        <w:jc w:val="both"/>
        <w:rPr>
          <w:rFonts w:ascii="Times New Roman" w:eastAsia="Times New Roman" w:hAnsi="Times New Roman" w:cs="Times New Roman"/>
          <w:sz w:val="24"/>
          <w:szCs w:val="24"/>
        </w:rPr>
      </w:pPr>
      <w:r w:rsidRPr="00E355E7">
        <w:rPr>
          <w:rFonts w:ascii="Times New Roman" w:eastAsia="Times New Roman" w:hAnsi="Times New Roman" w:cs="Times New Roman"/>
          <w:sz w:val="24"/>
          <w:szCs w:val="24"/>
        </w:rPr>
        <w:t xml:space="preserve">Where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 </w:t>
      </w:r>
      <w:r w:rsidRPr="00E355E7">
        <w:rPr>
          <w:rFonts w:ascii="Times New Roman" w:eastAsia="Times New Roman" w:hAnsi="Times New Roman" w:cs="Times New Roman"/>
          <w:sz w:val="24"/>
          <w:szCs w:val="24"/>
          <w:vertAlign w:val="subscript"/>
        </w:rPr>
        <w:t xml:space="preserve">ay, </w:t>
      </w:r>
      <w:proofErr w:type="spellStart"/>
      <w:r w:rsidRPr="00E355E7">
        <w:rPr>
          <w:rFonts w:ascii="Times New Roman" w:eastAsia="Times New Roman" w:hAnsi="Times New Roman" w:cs="Times New Roman"/>
          <w:sz w:val="24"/>
          <w:szCs w:val="24"/>
          <w:vertAlign w:val="subscript"/>
        </w:rPr>
        <w:t>py</w:t>
      </w:r>
      <w:proofErr w:type="spellEnd"/>
      <w:r w:rsidRPr="00E355E7">
        <w:rPr>
          <w:rFonts w:ascii="Times New Roman" w:eastAsia="Times New Roman" w:hAnsi="Times New Roman" w:cs="Times New Roman"/>
          <w:sz w:val="24"/>
          <w:szCs w:val="24"/>
          <w:vertAlign w:val="subscript"/>
        </w:rPr>
        <w:t xml:space="preserve">, </w:t>
      </w:r>
      <w:proofErr w:type="spellStart"/>
      <w:r w:rsidRPr="00E355E7">
        <w:rPr>
          <w:rFonts w:ascii="Times New Roman" w:eastAsia="Times New Roman" w:hAnsi="Times New Roman" w:cs="Times New Roman"/>
          <w:sz w:val="24"/>
          <w:szCs w:val="24"/>
          <w:vertAlign w:val="subscript"/>
        </w:rPr>
        <w:t>ey</w:t>
      </w:r>
      <w:proofErr w:type="spellEnd"/>
      <w:r w:rsidRPr="00E355E7">
        <w:rPr>
          <w:rFonts w:ascii="Times New Roman" w:eastAsia="Times New Roman" w:hAnsi="Times New Roman" w:cs="Times New Roman"/>
          <w:sz w:val="24"/>
          <w:szCs w:val="24"/>
        </w:rPr>
        <w:t xml:space="preserve"> represented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s based on the factors of age structure, population, and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s rate for specific year y; a </w:t>
      </w:r>
      <w:proofErr w:type="spellStart"/>
      <w:r w:rsidRPr="00E355E7">
        <w:rPr>
          <w:rFonts w:ascii="Times New Roman" w:eastAsia="Times New Roman" w:hAnsi="Times New Roman" w:cs="Times New Roman"/>
          <w:sz w:val="24"/>
          <w:szCs w:val="24"/>
          <w:vertAlign w:val="subscript"/>
        </w:rPr>
        <w:t>i</w:t>
      </w:r>
      <w:proofErr w:type="spellEnd"/>
      <w:r w:rsidRPr="00E355E7">
        <w:rPr>
          <w:rFonts w:ascii="Times New Roman" w:eastAsia="Times New Roman" w:hAnsi="Times New Roman" w:cs="Times New Roman"/>
          <w:sz w:val="24"/>
          <w:szCs w:val="24"/>
        </w:rPr>
        <w:t xml:space="preserve"> </w:t>
      </w:r>
      <w:r w:rsidRPr="00E355E7">
        <w:rPr>
          <w:rFonts w:ascii="Times New Roman" w:eastAsia="Times New Roman" w:hAnsi="Times New Roman" w:cs="Times New Roman"/>
          <w:sz w:val="24"/>
          <w:szCs w:val="24"/>
          <w:vertAlign w:val="subscript"/>
        </w:rPr>
        <w:t>y</w:t>
      </w:r>
      <w:r w:rsidRPr="00E355E7">
        <w:rPr>
          <w:rFonts w:ascii="Times New Roman" w:eastAsia="Times New Roman" w:hAnsi="Times New Roman" w:cs="Times New Roman"/>
          <w:sz w:val="24"/>
          <w:szCs w:val="24"/>
        </w:rPr>
        <w:t xml:space="preserve"> represents the proportion of population for the age category </w:t>
      </w:r>
      <w:proofErr w:type="spellStart"/>
      <w:r w:rsidRPr="00E355E7">
        <w:rPr>
          <w:rFonts w:ascii="Times New Roman" w:eastAsia="Times New Roman" w:hAnsi="Times New Roman" w:cs="Times New Roman"/>
          <w:sz w:val="24"/>
          <w:szCs w:val="24"/>
        </w:rPr>
        <w:t>i</w:t>
      </w:r>
      <w:proofErr w:type="spellEnd"/>
      <w:r w:rsidRPr="00E355E7">
        <w:rPr>
          <w:rFonts w:ascii="Times New Roman" w:eastAsia="Times New Roman" w:hAnsi="Times New Roman" w:cs="Times New Roman"/>
          <w:sz w:val="24"/>
          <w:szCs w:val="24"/>
        </w:rPr>
        <w:t xml:space="preserve"> of the 20 age categories in given year y; p </w:t>
      </w:r>
      <w:r w:rsidRPr="00E355E7">
        <w:rPr>
          <w:rFonts w:ascii="Times New Roman" w:eastAsia="Times New Roman" w:hAnsi="Times New Roman" w:cs="Times New Roman"/>
          <w:sz w:val="24"/>
          <w:szCs w:val="24"/>
          <w:vertAlign w:val="subscript"/>
        </w:rPr>
        <w:t>y</w:t>
      </w:r>
      <w:r w:rsidRPr="00E355E7">
        <w:rPr>
          <w:rFonts w:ascii="Times New Roman" w:eastAsia="Times New Roman" w:hAnsi="Times New Roman" w:cs="Times New Roman"/>
          <w:sz w:val="24"/>
          <w:szCs w:val="24"/>
        </w:rPr>
        <w:t xml:space="preserve"> represents the total population in given year y; and e </w:t>
      </w:r>
      <w:proofErr w:type="spellStart"/>
      <w:r w:rsidRPr="00E355E7">
        <w:rPr>
          <w:rFonts w:ascii="Times New Roman" w:eastAsia="Times New Roman" w:hAnsi="Times New Roman" w:cs="Times New Roman"/>
          <w:sz w:val="24"/>
          <w:szCs w:val="24"/>
          <w:vertAlign w:val="subscript"/>
        </w:rPr>
        <w:t>i</w:t>
      </w:r>
      <w:proofErr w:type="spellEnd"/>
      <w:r w:rsidRPr="00E355E7">
        <w:rPr>
          <w:rFonts w:ascii="Times New Roman" w:eastAsia="Times New Roman" w:hAnsi="Times New Roman" w:cs="Times New Roman"/>
          <w:sz w:val="24"/>
          <w:szCs w:val="24"/>
          <w:vertAlign w:val="subscript"/>
        </w:rPr>
        <w:t>, y</w:t>
      </w:r>
      <w:r w:rsidRPr="00E355E7">
        <w:rPr>
          <w:rFonts w:ascii="Times New Roman" w:eastAsia="Times New Roman" w:hAnsi="Times New Roman" w:cs="Times New Roman"/>
          <w:sz w:val="24"/>
          <w:szCs w:val="24"/>
        </w:rPr>
        <w:t xml:space="preserve"> represents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s rate given age category </w:t>
      </w:r>
      <w:proofErr w:type="spellStart"/>
      <w:r w:rsidRPr="00E355E7">
        <w:rPr>
          <w:rFonts w:ascii="Times New Roman" w:eastAsia="Times New Roman" w:hAnsi="Times New Roman" w:cs="Times New Roman"/>
          <w:sz w:val="24"/>
          <w:szCs w:val="24"/>
        </w:rPr>
        <w:t>i</w:t>
      </w:r>
      <w:proofErr w:type="spellEnd"/>
      <w:r w:rsidRPr="00E355E7">
        <w:rPr>
          <w:rFonts w:ascii="Times New Roman" w:eastAsia="Times New Roman" w:hAnsi="Times New Roman" w:cs="Times New Roman"/>
          <w:sz w:val="24"/>
          <w:szCs w:val="24"/>
        </w:rPr>
        <w:t xml:space="preserve"> in year y. The contribution of each factor to the change in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s from 1990 to 201</w:t>
      </w:r>
      <w:r w:rsidR="00A91456" w:rsidRPr="00E355E7">
        <w:rPr>
          <w:rFonts w:ascii="Times New Roman" w:eastAsia="Times New Roman" w:hAnsi="Times New Roman" w:cs="Times New Roman"/>
          <w:sz w:val="24"/>
          <w:szCs w:val="24"/>
        </w:rPr>
        <w:t>9</w:t>
      </w:r>
      <w:r w:rsidRPr="00E355E7">
        <w:rPr>
          <w:rFonts w:ascii="Times New Roman" w:eastAsia="Times New Roman" w:hAnsi="Times New Roman" w:cs="Times New Roman"/>
          <w:sz w:val="24"/>
          <w:szCs w:val="24"/>
        </w:rPr>
        <w:t xml:space="preserve"> was defined by the effect of one factor changing while the other factors were held constant. For example, the effect of age structure was calculated as: </w:t>
      </w:r>
    </w:p>
    <w:p w14:paraId="0B48496F" w14:textId="3D1FF270" w:rsidR="00691930" w:rsidRPr="00E355E7" w:rsidRDefault="00691930" w:rsidP="00FF62B1">
      <w:pPr>
        <w:spacing w:before="100" w:beforeAutospacing="1" w:after="100" w:afterAutospacing="1" w:line="480" w:lineRule="auto"/>
        <w:jc w:val="both"/>
        <w:rPr>
          <w:rFonts w:ascii="Times New Roman" w:eastAsia="Times New Roman" w:hAnsi="Times New Roman" w:cs="Times New Roman"/>
          <w:sz w:val="24"/>
          <w:szCs w:val="24"/>
        </w:rPr>
      </w:pPr>
      <w:r w:rsidRPr="00E355E7">
        <w:rPr>
          <w:rFonts w:ascii="Times New Roman" w:eastAsia="Times New Roman" w:hAnsi="Times New Roman" w:cs="Times New Roman"/>
          <w:sz w:val="24"/>
          <w:szCs w:val="24"/>
        </w:rPr>
        <w:t>[(</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 </w:t>
      </w:r>
      <w:r w:rsidRPr="00E355E7">
        <w:rPr>
          <w:rFonts w:ascii="Times New Roman" w:eastAsia="Times New Roman" w:hAnsi="Times New Roman" w:cs="Times New Roman"/>
          <w:sz w:val="24"/>
          <w:szCs w:val="24"/>
          <w:vertAlign w:val="subscript"/>
        </w:rPr>
        <w:t>a2019, p1990, e1990</w:t>
      </w:r>
      <w:r w:rsidRPr="00E355E7">
        <w:rPr>
          <w:rFonts w:ascii="Times New Roman" w:eastAsia="Times New Roman" w:hAnsi="Times New Roman" w:cs="Times New Roman"/>
          <w:sz w:val="24"/>
          <w:szCs w:val="24"/>
        </w:rPr>
        <w:t xml:space="preserve"> +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 </w:t>
      </w:r>
      <w:r w:rsidRPr="00E355E7">
        <w:rPr>
          <w:rFonts w:ascii="Times New Roman" w:eastAsia="Times New Roman" w:hAnsi="Times New Roman" w:cs="Times New Roman"/>
          <w:sz w:val="24"/>
          <w:szCs w:val="24"/>
          <w:vertAlign w:val="subscript"/>
        </w:rPr>
        <w:t>a2019, p2019, e2019</w:t>
      </w:r>
      <w:r w:rsidRPr="00E355E7">
        <w:rPr>
          <w:rFonts w:ascii="Times New Roman" w:eastAsia="Times New Roman" w:hAnsi="Times New Roman" w:cs="Times New Roman"/>
          <w:sz w:val="24"/>
          <w:szCs w:val="24"/>
        </w:rPr>
        <w:t>)/3+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vertAlign w:val="subscript"/>
        </w:rPr>
        <w:t xml:space="preserve"> a2019, p1990, e2019</w:t>
      </w:r>
      <w:r w:rsidRPr="00E355E7">
        <w:rPr>
          <w:rFonts w:ascii="Times New Roman" w:eastAsia="Times New Roman" w:hAnsi="Times New Roman" w:cs="Times New Roman"/>
          <w:sz w:val="24"/>
          <w:szCs w:val="24"/>
        </w:rPr>
        <w:t xml:space="preserve"> +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vertAlign w:val="subscript"/>
        </w:rPr>
        <w:t xml:space="preserve"> a2019, p2019, e1990</w:t>
      </w:r>
      <w:r w:rsidRPr="00E355E7">
        <w:rPr>
          <w:rFonts w:ascii="Times New Roman" w:eastAsia="Times New Roman" w:hAnsi="Times New Roman" w:cs="Times New Roman"/>
          <w:sz w:val="24"/>
          <w:szCs w:val="24"/>
        </w:rPr>
        <w:t>)/6] -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 </w:t>
      </w:r>
      <w:r w:rsidRPr="00E355E7">
        <w:rPr>
          <w:rFonts w:ascii="Times New Roman" w:eastAsia="Times New Roman" w:hAnsi="Times New Roman" w:cs="Times New Roman"/>
          <w:sz w:val="24"/>
          <w:szCs w:val="24"/>
          <w:vertAlign w:val="subscript"/>
        </w:rPr>
        <w:t>a1990, p2019, e2019</w:t>
      </w:r>
      <w:r w:rsidRPr="00E355E7">
        <w:rPr>
          <w:rFonts w:ascii="Times New Roman" w:eastAsia="Times New Roman" w:hAnsi="Times New Roman" w:cs="Times New Roman"/>
          <w:sz w:val="24"/>
          <w:szCs w:val="24"/>
        </w:rPr>
        <w:t xml:space="preserve"> +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rPr>
        <w:t xml:space="preserve"> </w:t>
      </w:r>
      <w:r w:rsidRPr="00E355E7">
        <w:rPr>
          <w:rFonts w:ascii="Times New Roman" w:eastAsia="Times New Roman" w:hAnsi="Times New Roman" w:cs="Times New Roman"/>
          <w:sz w:val="24"/>
          <w:szCs w:val="24"/>
          <w:vertAlign w:val="subscript"/>
        </w:rPr>
        <w:t>a1990, p1990, e1990</w:t>
      </w:r>
      <w:r w:rsidRPr="00E355E7">
        <w:rPr>
          <w:rFonts w:ascii="Times New Roman" w:eastAsia="Times New Roman" w:hAnsi="Times New Roman" w:cs="Times New Roman"/>
          <w:sz w:val="24"/>
          <w:szCs w:val="24"/>
        </w:rPr>
        <w:t>)/3+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vertAlign w:val="subscript"/>
        </w:rPr>
        <w:t xml:space="preserve"> a1990, p2019, e1990</w:t>
      </w:r>
      <w:r w:rsidRPr="00E355E7">
        <w:rPr>
          <w:rFonts w:ascii="Times New Roman" w:eastAsia="Times New Roman" w:hAnsi="Times New Roman" w:cs="Times New Roman"/>
          <w:sz w:val="24"/>
          <w:szCs w:val="24"/>
        </w:rPr>
        <w:t xml:space="preserve"> + </w:t>
      </w:r>
      <w:r w:rsidR="00A91456" w:rsidRPr="00E355E7">
        <w:rPr>
          <w:rFonts w:ascii="Times New Roman" w:eastAsia="Times New Roman" w:hAnsi="Times New Roman" w:cs="Times New Roman"/>
          <w:sz w:val="24"/>
          <w:szCs w:val="24"/>
        </w:rPr>
        <w:t>YLD</w:t>
      </w:r>
      <w:r w:rsidRPr="00E355E7">
        <w:rPr>
          <w:rFonts w:ascii="Times New Roman" w:eastAsia="Times New Roman" w:hAnsi="Times New Roman" w:cs="Times New Roman"/>
          <w:sz w:val="24"/>
          <w:szCs w:val="24"/>
          <w:vertAlign w:val="subscript"/>
        </w:rPr>
        <w:t xml:space="preserve"> a1990, p1990, e2019</w:t>
      </w:r>
      <w:r w:rsidRPr="00E355E7">
        <w:rPr>
          <w:rFonts w:ascii="Times New Roman" w:eastAsia="Times New Roman" w:hAnsi="Times New Roman" w:cs="Times New Roman"/>
          <w:sz w:val="24"/>
          <w:szCs w:val="24"/>
        </w:rPr>
        <w:t>)/6]</w:t>
      </w:r>
    </w:p>
    <w:p w14:paraId="0652BBB5" w14:textId="77777777" w:rsidR="00FE0D55" w:rsidRPr="00E355E7" w:rsidRDefault="00FE0D55" w:rsidP="00FE0D55">
      <w:pPr>
        <w:spacing w:before="100" w:beforeAutospacing="1" w:after="100" w:afterAutospacing="1" w:line="480" w:lineRule="auto"/>
        <w:rPr>
          <w:rFonts w:ascii="Times New Roman" w:eastAsia="Times New Roman" w:hAnsi="Times New Roman" w:cs="Times New Roman"/>
          <w:b/>
          <w:color w:val="000000" w:themeColor="text1"/>
          <w:sz w:val="24"/>
          <w:szCs w:val="24"/>
        </w:rPr>
      </w:pPr>
    </w:p>
    <w:p w14:paraId="36D5A6C7" w14:textId="6FF78914" w:rsidR="00FE0D55" w:rsidRPr="00E355E7" w:rsidRDefault="00FE0D55" w:rsidP="00FE0D55">
      <w:pPr>
        <w:spacing w:before="100" w:beforeAutospacing="1" w:after="100" w:afterAutospacing="1" w:line="480" w:lineRule="auto"/>
        <w:rPr>
          <w:rFonts w:ascii="Times New Roman" w:eastAsia="Times New Roman" w:hAnsi="Times New Roman" w:cs="Times New Roman"/>
          <w:b/>
          <w:color w:val="000000" w:themeColor="text1"/>
          <w:sz w:val="24"/>
          <w:szCs w:val="24"/>
        </w:rPr>
      </w:pPr>
      <w:r w:rsidRPr="00E355E7">
        <w:rPr>
          <w:rFonts w:ascii="Times New Roman" w:eastAsia="Times New Roman" w:hAnsi="Times New Roman" w:cs="Times New Roman"/>
          <w:b/>
          <w:color w:val="000000" w:themeColor="text1"/>
          <w:sz w:val="24"/>
          <w:szCs w:val="24"/>
        </w:rPr>
        <w:t xml:space="preserve">Frontier Analysis: </w:t>
      </w:r>
    </w:p>
    <w:p w14:paraId="6F03A314" w14:textId="7D9DB459" w:rsidR="00FE0D55" w:rsidRPr="00E355E7" w:rsidRDefault="00FE0D55" w:rsidP="005B5963">
      <w:pPr>
        <w:spacing w:before="100" w:beforeAutospacing="1" w:after="100" w:afterAutospacing="1" w:line="480" w:lineRule="auto"/>
        <w:jc w:val="both"/>
        <w:rPr>
          <w:rFonts w:ascii="Times New Roman" w:hAnsi="Times New Roman" w:cs="Times New Roman"/>
          <w:color w:val="000000" w:themeColor="text1"/>
          <w:sz w:val="24"/>
          <w:szCs w:val="24"/>
        </w:rPr>
      </w:pPr>
      <w:r w:rsidRPr="00E355E7">
        <w:rPr>
          <w:rFonts w:ascii="Times New Roman" w:hAnsi="Times New Roman" w:cs="Times New Roman"/>
          <w:color w:val="000000" w:themeColor="text1"/>
          <w:sz w:val="24"/>
          <w:szCs w:val="24"/>
        </w:rPr>
        <w:lastRenderedPageBreak/>
        <w:t xml:space="preserve">In order to evaluate the relationship between burden of </w:t>
      </w:r>
      <w:r w:rsidR="00FF62B1" w:rsidRPr="00E355E7">
        <w:rPr>
          <w:rFonts w:ascii="Times New Roman" w:hAnsi="Times New Roman" w:cs="Times New Roman"/>
          <w:color w:val="000000" w:themeColor="text1"/>
          <w:sz w:val="24"/>
          <w:szCs w:val="24"/>
        </w:rPr>
        <w:t>GORD</w:t>
      </w:r>
      <w:r w:rsidRPr="00E355E7">
        <w:rPr>
          <w:rFonts w:ascii="Times New Roman" w:hAnsi="Times New Roman" w:cs="Times New Roman"/>
          <w:color w:val="000000" w:themeColor="text1"/>
          <w:sz w:val="24"/>
          <w:szCs w:val="24"/>
        </w:rPr>
        <w:t xml:space="preserve"> and socio-demographic development, we applied a frontier analysis as a quantitative methodology to identify the lowest potentially achievable age-standardized </w:t>
      </w:r>
      <w:r w:rsidR="00FF62B1" w:rsidRPr="00E355E7">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 xml:space="preserve">s rate on the basis of development status as measured by the Socio-demographic Index (SDI). The </w:t>
      </w:r>
      <w:r w:rsidR="00FF62B1" w:rsidRPr="00E355E7">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 xml:space="preserve">s frontier pinpoints the minimum </w:t>
      </w:r>
      <w:r w:rsidR="00FF62B1" w:rsidRPr="00E355E7">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 xml:space="preserve">s that could be attained for every country or territory given its SDI. Distance from the frontier is termed effective difference; a large effective difference from the frontier suggests there may be unrealized opportunities for gains or improvement (reduction in </w:t>
      </w:r>
      <w:r w:rsidR="00FF62B1" w:rsidRPr="00E355E7">
        <w:rPr>
          <w:rFonts w:ascii="Times New Roman" w:hAnsi="Times New Roman" w:cs="Times New Roman"/>
          <w:color w:val="000000" w:themeColor="text1"/>
          <w:sz w:val="24"/>
          <w:szCs w:val="24"/>
        </w:rPr>
        <w:t>GORD</w:t>
      </w:r>
      <w:r w:rsidRPr="00E355E7">
        <w:rPr>
          <w:rFonts w:ascii="Times New Roman" w:hAnsi="Times New Roman" w:cs="Times New Roman"/>
          <w:color w:val="000000" w:themeColor="text1"/>
          <w:sz w:val="24"/>
          <w:szCs w:val="24"/>
        </w:rPr>
        <w:t xml:space="preserve"> </w:t>
      </w:r>
      <w:r w:rsidR="00FF62B1" w:rsidRPr="00E355E7">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 xml:space="preserve">s) that should be possible based on the country or territory’s place on the development spectrum. A data envelope analysis, which allows for the delineation of non-linear frontiers, utilizing the free disposal hull method was developed to produce a frontier for age-adjusted </w:t>
      </w:r>
      <w:r w:rsidR="00FF62B1" w:rsidRPr="00E355E7">
        <w:rPr>
          <w:rFonts w:ascii="Times New Roman" w:hAnsi="Times New Roman" w:cs="Times New Roman"/>
          <w:color w:val="000000" w:themeColor="text1"/>
          <w:sz w:val="24"/>
          <w:szCs w:val="24"/>
        </w:rPr>
        <w:t>GORD</w:t>
      </w:r>
      <w:r w:rsidRPr="00E355E7">
        <w:rPr>
          <w:rFonts w:ascii="Times New Roman" w:hAnsi="Times New Roman" w:cs="Times New Roman"/>
          <w:color w:val="000000" w:themeColor="text1"/>
          <w:sz w:val="24"/>
          <w:szCs w:val="24"/>
        </w:rPr>
        <w:t xml:space="preserve"> </w:t>
      </w:r>
      <w:r w:rsidR="00FF62B1" w:rsidRPr="00E355E7">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s by SDI</w:t>
      </w:r>
      <w:r w:rsidRPr="00E355E7">
        <w:rPr>
          <w:rFonts w:ascii="Times New Roman" w:hAnsi="Times New Roman" w:cs="Times New Roman"/>
          <w:color w:val="000000" w:themeColor="text1"/>
          <w:sz w:val="24"/>
          <w:szCs w:val="24"/>
        </w:rPr>
        <w:fldChar w:fldCharType="begin"/>
      </w:r>
      <w:r w:rsidR="00C555F8">
        <w:rPr>
          <w:rFonts w:ascii="Times New Roman" w:hAnsi="Times New Roman" w:cs="Times New Roman"/>
          <w:color w:val="000000" w:themeColor="text1"/>
          <w:sz w:val="24"/>
          <w:szCs w:val="24"/>
        </w:rPr>
        <w:instrText xml:space="preserve"> ADDIN EN.CITE &lt;EndNote&gt;&lt;Cite&gt;&lt;Author&gt;Access&lt;/Author&gt;&lt;Year&gt;2017&lt;/Year&gt;&lt;RecNum&gt;563&lt;/RecNum&gt;&lt;DisplayText&gt;(10)&lt;/DisplayText&gt;&lt;record&gt;&lt;rec-number&gt;563&lt;/rec-number&gt;&lt;foreign-keys&gt;&lt;key app="EN" db-id="dtz9prsrt5dt5xeeatrv2wfk5t00p95wvetd" timestamp="1498484908"&gt;563&lt;/key&gt;&lt;/foreign-keys&gt;&lt;ref-type name="Journal Article"&gt;17&lt;/ref-type&gt;&lt;contributors&gt;&lt;authors&gt;&lt;author&gt;G. B. D. Healthcare Access&lt;/author&gt;&lt;author&gt;Quality Collaborators. Electronic address, cjlm uw edu&lt;/author&gt;&lt;author&gt;G. B. D. Healthcare Access&lt;/author&gt;&lt;author&gt;Quality, Collaborators&lt;/author&gt;&lt;/authors&gt;&lt;/contributors&gt;&lt;titles&gt;&lt;title&gt;Healthcare Access and Quality Index based on mortality from causes amenable to personal health care in 195 countries and territories, 1990-2015: a novel analysis from the Global Burden of Disease Study 2015&lt;/title&gt;&lt;secondary-title&gt;Lancet&lt;/secondary-title&gt;&lt;/titles&gt;&lt;periodical&gt;&lt;full-title&gt;Lancet&lt;/full-title&gt;&lt;abbr-1&gt;Lancet&lt;/abbr-1&gt;&lt;/periodical&gt;&lt;dates&gt;&lt;year&gt;2017&lt;/year&gt;&lt;pub-dates&gt;&lt;date&gt;May 18&lt;/date&gt;&lt;/pub-dates&gt;&lt;/dates&gt;&lt;isbn&gt;1474-547X (Electronic)&amp;#xD;0140-6736 (Linking)&lt;/isbn&gt;&lt;accession-num&gt;28528753&lt;/accession-num&gt;&lt;urls&gt;&lt;related-urls&gt;&lt;url&gt;http://www.ncbi.nlm.nih.gov/pubmed/28528753&lt;/url&gt;&lt;/related-urls&gt;&lt;/urls&gt;&lt;electronic-resource-num&gt;10.1016/S0140-6736(17)30818-8&lt;/electronic-resource-num&gt;&lt;/record&gt;&lt;/Cite&gt;&lt;/EndNote&gt;</w:instrText>
      </w:r>
      <w:r w:rsidRPr="00E355E7">
        <w:rPr>
          <w:rFonts w:ascii="Times New Roman" w:hAnsi="Times New Roman" w:cs="Times New Roman"/>
          <w:color w:val="000000" w:themeColor="text1"/>
          <w:sz w:val="24"/>
          <w:szCs w:val="24"/>
        </w:rPr>
        <w:fldChar w:fldCharType="separate"/>
      </w:r>
      <w:r w:rsidR="00C555F8">
        <w:rPr>
          <w:rFonts w:ascii="Times New Roman" w:hAnsi="Times New Roman" w:cs="Times New Roman"/>
          <w:noProof/>
          <w:color w:val="000000" w:themeColor="text1"/>
          <w:sz w:val="24"/>
          <w:szCs w:val="24"/>
        </w:rPr>
        <w:t>(10)</w:t>
      </w:r>
      <w:r w:rsidRPr="00E355E7">
        <w:rPr>
          <w:rFonts w:ascii="Times New Roman" w:hAnsi="Times New Roman" w:cs="Times New Roman"/>
          <w:color w:val="000000" w:themeColor="text1"/>
          <w:sz w:val="24"/>
          <w:szCs w:val="24"/>
        </w:rPr>
        <w:fldChar w:fldCharType="end"/>
      </w:r>
      <w:r w:rsidRPr="00E355E7">
        <w:rPr>
          <w:rFonts w:ascii="Times New Roman" w:hAnsi="Times New Roman" w:cs="Times New Roman"/>
          <w:color w:val="000000" w:themeColor="text1"/>
          <w:sz w:val="24"/>
          <w:szCs w:val="24"/>
        </w:rPr>
        <w:t xml:space="preserve"> using data from 1990-201</w:t>
      </w:r>
      <w:r w:rsidR="00FF62B1" w:rsidRPr="00E355E7">
        <w:rPr>
          <w:rFonts w:ascii="Times New Roman" w:hAnsi="Times New Roman" w:cs="Times New Roman"/>
          <w:color w:val="000000" w:themeColor="text1"/>
          <w:sz w:val="24"/>
          <w:szCs w:val="24"/>
        </w:rPr>
        <w:t>9</w:t>
      </w:r>
      <w:r w:rsidRPr="00E355E7">
        <w:rPr>
          <w:rFonts w:ascii="Times New Roman" w:hAnsi="Times New Roman" w:cs="Times New Roman"/>
          <w:color w:val="000000" w:themeColor="text1"/>
          <w:sz w:val="24"/>
          <w:szCs w:val="24"/>
        </w:rPr>
        <w:t xml:space="preserve">. In order to account for uncertainty, we used 100 bootstrapped samples of the data, randomly sampling with replacement from all countries and territories in all years. Mean </w:t>
      </w:r>
      <w:r w:rsidR="00DF01C0">
        <w:rPr>
          <w:rFonts w:ascii="Times New Roman" w:hAnsi="Times New Roman" w:cs="Times New Roman"/>
          <w:color w:val="000000" w:themeColor="text1"/>
          <w:sz w:val="24"/>
          <w:szCs w:val="24"/>
        </w:rPr>
        <w:t>GORD</w:t>
      </w:r>
      <w:r w:rsidRPr="00E355E7">
        <w:rPr>
          <w:rFonts w:ascii="Times New Roman" w:hAnsi="Times New Roman" w:cs="Times New Roman"/>
          <w:color w:val="000000" w:themeColor="text1"/>
          <w:sz w:val="24"/>
          <w:szCs w:val="24"/>
        </w:rPr>
        <w:t xml:space="preserve"> </w:t>
      </w:r>
      <w:r w:rsidR="00DF01C0">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s at each SDI value from the bootstrapped samples was computed. LOESS regression with local polynomial degree of 1 and span of 0.2 was then developed to generate a smoothed frontier</w:t>
      </w:r>
      <w:r w:rsidRPr="00E355E7">
        <w:rPr>
          <w:rFonts w:ascii="Times New Roman" w:hAnsi="Times New Roman" w:cs="Times New Roman"/>
          <w:color w:val="000000" w:themeColor="text1"/>
          <w:sz w:val="24"/>
          <w:szCs w:val="24"/>
        </w:rPr>
        <w:fldChar w:fldCharType="begin"/>
      </w:r>
      <w:r w:rsidR="00C555F8">
        <w:rPr>
          <w:rFonts w:ascii="Times New Roman" w:hAnsi="Times New Roman" w:cs="Times New Roman"/>
          <w:color w:val="000000" w:themeColor="text1"/>
          <w:sz w:val="24"/>
          <w:szCs w:val="24"/>
        </w:rPr>
        <w:instrText xml:space="preserve"> ADDIN EN.CITE &lt;EndNote&gt;&lt;Cite&gt;&lt;Author&gt;Access&lt;/Author&gt;&lt;Year&gt;2017&lt;/Year&gt;&lt;RecNum&gt;563&lt;/RecNum&gt;&lt;DisplayText&gt;(10)&lt;/DisplayText&gt;&lt;record&gt;&lt;rec-number&gt;563&lt;/rec-number&gt;&lt;foreign-keys&gt;&lt;key app="EN" db-id="dtz9prsrt5dt5xeeatrv2wfk5t00p95wvetd" timestamp="1498484908"&gt;563&lt;/key&gt;&lt;/foreign-keys&gt;&lt;ref-type name="Journal Article"&gt;17&lt;/ref-type&gt;&lt;contributors&gt;&lt;authors&gt;&lt;author&gt;G. B. D. Healthcare Access&lt;/author&gt;&lt;author&gt;Quality Collaborators. Electronic address, cjlm uw edu&lt;/author&gt;&lt;author&gt;G. B. D. Healthcare Access&lt;/author&gt;&lt;author&gt;Quality, Collaborators&lt;/author&gt;&lt;/authors&gt;&lt;/contributors&gt;&lt;titles&gt;&lt;title&gt;Healthcare Access and Quality Index based on mortality from causes amenable to personal health care in 195 countries and territories, 1990-2015: a novel analysis from the Global Burden of Disease Study 2015&lt;/title&gt;&lt;secondary-title&gt;Lancet&lt;/secondary-title&gt;&lt;/titles&gt;&lt;periodical&gt;&lt;full-title&gt;Lancet&lt;/full-title&gt;&lt;abbr-1&gt;Lancet&lt;/abbr-1&gt;&lt;/periodical&gt;&lt;dates&gt;&lt;year&gt;2017&lt;/year&gt;&lt;pub-dates&gt;&lt;date&gt;May 18&lt;/date&gt;&lt;/pub-dates&gt;&lt;/dates&gt;&lt;isbn&gt;1474-547X (Electronic)&amp;#xD;0140-6736 (Linking)&lt;/isbn&gt;&lt;accession-num&gt;28528753&lt;/accession-num&gt;&lt;urls&gt;&lt;related-urls&gt;&lt;url&gt;http://www.ncbi.nlm.nih.gov/pubmed/28528753&lt;/url&gt;&lt;/related-urls&gt;&lt;/urls&gt;&lt;electronic-resource-num&gt;10.1016/S0140-6736(17)30818-8&lt;/electronic-resource-num&gt;&lt;/record&gt;&lt;/Cite&gt;&lt;/EndNote&gt;</w:instrText>
      </w:r>
      <w:r w:rsidRPr="00E355E7">
        <w:rPr>
          <w:rFonts w:ascii="Times New Roman" w:hAnsi="Times New Roman" w:cs="Times New Roman"/>
          <w:color w:val="000000" w:themeColor="text1"/>
          <w:sz w:val="24"/>
          <w:szCs w:val="24"/>
        </w:rPr>
        <w:fldChar w:fldCharType="separate"/>
      </w:r>
      <w:r w:rsidR="00C555F8">
        <w:rPr>
          <w:rFonts w:ascii="Times New Roman" w:hAnsi="Times New Roman" w:cs="Times New Roman"/>
          <w:noProof/>
          <w:color w:val="000000" w:themeColor="text1"/>
          <w:sz w:val="24"/>
          <w:szCs w:val="24"/>
        </w:rPr>
        <w:t>(10)</w:t>
      </w:r>
      <w:r w:rsidRPr="00E355E7">
        <w:rPr>
          <w:rFonts w:ascii="Times New Roman" w:hAnsi="Times New Roman" w:cs="Times New Roman"/>
          <w:color w:val="000000" w:themeColor="text1"/>
          <w:sz w:val="24"/>
          <w:szCs w:val="24"/>
        </w:rPr>
        <w:fldChar w:fldCharType="end"/>
      </w:r>
      <w:r w:rsidRPr="00E355E7">
        <w:rPr>
          <w:rFonts w:ascii="Times New Roman" w:hAnsi="Times New Roman" w:cs="Times New Roman"/>
          <w:color w:val="000000" w:themeColor="text1"/>
          <w:sz w:val="24"/>
          <w:szCs w:val="24"/>
        </w:rPr>
        <w:t>. To exclude influence of outliers, super-efficient countries were excluded in the generation of the frontier</w:t>
      </w:r>
      <w:r w:rsidRPr="00E355E7">
        <w:rPr>
          <w:rFonts w:ascii="Times New Roman" w:hAnsi="Times New Roman" w:cs="Times New Roman"/>
          <w:color w:val="000000" w:themeColor="text1"/>
          <w:sz w:val="24"/>
          <w:szCs w:val="24"/>
        </w:rPr>
        <w:fldChar w:fldCharType="begin"/>
      </w:r>
      <w:r w:rsidR="00C555F8">
        <w:rPr>
          <w:rFonts w:ascii="Times New Roman" w:hAnsi="Times New Roman" w:cs="Times New Roman"/>
          <w:color w:val="000000" w:themeColor="text1"/>
          <w:sz w:val="24"/>
          <w:szCs w:val="24"/>
        </w:rPr>
        <w:instrText xml:space="preserve"> ADDIN EN.CITE &lt;EndNote&gt;&lt;Cite&gt;&lt;Author&gt;Access&lt;/Author&gt;&lt;Year&gt;2017&lt;/Year&gt;&lt;RecNum&gt;563&lt;/RecNum&gt;&lt;DisplayText&gt;(10)&lt;/DisplayText&gt;&lt;record&gt;&lt;rec-number&gt;563&lt;/rec-number&gt;&lt;foreign-keys&gt;&lt;key app="EN" db-id="dtz9prsrt5dt5xeeatrv2wfk5t00p95wvetd" timestamp="1498484908"&gt;563&lt;/key&gt;&lt;/foreign-keys&gt;&lt;ref-type name="Journal Article"&gt;17&lt;/ref-type&gt;&lt;contributors&gt;&lt;authors&gt;&lt;author&gt;G. B. D. Healthcare Access&lt;/author&gt;&lt;author&gt;Quality Collaborators. Electronic address, cjlm uw edu&lt;/author&gt;&lt;author&gt;G. B. D. Healthcare Access&lt;/author&gt;&lt;author&gt;Quality, Collaborators&lt;/author&gt;&lt;/authors&gt;&lt;/contributors&gt;&lt;titles&gt;&lt;title&gt;Healthcare Access and Quality Index based on mortality from causes amenable to personal health care in 195 countries and territories, 1990-2015: a novel analysis from the Global Burden of Disease Study 2015&lt;/title&gt;&lt;secondary-title&gt;Lancet&lt;/secondary-title&gt;&lt;/titles&gt;&lt;periodical&gt;&lt;full-title&gt;Lancet&lt;/full-title&gt;&lt;abbr-1&gt;Lancet&lt;/abbr-1&gt;&lt;/periodical&gt;&lt;dates&gt;&lt;year&gt;2017&lt;/year&gt;&lt;pub-dates&gt;&lt;date&gt;May 18&lt;/date&gt;&lt;/pub-dates&gt;&lt;/dates&gt;&lt;isbn&gt;1474-547X (Electronic)&amp;#xD;0140-6736 (Linking)&lt;/isbn&gt;&lt;accession-num&gt;28528753&lt;/accession-num&gt;&lt;urls&gt;&lt;related-urls&gt;&lt;url&gt;http://www.ncbi.nlm.nih.gov/pubmed/28528753&lt;/url&gt;&lt;/related-urls&gt;&lt;/urls&gt;&lt;electronic-resource-num&gt;10.1016/S0140-6736(17)30818-8&lt;/electronic-resource-num&gt;&lt;/record&gt;&lt;/Cite&gt;&lt;/EndNote&gt;</w:instrText>
      </w:r>
      <w:r w:rsidRPr="00E355E7">
        <w:rPr>
          <w:rFonts w:ascii="Times New Roman" w:hAnsi="Times New Roman" w:cs="Times New Roman"/>
          <w:color w:val="000000" w:themeColor="text1"/>
          <w:sz w:val="24"/>
          <w:szCs w:val="24"/>
        </w:rPr>
        <w:fldChar w:fldCharType="separate"/>
      </w:r>
      <w:r w:rsidR="00C555F8">
        <w:rPr>
          <w:rFonts w:ascii="Times New Roman" w:hAnsi="Times New Roman" w:cs="Times New Roman"/>
          <w:noProof/>
          <w:color w:val="000000" w:themeColor="text1"/>
          <w:sz w:val="24"/>
          <w:szCs w:val="24"/>
        </w:rPr>
        <w:t>(10)</w:t>
      </w:r>
      <w:r w:rsidRPr="00E355E7">
        <w:rPr>
          <w:rFonts w:ascii="Times New Roman" w:hAnsi="Times New Roman" w:cs="Times New Roman"/>
          <w:color w:val="000000" w:themeColor="text1"/>
          <w:sz w:val="24"/>
          <w:szCs w:val="24"/>
        </w:rPr>
        <w:fldChar w:fldCharType="end"/>
      </w:r>
      <w:r w:rsidRPr="00E355E7">
        <w:rPr>
          <w:rFonts w:ascii="Times New Roman" w:hAnsi="Times New Roman" w:cs="Times New Roman"/>
          <w:color w:val="000000" w:themeColor="text1"/>
          <w:sz w:val="24"/>
          <w:szCs w:val="24"/>
        </w:rPr>
        <w:t xml:space="preserve">. To understand the relationship of age-standardized </w:t>
      </w:r>
      <w:r w:rsidR="00FF62B1" w:rsidRPr="00E355E7">
        <w:rPr>
          <w:rFonts w:ascii="Times New Roman" w:hAnsi="Times New Roman" w:cs="Times New Roman"/>
          <w:color w:val="000000" w:themeColor="text1"/>
          <w:sz w:val="24"/>
          <w:szCs w:val="24"/>
        </w:rPr>
        <w:t>GORD</w:t>
      </w:r>
      <w:r w:rsidRPr="00E355E7">
        <w:rPr>
          <w:rFonts w:ascii="Times New Roman" w:hAnsi="Times New Roman" w:cs="Times New Roman"/>
          <w:color w:val="000000" w:themeColor="text1"/>
          <w:sz w:val="24"/>
          <w:szCs w:val="24"/>
        </w:rPr>
        <w:t xml:space="preserve"> </w:t>
      </w:r>
      <w:r w:rsidR="00FF62B1" w:rsidRPr="00E355E7">
        <w:rPr>
          <w:rFonts w:ascii="Times New Roman" w:hAnsi="Times New Roman" w:cs="Times New Roman"/>
          <w:color w:val="000000" w:themeColor="text1"/>
          <w:sz w:val="24"/>
          <w:szCs w:val="24"/>
        </w:rPr>
        <w:t>YLD</w:t>
      </w:r>
      <w:r w:rsidRPr="00E355E7">
        <w:rPr>
          <w:rFonts w:ascii="Times New Roman" w:hAnsi="Times New Roman" w:cs="Times New Roman"/>
          <w:color w:val="000000" w:themeColor="text1"/>
          <w:sz w:val="24"/>
          <w:szCs w:val="24"/>
        </w:rPr>
        <w:t>s rates vis-à-vis the frontier in 201</w:t>
      </w:r>
      <w:r w:rsidR="00FF62B1" w:rsidRPr="00E355E7">
        <w:rPr>
          <w:rFonts w:ascii="Times New Roman" w:hAnsi="Times New Roman" w:cs="Times New Roman"/>
          <w:color w:val="000000" w:themeColor="text1"/>
          <w:sz w:val="24"/>
          <w:szCs w:val="24"/>
        </w:rPr>
        <w:t>9</w:t>
      </w:r>
      <w:r w:rsidRPr="00E355E7">
        <w:rPr>
          <w:rFonts w:ascii="Times New Roman" w:hAnsi="Times New Roman" w:cs="Times New Roman"/>
          <w:color w:val="000000" w:themeColor="text1"/>
          <w:sz w:val="24"/>
          <w:szCs w:val="24"/>
        </w:rPr>
        <w:t>, we calculated the effective difference (the absolute distance from the frontier) using 201</w:t>
      </w:r>
      <w:r w:rsidR="00FF62B1" w:rsidRPr="00E355E7">
        <w:rPr>
          <w:rFonts w:ascii="Times New Roman" w:hAnsi="Times New Roman" w:cs="Times New Roman"/>
          <w:color w:val="000000" w:themeColor="text1"/>
          <w:sz w:val="24"/>
          <w:szCs w:val="24"/>
        </w:rPr>
        <w:t>9</w:t>
      </w:r>
      <w:r w:rsidRPr="00E355E7">
        <w:rPr>
          <w:rFonts w:ascii="Times New Roman" w:hAnsi="Times New Roman" w:cs="Times New Roman"/>
          <w:color w:val="000000" w:themeColor="text1"/>
          <w:sz w:val="24"/>
          <w:szCs w:val="24"/>
        </w:rPr>
        <w:t xml:space="preserve"> SDI and age-standardized</w:t>
      </w:r>
      <w:r w:rsidR="00FF62B1" w:rsidRPr="00E355E7">
        <w:rPr>
          <w:rFonts w:ascii="Times New Roman" w:hAnsi="Times New Roman" w:cs="Times New Roman"/>
          <w:color w:val="000000" w:themeColor="text1"/>
          <w:sz w:val="24"/>
          <w:szCs w:val="24"/>
        </w:rPr>
        <w:t xml:space="preserve"> GORD</w:t>
      </w:r>
      <w:r w:rsidRPr="00E355E7">
        <w:rPr>
          <w:rFonts w:ascii="Times New Roman" w:hAnsi="Times New Roman" w:cs="Times New Roman"/>
          <w:color w:val="000000" w:themeColor="text1"/>
          <w:sz w:val="24"/>
          <w:szCs w:val="24"/>
        </w:rPr>
        <w:t xml:space="preserve"> Y</w:t>
      </w:r>
      <w:r w:rsidR="00FF62B1" w:rsidRPr="00E355E7">
        <w:rPr>
          <w:rFonts w:ascii="Times New Roman" w:hAnsi="Times New Roman" w:cs="Times New Roman"/>
          <w:color w:val="000000" w:themeColor="text1"/>
          <w:sz w:val="24"/>
          <w:szCs w:val="24"/>
        </w:rPr>
        <w:t>LD</w:t>
      </w:r>
      <w:r w:rsidRPr="00E355E7">
        <w:rPr>
          <w:rFonts w:ascii="Times New Roman" w:hAnsi="Times New Roman" w:cs="Times New Roman"/>
          <w:color w:val="000000" w:themeColor="text1"/>
          <w:sz w:val="24"/>
          <w:szCs w:val="24"/>
        </w:rPr>
        <w:t>s rate data point for each country or territory. Countries or territories with lower</w:t>
      </w:r>
      <w:r w:rsidR="00FF62B1" w:rsidRPr="00E355E7">
        <w:rPr>
          <w:rFonts w:ascii="Times New Roman" w:hAnsi="Times New Roman" w:cs="Times New Roman"/>
          <w:color w:val="000000" w:themeColor="text1"/>
          <w:sz w:val="24"/>
          <w:szCs w:val="24"/>
        </w:rPr>
        <w:t xml:space="preserve"> YLD</w:t>
      </w:r>
      <w:r w:rsidRPr="00E355E7">
        <w:rPr>
          <w:rFonts w:ascii="Times New Roman" w:hAnsi="Times New Roman" w:cs="Times New Roman"/>
          <w:color w:val="000000" w:themeColor="text1"/>
          <w:sz w:val="24"/>
          <w:szCs w:val="24"/>
        </w:rPr>
        <w:t xml:space="preserve">s than the frontiers were assigned a zero distance. </w:t>
      </w:r>
    </w:p>
    <w:p w14:paraId="79942096" w14:textId="77777777" w:rsidR="00FE0D55" w:rsidRPr="00E355E7" w:rsidRDefault="00FE0D55" w:rsidP="00FE0D55">
      <w:pPr>
        <w:spacing w:before="100" w:beforeAutospacing="1" w:after="100" w:afterAutospacing="1" w:line="480" w:lineRule="auto"/>
        <w:rPr>
          <w:rFonts w:ascii="Times New Roman" w:hAnsi="Times New Roman" w:cs="Times New Roman"/>
          <w:b/>
          <w:color w:val="000000" w:themeColor="text1"/>
          <w:sz w:val="24"/>
          <w:szCs w:val="24"/>
        </w:rPr>
      </w:pPr>
      <w:r w:rsidRPr="00E355E7">
        <w:rPr>
          <w:rFonts w:ascii="Times New Roman" w:hAnsi="Times New Roman" w:cs="Times New Roman"/>
          <w:b/>
          <w:color w:val="000000" w:themeColor="text1"/>
          <w:sz w:val="24"/>
          <w:szCs w:val="24"/>
        </w:rPr>
        <w:lastRenderedPageBreak/>
        <w:t>References:</w:t>
      </w:r>
    </w:p>
    <w:p w14:paraId="406ABE7A" w14:textId="77777777" w:rsidR="00C555F8" w:rsidRPr="00C555F8" w:rsidRDefault="00FF62B1" w:rsidP="00C555F8">
      <w:pPr>
        <w:pStyle w:val="EndNoteBibliography"/>
        <w:spacing w:after="0"/>
        <w:rPr>
          <w:noProof/>
        </w:rPr>
      </w:pPr>
      <w:r w:rsidRPr="00E355E7">
        <w:rPr>
          <w:rFonts w:ascii="Times New Roman" w:eastAsia="Times New Roman" w:hAnsi="Times New Roman" w:cs="Times New Roman"/>
          <w:sz w:val="24"/>
          <w:szCs w:val="24"/>
        </w:rPr>
        <w:t>S</w:t>
      </w:r>
      <w:r w:rsidR="00FE0D55" w:rsidRPr="00E355E7">
        <w:rPr>
          <w:rFonts w:ascii="Times New Roman" w:eastAsia="Times New Roman" w:hAnsi="Times New Roman" w:cs="Times New Roman"/>
          <w:sz w:val="24"/>
          <w:szCs w:val="24"/>
        </w:rPr>
        <w:fldChar w:fldCharType="begin"/>
      </w:r>
      <w:r w:rsidR="00FE0D55" w:rsidRPr="00E355E7">
        <w:rPr>
          <w:rFonts w:ascii="Times New Roman" w:eastAsia="Times New Roman" w:hAnsi="Times New Roman" w:cs="Times New Roman"/>
          <w:sz w:val="24"/>
          <w:szCs w:val="24"/>
        </w:rPr>
        <w:instrText xml:space="preserve"> ADDIN EN.REFLIST </w:instrText>
      </w:r>
      <w:r w:rsidR="00FE0D55" w:rsidRPr="00E355E7">
        <w:rPr>
          <w:rFonts w:ascii="Times New Roman" w:eastAsia="Times New Roman" w:hAnsi="Times New Roman" w:cs="Times New Roman"/>
          <w:sz w:val="24"/>
          <w:szCs w:val="24"/>
        </w:rPr>
        <w:fldChar w:fldCharType="separate"/>
      </w:r>
      <w:r w:rsidR="00C555F8" w:rsidRPr="00C555F8">
        <w:rPr>
          <w:noProof/>
        </w:rPr>
        <w:t>1.</w:t>
      </w:r>
      <w:r w:rsidR="00C555F8" w:rsidRPr="00C555F8">
        <w:rPr>
          <w:noProof/>
        </w:rPr>
        <w:tab/>
        <w:t>Diseases GBD, Injuries C. Global burden of 369 diseases and injuries in 204 countries and territories, 1990-2019: a systematic analysis for the Global Burden of Disease Study 2019. Lancet 2020;396:1204-1222.</w:t>
      </w:r>
    </w:p>
    <w:p w14:paraId="7EB1BBDD" w14:textId="77777777" w:rsidR="00C555F8" w:rsidRPr="00C555F8" w:rsidRDefault="00C555F8" w:rsidP="00C555F8">
      <w:pPr>
        <w:pStyle w:val="EndNoteBibliography"/>
        <w:spacing w:after="0"/>
        <w:rPr>
          <w:noProof/>
        </w:rPr>
      </w:pPr>
      <w:r w:rsidRPr="00C555F8">
        <w:rPr>
          <w:noProof/>
        </w:rPr>
        <w:t>2.</w:t>
      </w:r>
      <w:r w:rsidRPr="00C555F8">
        <w:rPr>
          <w:noProof/>
        </w:rPr>
        <w:tab/>
        <w:t>Global, regional, and national incidence, prevalence, and years lived with disability for 354 diseases and injuries for 195 countries and territories, 1990-2017: a systematic analysis for the Global Burden of Disease Study 2017. Lancet 2018;392:1789-1858.</w:t>
      </w:r>
    </w:p>
    <w:p w14:paraId="73A9910A" w14:textId="77777777" w:rsidR="00C555F8" w:rsidRPr="00C555F8" w:rsidRDefault="00C555F8" w:rsidP="00C555F8">
      <w:pPr>
        <w:pStyle w:val="EndNoteBibliography"/>
        <w:spacing w:after="0"/>
        <w:rPr>
          <w:noProof/>
        </w:rPr>
      </w:pPr>
      <w:r w:rsidRPr="00C555F8">
        <w:rPr>
          <w:noProof/>
        </w:rPr>
        <w:t>3.</w:t>
      </w:r>
      <w:r w:rsidRPr="00C555F8">
        <w:rPr>
          <w:noProof/>
        </w:rPr>
        <w:tab/>
        <w:t>Collaborators GBDG-oRD. The global, regional, and national burden of gastro-oesophageal reflux disease in 195 countries and territories, 1990-2017: a systematic analysis for the Global Burden of Disease Study 2017. Lancet Gastroenterol Hepatol 2020;5:561-581.</w:t>
      </w:r>
    </w:p>
    <w:p w14:paraId="0DE53264" w14:textId="77777777" w:rsidR="00C555F8" w:rsidRPr="00C555F8" w:rsidRDefault="00C555F8" w:rsidP="00C555F8">
      <w:pPr>
        <w:pStyle w:val="EndNoteBibliography"/>
        <w:spacing w:after="0"/>
        <w:rPr>
          <w:noProof/>
        </w:rPr>
      </w:pPr>
      <w:r w:rsidRPr="00C555F8">
        <w:rPr>
          <w:noProof/>
        </w:rPr>
        <w:t>4.</w:t>
      </w:r>
      <w:r w:rsidRPr="00C555F8">
        <w:rPr>
          <w:noProof/>
        </w:rPr>
        <w:tab/>
        <w:t>Disease GBD, Injury I, Prevalence C. Global, regional, and national incidence, prevalence, and years lived with disability for 354 diseases and injuries for 195 countries and territories, 1990-2017: a systematic analysis for the Global Burden of Disease Study 2017. Lancet 2018;392:1789-1858.</w:t>
      </w:r>
    </w:p>
    <w:p w14:paraId="009BFCC6" w14:textId="77777777" w:rsidR="00C555F8" w:rsidRPr="00C555F8" w:rsidRDefault="00C555F8" w:rsidP="00C555F8">
      <w:pPr>
        <w:pStyle w:val="EndNoteBibliography"/>
        <w:spacing w:after="0"/>
        <w:rPr>
          <w:noProof/>
        </w:rPr>
      </w:pPr>
      <w:r w:rsidRPr="00C555F8">
        <w:rPr>
          <w:noProof/>
        </w:rPr>
        <w:t>5.</w:t>
      </w:r>
      <w:r w:rsidRPr="00C555F8">
        <w:rPr>
          <w:noProof/>
        </w:rPr>
        <w:tab/>
        <w:t>Collaborators GBDRF. Global burden of 87 risk factors in 204 countries and territories, 1990-2019: a systematic analysis for the Global Burden of Disease Study 2019. Lancet 2020;396:1223-1249.</w:t>
      </w:r>
    </w:p>
    <w:p w14:paraId="683B0EB9" w14:textId="77777777" w:rsidR="00C555F8" w:rsidRPr="00C555F8" w:rsidRDefault="00C555F8" w:rsidP="00C555F8">
      <w:pPr>
        <w:pStyle w:val="EndNoteBibliography"/>
        <w:spacing w:after="0"/>
        <w:rPr>
          <w:noProof/>
        </w:rPr>
      </w:pPr>
      <w:r w:rsidRPr="00C555F8">
        <w:rPr>
          <w:noProof/>
        </w:rPr>
        <w:t>6.</w:t>
      </w:r>
      <w:r w:rsidRPr="00C555F8">
        <w:rPr>
          <w:noProof/>
        </w:rPr>
        <w:tab/>
        <w:t>Golabi P, Paik JM, AlQahtani S, et al. Burden of non-alcoholic fatty liver disease in Asia, the Middle East and North Africa: Data from Global Burden of Disease 2009-2019. J Hepatol 2021;75:795-809.</w:t>
      </w:r>
    </w:p>
    <w:p w14:paraId="63CD1AF0" w14:textId="77777777" w:rsidR="00C555F8" w:rsidRPr="00C555F8" w:rsidRDefault="00C555F8" w:rsidP="00C555F8">
      <w:pPr>
        <w:pStyle w:val="EndNoteBibliography"/>
        <w:spacing w:after="0"/>
        <w:rPr>
          <w:noProof/>
        </w:rPr>
      </w:pPr>
      <w:r w:rsidRPr="00C555F8">
        <w:rPr>
          <w:noProof/>
        </w:rPr>
        <w:t>7.</w:t>
      </w:r>
      <w:r w:rsidRPr="00C555F8">
        <w:rPr>
          <w:noProof/>
        </w:rPr>
        <w:tab/>
        <w:t>P. DG. Standardization and decomposition of rates: a user’s manual, Pages 19-36; 1993.</w:t>
      </w:r>
    </w:p>
    <w:p w14:paraId="0ED6F1E3" w14:textId="77777777" w:rsidR="00C555F8" w:rsidRPr="00C555F8" w:rsidRDefault="00C555F8" w:rsidP="00C555F8">
      <w:pPr>
        <w:pStyle w:val="EndNoteBibliography"/>
        <w:spacing w:after="0"/>
        <w:rPr>
          <w:noProof/>
        </w:rPr>
      </w:pPr>
      <w:r w:rsidRPr="00C555F8">
        <w:rPr>
          <w:noProof/>
        </w:rPr>
        <w:t>8.</w:t>
      </w:r>
      <w:r w:rsidRPr="00C555F8">
        <w:rPr>
          <w:noProof/>
        </w:rPr>
        <w:tab/>
        <w:t>Das Gupta P. Standardization and decomposition of rates from cross-classified data. Genus 1994;50:171-96.</w:t>
      </w:r>
    </w:p>
    <w:p w14:paraId="10CCDA2C" w14:textId="77777777" w:rsidR="00C555F8" w:rsidRPr="00C555F8" w:rsidRDefault="00C555F8" w:rsidP="00C555F8">
      <w:pPr>
        <w:pStyle w:val="EndNoteBibliography"/>
        <w:spacing w:after="0"/>
        <w:rPr>
          <w:noProof/>
        </w:rPr>
      </w:pPr>
      <w:r w:rsidRPr="00C555F8">
        <w:rPr>
          <w:noProof/>
        </w:rPr>
        <w:t>9.</w:t>
      </w:r>
      <w:r w:rsidRPr="00C555F8">
        <w:rPr>
          <w:noProof/>
        </w:rPr>
        <w:tab/>
        <w:t>Chevan A, Sutherland M. Revisiting Das Gupta: refinement and extension of standardization and decomposition. Demography 2009;46:429-49.</w:t>
      </w:r>
    </w:p>
    <w:p w14:paraId="25430F92" w14:textId="77777777" w:rsidR="00C555F8" w:rsidRPr="00C555F8" w:rsidRDefault="00C555F8" w:rsidP="00C555F8">
      <w:pPr>
        <w:pStyle w:val="EndNoteBibliography"/>
        <w:rPr>
          <w:noProof/>
        </w:rPr>
      </w:pPr>
      <w:r w:rsidRPr="00C555F8">
        <w:rPr>
          <w:noProof/>
        </w:rPr>
        <w:t>10.</w:t>
      </w:r>
      <w:r w:rsidRPr="00C555F8">
        <w:rPr>
          <w:noProof/>
        </w:rPr>
        <w:tab/>
        <w:t>Access GBDH, Quality Collaborators. Electronic address cue, Access GBDH, et al. Healthcare Access and Quality Index based on mortality from causes amenable to personal health care in 195 countries and territories, 1990-2015: a novel analysis from the Global Burden of Disease Study 2015. Lancet 2017.</w:t>
      </w:r>
    </w:p>
    <w:p w14:paraId="2F8A3361" w14:textId="600E7248" w:rsidR="00691930" w:rsidRPr="00E355E7" w:rsidRDefault="00FE0D55" w:rsidP="00FE0D55">
      <w:pPr>
        <w:spacing w:before="100" w:beforeAutospacing="1" w:after="100" w:afterAutospacing="1" w:line="480" w:lineRule="auto"/>
        <w:rPr>
          <w:rFonts w:ascii="Times New Roman" w:eastAsia="Times New Roman" w:hAnsi="Times New Roman" w:cs="Times New Roman"/>
          <w:sz w:val="24"/>
          <w:szCs w:val="24"/>
        </w:rPr>
      </w:pPr>
      <w:r w:rsidRPr="00E355E7">
        <w:rPr>
          <w:rFonts w:ascii="Times New Roman" w:eastAsia="Times New Roman" w:hAnsi="Times New Roman" w:cs="Times New Roman"/>
          <w:sz w:val="24"/>
          <w:szCs w:val="24"/>
        </w:rPr>
        <w:fldChar w:fldCharType="end"/>
      </w:r>
    </w:p>
    <w:p w14:paraId="04464CF2" w14:textId="3E7CD54B" w:rsidR="000010EE" w:rsidRPr="00E355E7" w:rsidRDefault="000010EE">
      <w:pPr>
        <w:rPr>
          <w:rFonts w:ascii="Times New Roman" w:hAnsi="Times New Roman" w:cs="Times New Roman"/>
          <w:sz w:val="24"/>
          <w:szCs w:val="24"/>
        </w:rPr>
      </w:pPr>
    </w:p>
    <w:p w14:paraId="560F625B" w14:textId="273D1B2C" w:rsidR="00AA568A" w:rsidRPr="00E355E7" w:rsidRDefault="00AA568A">
      <w:pPr>
        <w:rPr>
          <w:rFonts w:ascii="Times New Roman" w:hAnsi="Times New Roman" w:cs="Times New Roman"/>
          <w:sz w:val="24"/>
          <w:szCs w:val="24"/>
        </w:rPr>
      </w:pPr>
    </w:p>
    <w:p w14:paraId="6E481FDA" w14:textId="5FFAE93A" w:rsidR="00AA568A" w:rsidRPr="00E355E7" w:rsidRDefault="00AA568A">
      <w:pPr>
        <w:rPr>
          <w:rFonts w:ascii="Times New Roman" w:hAnsi="Times New Roman" w:cs="Times New Roman"/>
          <w:sz w:val="24"/>
          <w:szCs w:val="24"/>
        </w:rPr>
      </w:pPr>
    </w:p>
    <w:p w14:paraId="37D239CD" w14:textId="17003E40" w:rsidR="00AA568A" w:rsidRPr="00E355E7" w:rsidRDefault="00AA568A">
      <w:pPr>
        <w:rPr>
          <w:rFonts w:ascii="Times New Roman" w:hAnsi="Times New Roman" w:cs="Times New Roman"/>
          <w:sz w:val="24"/>
          <w:szCs w:val="24"/>
        </w:rPr>
      </w:pPr>
    </w:p>
    <w:p w14:paraId="7F60C961" w14:textId="3F1A8DEB" w:rsidR="00AA568A" w:rsidRPr="00E355E7" w:rsidRDefault="00AA568A">
      <w:pPr>
        <w:rPr>
          <w:rFonts w:ascii="Times New Roman" w:hAnsi="Times New Roman" w:cs="Times New Roman"/>
          <w:sz w:val="24"/>
          <w:szCs w:val="24"/>
        </w:rPr>
      </w:pPr>
    </w:p>
    <w:p w14:paraId="78C337A0" w14:textId="7439EB5C" w:rsidR="00AA568A" w:rsidRPr="00E355E7" w:rsidRDefault="00AA568A">
      <w:pPr>
        <w:rPr>
          <w:rFonts w:ascii="Times New Roman" w:hAnsi="Times New Roman" w:cs="Times New Roman"/>
          <w:sz w:val="24"/>
          <w:szCs w:val="24"/>
        </w:rPr>
      </w:pPr>
    </w:p>
    <w:p w14:paraId="6D071A89" w14:textId="4491EC2F" w:rsidR="00AA568A" w:rsidRPr="00E355E7" w:rsidRDefault="00AA568A">
      <w:pPr>
        <w:rPr>
          <w:rFonts w:ascii="Times New Roman" w:hAnsi="Times New Roman" w:cs="Times New Roman"/>
          <w:sz w:val="24"/>
          <w:szCs w:val="24"/>
        </w:rPr>
      </w:pPr>
    </w:p>
    <w:p w14:paraId="2D1EAF00" w14:textId="0D2C6A5F" w:rsidR="00AA568A" w:rsidRPr="00E355E7" w:rsidRDefault="00AA568A">
      <w:pPr>
        <w:rPr>
          <w:rFonts w:ascii="Times New Roman" w:hAnsi="Times New Roman" w:cs="Times New Roman"/>
          <w:sz w:val="24"/>
          <w:szCs w:val="24"/>
        </w:rPr>
      </w:pPr>
    </w:p>
    <w:p w14:paraId="7BF96A0B" w14:textId="2A66164B" w:rsidR="00AA568A" w:rsidRPr="00E355E7" w:rsidRDefault="00AA568A">
      <w:pPr>
        <w:rPr>
          <w:rFonts w:ascii="Times New Roman" w:hAnsi="Times New Roman" w:cs="Times New Roman"/>
          <w:sz w:val="24"/>
          <w:szCs w:val="24"/>
        </w:rPr>
      </w:pPr>
    </w:p>
    <w:p w14:paraId="2971FD1C" w14:textId="1507E80D" w:rsidR="00AA568A" w:rsidRPr="00E355E7" w:rsidRDefault="00AA568A">
      <w:pPr>
        <w:rPr>
          <w:rFonts w:ascii="Times New Roman" w:hAnsi="Times New Roman" w:cs="Times New Roman"/>
          <w:sz w:val="24"/>
          <w:szCs w:val="24"/>
        </w:rPr>
      </w:pPr>
    </w:p>
    <w:p w14:paraId="6B5DFC22" w14:textId="0F9E9426" w:rsidR="00AA568A" w:rsidRPr="00E355E7" w:rsidRDefault="00AA568A">
      <w:pPr>
        <w:rPr>
          <w:rFonts w:ascii="Times New Roman" w:hAnsi="Times New Roman" w:cs="Times New Roman"/>
          <w:sz w:val="24"/>
          <w:szCs w:val="24"/>
        </w:rPr>
      </w:pPr>
    </w:p>
    <w:p w14:paraId="51A62994" w14:textId="6E96004F" w:rsidR="00AA568A" w:rsidRPr="00E355E7" w:rsidRDefault="00AA568A">
      <w:pPr>
        <w:rPr>
          <w:rFonts w:ascii="Times New Roman" w:hAnsi="Times New Roman" w:cs="Times New Roman"/>
          <w:sz w:val="24"/>
          <w:szCs w:val="24"/>
        </w:rPr>
      </w:pPr>
    </w:p>
    <w:p w14:paraId="364154CE" w14:textId="77777777" w:rsidR="00AA568A" w:rsidRPr="00E355E7" w:rsidRDefault="00AA568A">
      <w:pPr>
        <w:rPr>
          <w:rFonts w:ascii="Times New Roman" w:hAnsi="Times New Roman" w:cs="Times New Roman"/>
          <w:sz w:val="24"/>
          <w:szCs w:val="24"/>
        </w:rPr>
      </w:pPr>
    </w:p>
    <w:sectPr w:rsidR="00AA568A" w:rsidRPr="00E355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935FB" w14:textId="77777777" w:rsidR="00B7762C" w:rsidRDefault="00B7762C" w:rsidP="00691930">
      <w:pPr>
        <w:spacing w:after="0" w:line="240" w:lineRule="auto"/>
      </w:pPr>
      <w:r>
        <w:separator/>
      </w:r>
    </w:p>
  </w:endnote>
  <w:endnote w:type="continuationSeparator" w:id="0">
    <w:p w14:paraId="3867C6DB" w14:textId="77777777" w:rsidR="00B7762C" w:rsidRDefault="00B7762C" w:rsidP="0069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8D034" w14:textId="77777777" w:rsidR="00B7762C" w:rsidRDefault="00B7762C" w:rsidP="00691930">
      <w:pPr>
        <w:spacing w:after="0" w:line="240" w:lineRule="auto"/>
      </w:pPr>
      <w:r>
        <w:separator/>
      </w:r>
    </w:p>
  </w:footnote>
  <w:footnote w:type="continuationSeparator" w:id="0">
    <w:p w14:paraId="0220FEF9" w14:textId="77777777" w:rsidR="00B7762C" w:rsidRDefault="00B7762C" w:rsidP="006919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er J Gastroenter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234DA"/>
    <w:rsid w:val="000010EE"/>
    <w:rsid w:val="000234DA"/>
    <w:rsid w:val="000E3CDF"/>
    <w:rsid w:val="003108E7"/>
    <w:rsid w:val="005B5963"/>
    <w:rsid w:val="00681B0B"/>
    <w:rsid w:val="00691930"/>
    <w:rsid w:val="00773E11"/>
    <w:rsid w:val="008A50AE"/>
    <w:rsid w:val="00A21D77"/>
    <w:rsid w:val="00A91456"/>
    <w:rsid w:val="00AA568A"/>
    <w:rsid w:val="00B7762C"/>
    <w:rsid w:val="00C555F8"/>
    <w:rsid w:val="00C65E25"/>
    <w:rsid w:val="00D33FBA"/>
    <w:rsid w:val="00DF01C0"/>
    <w:rsid w:val="00E355E7"/>
    <w:rsid w:val="00FE0D55"/>
    <w:rsid w:val="00FF6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E60BC"/>
  <w15:chartTrackingRefBased/>
  <w15:docId w15:val="{DB1AFD17-53AE-4C20-9FAA-D90EC76A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930"/>
    <w:pPr>
      <w:spacing w:after="200" w:line="276" w:lineRule="auto"/>
    </w:pPr>
    <w:rPr>
      <w:rFonts w:eastAsiaTheme="minorHAnsi"/>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930"/>
    <w:pPr>
      <w:widowControl w:val="0"/>
      <w:pBdr>
        <w:bottom w:val="single" w:sz="6" w:space="1" w:color="auto"/>
      </w:pBdr>
      <w:tabs>
        <w:tab w:val="center" w:pos="4153"/>
        <w:tab w:val="right" w:pos="8306"/>
      </w:tabs>
      <w:snapToGrid w:val="0"/>
      <w:spacing w:after="0" w:line="240" w:lineRule="auto"/>
      <w:jc w:val="center"/>
    </w:pPr>
    <w:rPr>
      <w:rFonts w:eastAsiaTheme="minorEastAsia"/>
      <w:kern w:val="2"/>
      <w:sz w:val="18"/>
      <w:szCs w:val="18"/>
      <w:lang w:eastAsia="zh-CN"/>
    </w:rPr>
  </w:style>
  <w:style w:type="character" w:customStyle="1" w:styleId="a4">
    <w:name w:val="页眉 字符"/>
    <w:basedOn w:val="a0"/>
    <w:link w:val="a3"/>
    <w:uiPriority w:val="99"/>
    <w:rsid w:val="00691930"/>
    <w:rPr>
      <w:sz w:val="18"/>
      <w:szCs w:val="18"/>
    </w:rPr>
  </w:style>
  <w:style w:type="paragraph" w:styleId="a5">
    <w:name w:val="footer"/>
    <w:basedOn w:val="a"/>
    <w:link w:val="a6"/>
    <w:uiPriority w:val="99"/>
    <w:unhideWhenUsed/>
    <w:rsid w:val="00691930"/>
    <w:pPr>
      <w:widowControl w:val="0"/>
      <w:tabs>
        <w:tab w:val="center" w:pos="4153"/>
        <w:tab w:val="right" w:pos="8306"/>
      </w:tabs>
      <w:snapToGrid w:val="0"/>
      <w:spacing w:after="0" w:line="240" w:lineRule="auto"/>
    </w:pPr>
    <w:rPr>
      <w:rFonts w:eastAsiaTheme="minorEastAsia"/>
      <w:kern w:val="2"/>
      <w:sz w:val="18"/>
      <w:szCs w:val="18"/>
      <w:lang w:eastAsia="zh-CN"/>
    </w:rPr>
  </w:style>
  <w:style w:type="character" w:customStyle="1" w:styleId="a6">
    <w:name w:val="页脚 字符"/>
    <w:basedOn w:val="a0"/>
    <w:link w:val="a5"/>
    <w:uiPriority w:val="99"/>
    <w:rsid w:val="00691930"/>
    <w:rPr>
      <w:sz w:val="18"/>
      <w:szCs w:val="18"/>
    </w:rPr>
  </w:style>
  <w:style w:type="paragraph" w:customStyle="1" w:styleId="EndNoteBibliography">
    <w:name w:val="EndNote Bibliography"/>
    <w:basedOn w:val="a"/>
    <w:link w:val="EndNoteBibliographyChar"/>
    <w:qFormat/>
    <w:rsid w:val="00FE0D55"/>
    <w:pPr>
      <w:spacing w:line="240" w:lineRule="auto"/>
    </w:pPr>
    <w:rPr>
      <w:rFonts w:ascii="Calibri" w:hAnsi="Calibri" w:cs="Calibri"/>
    </w:rPr>
  </w:style>
  <w:style w:type="character" w:customStyle="1" w:styleId="EndNoteBibliographyChar">
    <w:name w:val="EndNote Bibliography Char"/>
    <w:basedOn w:val="a0"/>
    <w:link w:val="EndNoteBibliography"/>
    <w:qFormat/>
    <w:rsid w:val="00FE0D55"/>
    <w:rPr>
      <w:rFonts w:ascii="Calibri" w:eastAsiaTheme="minorHAnsi" w:hAnsi="Calibri" w:cs="Calibri"/>
      <w:kern w:val="0"/>
      <w:sz w:val="22"/>
      <w:lang w:eastAsia="en-US"/>
    </w:rPr>
  </w:style>
  <w:style w:type="paragraph" w:customStyle="1" w:styleId="EndNoteBibliographyTitle">
    <w:name w:val="EndNote Bibliography Title"/>
    <w:basedOn w:val="a"/>
    <w:link w:val="EndNoteBibliographyTitle0"/>
    <w:rsid w:val="00FE0D55"/>
    <w:pPr>
      <w:spacing w:after="0"/>
      <w:jc w:val="center"/>
    </w:pPr>
    <w:rPr>
      <w:rFonts w:ascii="Calibri" w:hAnsi="Calibri" w:cs="Calibri"/>
      <w:noProof/>
    </w:rPr>
  </w:style>
  <w:style w:type="character" w:customStyle="1" w:styleId="EndNoteBibliographyTitle0">
    <w:name w:val="EndNote Bibliography Title 字符"/>
    <w:basedOn w:val="EndNoteBibliographyChar"/>
    <w:link w:val="EndNoteBibliographyTitle"/>
    <w:rsid w:val="00FE0D55"/>
    <w:rPr>
      <w:rFonts w:ascii="Calibri" w:eastAsiaTheme="minorHAnsi" w:hAnsi="Calibri" w:cs="Calibri"/>
      <w:noProof/>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1346</Words>
  <Characters>7674</Characters>
  <Application>Microsoft Office Word</Application>
  <DocSecurity>0</DocSecurity>
  <Lines>63</Lines>
  <Paragraphs>18</Paragraphs>
  <ScaleCrop>false</ScaleCrop>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Qingwei</dc:creator>
  <cp:keywords/>
  <dc:description/>
  <cp:lastModifiedBy>Zhang Qingwei</cp:lastModifiedBy>
  <cp:revision>13</cp:revision>
  <dcterms:created xsi:type="dcterms:W3CDTF">2022-04-14T00:58:00Z</dcterms:created>
  <dcterms:modified xsi:type="dcterms:W3CDTF">2022-05-22T02:39:00Z</dcterms:modified>
</cp:coreProperties>
</file>