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AC28F" w14:textId="5D04B921" w:rsidR="00296D01" w:rsidRPr="003108E7" w:rsidRDefault="00296D01" w:rsidP="00296D01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</w:rPr>
      </w:pPr>
      <w:r w:rsidRPr="003108E7">
        <w:rPr>
          <w:rFonts w:ascii="Times New Roman" w:eastAsia="Times New Roman" w:hAnsi="Times New Roman" w:cs="Times New Roman"/>
          <w:b/>
        </w:rPr>
        <w:t xml:space="preserve">Supplemental </w:t>
      </w:r>
      <w:r>
        <w:rPr>
          <w:rFonts w:ascii="Times New Roman" w:eastAsia="Times New Roman" w:hAnsi="Times New Roman" w:cs="Times New Roman"/>
          <w:b/>
        </w:rPr>
        <w:t>Figures</w:t>
      </w:r>
      <w:r w:rsidRPr="003108E7">
        <w:rPr>
          <w:rFonts w:ascii="Times New Roman" w:eastAsia="Times New Roman" w:hAnsi="Times New Roman" w:cs="Times New Roman"/>
          <w:b/>
        </w:rPr>
        <w:t>:</w:t>
      </w:r>
    </w:p>
    <w:p w14:paraId="4A18F97A" w14:textId="237A97D1" w:rsidR="00296D01" w:rsidRDefault="00296D01" w:rsidP="00296D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2EB5B7" wp14:editId="0D58D1F0">
            <wp:extent cx="5020945" cy="43414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1D2D" w14:textId="301C55EC" w:rsidR="00296D01" w:rsidRPr="00711EF7" w:rsidRDefault="00296D01" w:rsidP="00296D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Figure S1. Incidence, prevalence, and YLDs due to GORD for all GBD regions, 1990-2019. YLDs, Years lived with disability; GORD, Gastro-oesophageal reflux disease;</w:t>
      </w:r>
    </w:p>
    <w:p w14:paraId="21F515CD" w14:textId="00817FF7" w:rsidR="00296D01" w:rsidRPr="00711EF7" w:rsidRDefault="00296D01" w:rsidP="00296D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F1353A" wp14:editId="05C5635C">
            <wp:extent cx="5267960" cy="7807960"/>
            <wp:effectExtent l="0" t="0" r="889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80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13C4" w14:textId="77777777" w:rsidR="00296D01" w:rsidRPr="00711EF7" w:rsidRDefault="00296D01" w:rsidP="00296D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 xml:space="preserve">Figure S2. The prevalence of GORD for both sexes in 204 countries and territories. (A) The ASPR of GORD in 2019; (B) The AAPC of ASPR of GORD from 1990 to 2019. </w:t>
      </w:r>
      <w:r w:rsidRPr="00711EF7">
        <w:rPr>
          <w:rFonts w:ascii="Times New Roman" w:hAnsi="Times New Roman" w:cs="Times New Roman"/>
          <w:sz w:val="24"/>
          <w:szCs w:val="24"/>
        </w:rPr>
        <w:lastRenderedPageBreak/>
        <w:t xml:space="preserve">GORD, Gastro-oesophageal reflux disease; ASPR, age-standardized prevalence rate; AAPC, average annual percentage change; </w:t>
      </w:r>
    </w:p>
    <w:p w14:paraId="31CD2C2F" w14:textId="0D427467" w:rsidR="00296D01" w:rsidRPr="00711EF7" w:rsidRDefault="00296D01" w:rsidP="00296D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460F06" wp14:editId="20D101E5">
            <wp:extent cx="5271770" cy="771652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771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4C2B8" w14:textId="77777777" w:rsidR="00296D01" w:rsidRDefault="00296D01" w:rsidP="00296D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lastRenderedPageBreak/>
        <w:t xml:space="preserve">Figure S3. </w:t>
      </w:r>
      <w:r w:rsidRPr="00711EF7">
        <w:rPr>
          <w:rFonts w:ascii="Times New Roman" w:hAnsi="Times New Roman" w:cs="Times New Roman"/>
          <w:color w:val="000000"/>
          <w:sz w:val="24"/>
          <w:szCs w:val="24"/>
        </w:rPr>
        <w:t>A list of the YLDs for 204 countries and territories for both sexes.</w:t>
      </w:r>
      <w:r w:rsidRPr="00711EF7">
        <w:rPr>
          <w:rFonts w:ascii="Times New Roman" w:hAnsi="Times New Roman" w:cs="Times New Roman"/>
          <w:sz w:val="24"/>
          <w:szCs w:val="24"/>
        </w:rPr>
        <w:t xml:space="preserve"> (A) The ASYLDs of GORD in 2019; (B) The AAPC of ASYLDs of GORD from 1990 to 2019. GORD, Gastro-oesophageal reflux disease; ASYLDs, age-standardized YLDs; AAPC, average annual percentage change; YLDs, Years lived with disability.</w:t>
      </w:r>
    </w:p>
    <w:p w14:paraId="3F48C540" w14:textId="55BEEF09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96C430" wp14:editId="44D26023">
            <wp:extent cx="5270500" cy="402336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F460" w14:textId="77777777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Figure S4.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BAF">
        <w:rPr>
          <w:rFonts w:ascii="Times New Roman" w:hAnsi="Times New Roman" w:cs="Times New Roman"/>
          <w:sz w:val="24"/>
          <w:szCs w:val="24"/>
        </w:rPr>
        <w:t>Comparison of the changing trends of GORD rates between different SDI quintiles and sexes.</w:t>
      </w:r>
      <w:r w:rsidRPr="00711EF7">
        <w:rPr>
          <w:rFonts w:ascii="Times New Roman" w:hAnsi="Times New Roman" w:cs="Times New Roman"/>
          <w:sz w:val="24"/>
          <w:szCs w:val="24"/>
        </w:rPr>
        <w:t xml:space="preserve"> GORD, Gastro-oesophageal reflux disease; SDI, socio-demographic index</w:t>
      </w:r>
    </w:p>
    <w:p w14:paraId="2982F5B2" w14:textId="4828AAE1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5FD0A3" wp14:editId="12CC7171">
            <wp:extent cx="5274310" cy="40855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879F1" w14:textId="77777777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S5</w:t>
      </w:r>
      <w:r w:rsidRPr="00711EF7">
        <w:rPr>
          <w:rFonts w:ascii="Times New Roman" w:hAnsi="Times New Roman" w:cs="Times New Roman"/>
          <w:sz w:val="24"/>
          <w:szCs w:val="24"/>
        </w:rPr>
        <w:t>. ASIR, ASPR, and ASYLDs (per 100000 population) of GORD, by age group, in 1990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EF7">
        <w:rPr>
          <w:rFonts w:ascii="Times New Roman" w:hAnsi="Times New Roman" w:cs="Times New Roman"/>
          <w:sz w:val="24"/>
          <w:szCs w:val="24"/>
        </w:rPr>
        <w:t>and 2019</w:t>
      </w:r>
    </w:p>
    <w:p w14:paraId="660AE8F1" w14:textId="77777777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ASIR, age-standardized incidence rate; ASIR, age-standardized incidence rate; ASYLDs, age-standardized YLDs; GORD, Gastro-oesophageal reflux disease</w:t>
      </w:r>
    </w:p>
    <w:p w14:paraId="4B974FF3" w14:textId="61A72D91" w:rsidR="00C0184A" w:rsidRPr="00CC735F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8C0D35" wp14:editId="499D1FB5">
            <wp:extent cx="5274310" cy="15141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2F46C" w14:textId="77777777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1EF7">
        <w:rPr>
          <w:rFonts w:ascii="Times New Roman" w:hAnsi="Times New Roman" w:cs="Times New Roman"/>
          <w:sz w:val="24"/>
          <w:szCs w:val="24"/>
        </w:rPr>
        <w:t>. The correlation between SDI and age-standardized rate in 2019.</w:t>
      </w:r>
    </w:p>
    <w:p w14:paraId="4BC7903A" w14:textId="77777777" w:rsidR="00C0184A" w:rsidRPr="00711EF7" w:rsidRDefault="00C0184A" w:rsidP="00C018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F7">
        <w:rPr>
          <w:rFonts w:ascii="Times New Roman" w:hAnsi="Times New Roman" w:cs="Times New Roman"/>
          <w:sz w:val="24"/>
          <w:szCs w:val="24"/>
        </w:rPr>
        <w:t>SDI, socio-demographic index, YLDs, Years lived with disability.</w:t>
      </w:r>
    </w:p>
    <w:p w14:paraId="32861E25" w14:textId="77777777" w:rsidR="000010EE" w:rsidRPr="00296D01" w:rsidRDefault="000010EE"/>
    <w:sectPr w:rsidR="000010EE" w:rsidRPr="00296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BB9C9" w14:textId="77777777" w:rsidR="00796FE6" w:rsidRDefault="00796FE6" w:rsidP="00C0184A">
      <w:pPr>
        <w:spacing w:after="0" w:line="240" w:lineRule="auto"/>
      </w:pPr>
      <w:r>
        <w:separator/>
      </w:r>
    </w:p>
  </w:endnote>
  <w:endnote w:type="continuationSeparator" w:id="0">
    <w:p w14:paraId="7257670B" w14:textId="77777777" w:rsidR="00796FE6" w:rsidRDefault="00796FE6" w:rsidP="00C0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799D3" w14:textId="77777777" w:rsidR="00796FE6" w:rsidRDefault="00796FE6" w:rsidP="00C0184A">
      <w:pPr>
        <w:spacing w:after="0" w:line="240" w:lineRule="auto"/>
      </w:pPr>
      <w:r>
        <w:separator/>
      </w:r>
    </w:p>
  </w:footnote>
  <w:footnote w:type="continuationSeparator" w:id="0">
    <w:p w14:paraId="5C847181" w14:textId="77777777" w:rsidR="00796FE6" w:rsidRDefault="00796FE6" w:rsidP="00C018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CD"/>
    <w:rsid w:val="000010EE"/>
    <w:rsid w:val="00296D01"/>
    <w:rsid w:val="003E3BCD"/>
    <w:rsid w:val="00796FE6"/>
    <w:rsid w:val="00C0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2E371"/>
  <w15:chartTrackingRefBased/>
  <w15:docId w15:val="{C641B8B5-CDE4-47B7-8852-01673DF9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D01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184A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18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184A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3</cp:revision>
  <dcterms:created xsi:type="dcterms:W3CDTF">2022-04-14T00:58:00Z</dcterms:created>
  <dcterms:modified xsi:type="dcterms:W3CDTF">2022-05-10T05:36:00Z</dcterms:modified>
</cp:coreProperties>
</file>