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58DFC" w14:textId="5BF46485" w:rsidR="00BC7F68" w:rsidRPr="007F79CE" w:rsidRDefault="00CC54F8" w:rsidP="009C4A77">
      <w:pPr>
        <w:spacing w:line="360" w:lineRule="auto"/>
        <w:jc w:val="center"/>
        <w:rPr>
          <w:rFonts w:ascii="Times New Roman" w:hAnsi="Times New Roman" w:cs="Times New Roman"/>
          <w:color w:val="000000" w:themeColor="text1"/>
          <w:szCs w:val="21"/>
        </w:rPr>
      </w:pPr>
      <w:bookmarkStart w:id="0" w:name="_GoBack"/>
      <w:r>
        <w:rPr>
          <w:rFonts w:ascii="Times New Roman" w:hAnsi="Times New Roman" w:cs="Times New Roman"/>
          <w:noProof/>
          <w:color w:val="000000" w:themeColor="text1"/>
          <w:szCs w:val="21"/>
        </w:rPr>
        <w:drawing>
          <wp:inline distT="0" distB="0" distL="0" distR="0" wp14:anchorId="49C12752" wp14:editId="137E11A5">
            <wp:extent cx="3915021" cy="6392333"/>
            <wp:effectExtent l="0" t="0" r="0" b="8890"/>
            <wp:docPr id="1"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图示&#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28628" cy="6414549"/>
                    </a:xfrm>
                    <a:prstGeom prst="rect">
                      <a:avLst/>
                    </a:prstGeom>
                  </pic:spPr>
                </pic:pic>
              </a:graphicData>
            </a:graphic>
          </wp:inline>
        </w:drawing>
      </w:r>
      <w:bookmarkEnd w:id="0"/>
    </w:p>
    <w:p w14:paraId="3814B4F8" w14:textId="77777777" w:rsidR="00BC7F68" w:rsidRPr="007F79CE" w:rsidRDefault="00BC7F68" w:rsidP="007F79CE">
      <w:pPr>
        <w:spacing w:line="360" w:lineRule="auto"/>
        <w:rPr>
          <w:rFonts w:ascii="Times New Roman" w:hAnsi="Times New Roman" w:cs="Times New Roman"/>
          <w:color w:val="000000" w:themeColor="text1"/>
          <w:szCs w:val="21"/>
        </w:rPr>
      </w:pPr>
      <w:r w:rsidRPr="007F79CE">
        <w:rPr>
          <w:rFonts w:ascii="Times New Roman" w:hAnsi="Times New Roman" w:cs="Times New Roman"/>
          <w:b/>
          <w:bCs/>
          <w:color w:val="000000" w:themeColor="text1"/>
          <w:szCs w:val="21"/>
        </w:rPr>
        <w:t>Supplementary figure 1 Cell annotation and CNV inference.</w:t>
      </w:r>
    </w:p>
    <w:p w14:paraId="1DE757AA" w14:textId="4E389262" w:rsidR="00BC7F68" w:rsidRPr="007F79CE" w:rsidRDefault="00BC7F68" w:rsidP="007F79CE">
      <w:pPr>
        <w:spacing w:line="360" w:lineRule="auto"/>
        <w:rPr>
          <w:rFonts w:ascii="Times New Roman" w:hAnsi="Times New Roman" w:cs="Times New Roman"/>
          <w:color w:val="000000" w:themeColor="text1"/>
          <w:szCs w:val="21"/>
        </w:rPr>
      </w:pPr>
      <w:r w:rsidRPr="007F79CE">
        <w:rPr>
          <w:rFonts w:ascii="Times New Roman" w:hAnsi="Times New Roman" w:cs="Times New Roman"/>
          <w:color w:val="000000" w:themeColor="text1"/>
          <w:szCs w:val="21"/>
        </w:rPr>
        <w:t>(A) Quality control of single-cell data. (B) Batch effect remove with harmony. (C) Cell clusters defined by Seurat. (D) Proportion of 9 clusters showing in bar plots in different tissues (PA1 = IPA, PA2 = NIPA). (E) Stromal, immune, epithelial and endothelial score of single-cell data. (F) Differential-expressed genes between somatotroph adenoma and normal pituitary cells. (G) Dotplot showed the score of DEGs between somatotroph adenoma and normal pituitary cells. (H) Inferred CNV based on immune cells. scRNA-seq divided by cell subtypes. Red means amplification and blue indicates deletion.</w:t>
      </w:r>
      <w:r w:rsidRPr="007F79CE">
        <w:rPr>
          <w:rFonts w:ascii="Times New Roman" w:hAnsi="Times New Roman" w:cs="Times New Roman"/>
          <w:color w:val="000000" w:themeColor="text1"/>
          <w:szCs w:val="21"/>
        </w:rPr>
        <w:br w:type="page"/>
      </w:r>
    </w:p>
    <w:p w14:paraId="0ECA15D6" w14:textId="77777777" w:rsidR="00BC7F68" w:rsidRPr="007F79CE" w:rsidRDefault="00BC7F68" w:rsidP="009C4A77">
      <w:pPr>
        <w:spacing w:line="360" w:lineRule="auto"/>
        <w:jc w:val="center"/>
        <w:rPr>
          <w:rFonts w:ascii="Times New Roman" w:hAnsi="Times New Roman" w:cs="Times New Roman"/>
          <w:color w:val="000000" w:themeColor="text1"/>
          <w:szCs w:val="21"/>
        </w:rPr>
      </w:pPr>
      <w:r w:rsidRPr="007F79CE">
        <w:rPr>
          <w:rFonts w:ascii="Times New Roman" w:hAnsi="Times New Roman" w:cs="Times New Roman"/>
          <w:noProof/>
          <w:color w:val="000000" w:themeColor="text1"/>
          <w:szCs w:val="21"/>
        </w:rPr>
        <w:lastRenderedPageBreak/>
        <w:drawing>
          <wp:inline distT="0" distB="0" distL="0" distR="0" wp14:anchorId="20D8E6E8" wp14:editId="3BFF23E3">
            <wp:extent cx="4287691" cy="7670800"/>
            <wp:effectExtent l="0" t="0" r="0" b="6350"/>
            <wp:docPr id="9" name="图片 9" descr="图片包含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应用程序&#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96880" cy="7687240"/>
                    </a:xfrm>
                    <a:prstGeom prst="rect">
                      <a:avLst/>
                    </a:prstGeom>
                  </pic:spPr>
                </pic:pic>
              </a:graphicData>
            </a:graphic>
          </wp:inline>
        </w:drawing>
      </w:r>
    </w:p>
    <w:p w14:paraId="79B46A56" w14:textId="77777777" w:rsidR="00BC7F68" w:rsidRPr="007F79CE" w:rsidRDefault="00BC7F68" w:rsidP="007F79CE">
      <w:pPr>
        <w:spacing w:line="360" w:lineRule="auto"/>
        <w:rPr>
          <w:rFonts w:ascii="Times New Roman" w:hAnsi="Times New Roman" w:cs="Times New Roman"/>
          <w:b/>
          <w:bCs/>
          <w:color w:val="000000" w:themeColor="text1"/>
          <w:szCs w:val="21"/>
        </w:rPr>
      </w:pPr>
      <w:r w:rsidRPr="007F79CE">
        <w:rPr>
          <w:rFonts w:ascii="Times New Roman" w:hAnsi="Times New Roman" w:cs="Times New Roman"/>
          <w:b/>
          <w:bCs/>
          <w:color w:val="000000" w:themeColor="text1"/>
          <w:szCs w:val="21"/>
        </w:rPr>
        <w:t>Supplementary figure 2 Single-cell Atlas of NIPA and IPA tissues.</w:t>
      </w:r>
    </w:p>
    <w:p w14:paraId="19605CE8" w14:textId="77777777" w:rsidR="00BC7F68" w:rsidRPr="007F79CE" w:rsidRDefault="00BC7F68" w:rsidP="007F79CE">
      <w:pPr>
        <w:spacing w:line="360" w:lineRule="auto"/>
        <w:rPr>
          <w:rFonts w:ascii="Times New Roman" w:hAnsi="Times New Roman" w:cs="Times New Roman"/>
          <w:color w:val="000000" w:themeColor="text1"/>
          <w:szCs w:val="21"/>
        </w:rPr>
      </w:pPr>
      <w:r w:rsidRPr="007F79CE">
        <w:rPr>
          <w:rFonts w:ascii="Times New Roman" w:hAnsi="Times New Roman" w:cs="Times New Roman"/>
          <w:color w:val="000000" w:themeColor="text1"/>
          <w:szCs w:val="21"/>
        </w:rPr>
        <w:t>(A) Validation of marker genes of somatotroph adenoma in our single-cell data. (B) UMAP plots for marker genes of cell clusters.</w:t>
      </w:r>
    </w:p>
    <w:p w14:paraId="6B54A306" w14:textId="1C6CB043" w:rsidR="00BC7F68" w:rsidRPr="007F79CE" w:rsidRDefault="00BC7F68" w:rsidP="007F79CE">
      <w:pPr>
        <w:spacing w:line="360" w:lineRule="auto"/>
        <w:rPr>
          <w:rFonts w:ascii="Times New Roman" w:hAnsi="Times New Roman" w:cs="Times New Roman"/>
          <w:szCs w:val="21"/>
        </w:rPr>
      </w:pPr>
      <w:r w:rsidRPr="007F79CE">
        <w:rPr>
          <w:rFonts w:ascii="Times New Roman" w:hAnsi="Times New Roman" w:cs="Times New Roman"/>
          <w:szCs w:val="21"/>
        </w:rPr>
        <w:br w:type="page"/>
      </w:r>
    </w:p>
    <w:p w14:paraId="355DB316" w14:textId="77777777" w:rsidR="00BC7F68" w:rsidRPr="007F79CE" w:rsidRDefault="00BC7F68" w:rsidP="009C4A77">
      <w:pPr>
        <w:spacing w:line="360" w:lineRule="auto"/>
        <w:jc w:val="center"/>
        <w:rPr>
          <w:rFonts w:ascii="Times New Roman" w:hAnsi="Times New Roman" w:cs="Times New Roman"/>
          <w:color w:val="000000" w:themeColor="text1"/>
          <w:szCs w:val="21"/>
        </w:rPr>
      </w:pPr>
      <w:r w:rsidRPr="007F79CE">
        <w:rPr>
          <w:rFonts w:ascii="Times New Roman" w:hAnsi="Times New Roman" w:cs="Times New Roman"/>
          <w:noProof/>
          <w:color w:val="000000" w:themeColor="text1"/>
          <w:szCs w:val="21"/>
        </w:rPr>
        <w:lastRenderedPageBreak/>
        <w:drawing>
          <wp:inline distT="0" distB="0" distL="0" distR="0" wp14:anchorId="07B44077" wp14:editId="2919C33D">
            <wp:extent cx="5274310" cy="1980565"/>
            <wp:effectExtent l="0" t="0" r="0" b="635"/>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980565"/>
                    </a:xfrm>
                    <a:prstGeom prst="rect">
                      <a:avLst/>
                    </a:prstGeom>
                  </pic:spPr>
                </pic:pic>
              </a:graphicData>
            </a:graphic>
          </wp:inline>
        </w:drawing>
      </w:r>
    </w:p>
    <w:p w14:paraId="66AC19DF" w14:textId="77777777" w:rsidR="00BC7F68" w:rsidRPr="007F79CE" w:rsidRDefault="00BC7F68" w:rsidP="007F79CE">
      <w:pPr>
        <w:spacing w:line="360" w:lineRule="auto"/>
        <w:rPr>
          <w:rFonts w:ascii="Times New Roman" w:hAnsi="Times New Roman" w:cs="Times New Roman"/>
          <w:b/>
          <w:bCs/>
          <w:color w:val="000000" w:themeColor="text1"/>
          <w:szCs w:val="21"/>
        </w:rPr>
      </w:pPr>
      <w:r w:rsidRPr="007F79CE">
        <w:rPr>
          <w:rFonts w:ascii="Times New Roman" w:hAnsi="Times New Roman" w:cs="Times New Roman"/>
          <w:b/>
          <w:bCs/>
          <w:color w:val="000000" w:themeColor="text1"/>
          <w:szCs w:val="21"/>
        </w:rPr>
        <w:t>Supplementary figure 3 Potential cellular interaction in TME</w:t>
      </w:r>
    </w:p>
    <w:p w14:paraId="736979C4" w14:textId="77777777" w:rsidR="00BC7F68" w:rsidRPr="007F79CE" w:rsidRDefault="00BC7F68" w:rsidP="007F79CE">
      <w:pPr>
        <w:spacing w:line="360" w:lineRule="auto"/>
        <w:rPr>
          <w:rFonts w:ascii="Times New Roman" w:hAnsi="Times New Roman" w:cs="Times New Roman"/>
          <w:color w:val="000000" w:themeColor="text1"/>
          <w:szCs w:val="21"/>
        </w:rPr>
      </w:pPr>
      <w:r w:rsidRPr="007F79CE">
        <w:rPr>
          <w:rFonts w:ascii="Times New Roman" w:hAnsi="Times New Roman" w:cs="Times New Roman"/>
          <w:color w:val="000000" w:themeColor="text1"/>
          <w:szCs w:val="21"/>
        </w:rPr>
        <w:t>(A) Correlation of cell clusters based on 24 somatotroph adenomas. (B) Links of ligands and receptors between cell clusters inferred from single-cell data. (C) Dotplot of top 20 ligands of cell clusters.</w:t>
      </w:r>
    </w:p>
    <w:p w14:paraId="10B2C5DF" w14:textId="7A3791F7" w:rsidR="00F13B7E" w:rsidRPr="007F79CE" w:rsidRDefault="00F13B7E" w:rsidP="007F79CE">
      <w:pPr>
        <w:spacing w:line="360" w:lineRule="auto"/>
        <w:rPr>
          <w:rFonts w:ascii="Times New Roman" w:hAnsi="Times New Roman" w:cs="Times New Roman"/>
          <w:color w:val="000000" w:themeColor="text1"/>
          <w:szCs w:val="21"/>
        </w:rPr>
      </w:pPr>
    </w:p>
    <w:sectPr w:rsidR="00F13B7E" w:rsidRPr="007F79CE" w:rsidSect="009F0F5F">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D54B5" w14:textId="77777777" w:rsidR="00F051FE" w:rsidRDefault="00F051FE" w:rsidP="009C4A77">
      <w:r>
        <w:separator/>
      </w:r>
    </w:p>
  </w:endnote>
  <w:endnote w:type="continuationSeparator" w:id="0">
    <w:p w14:paraId="124EBE7A" w14:textId="77777777" w:rsidR="00F051FE" w:rsidRDefault="00F051FE" w:rsidP="009C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F50DD" w14:textId="77777777" w:rsidR="00F051FE" w:rsidRDefault="00F051FE" w:rsidP="009C4A77">
      <w:r>
        <w:separator/>
      </w:r>
    </w:p>
  </w:footnote>
  <w:footnote w:type="continuationSeparator" w:id="0">
    <w:p w14:paraId="7F8C6641" w14:textId="77777777" w:rsidR="00F051FE" w:rsidRDefault="00F051FE" w:rsidP="009C4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68"/>
    <w:rsid w:val="00004CA9"/>
    <w:rsid w:val="00007AAD"/>
    <w:rsid w:val="0001285C"/>
    <w:rsid w:val="00030A9B"/>
    <w:rsid w:val="000543D5"/>
    <w:rsid w:val="0006150F"/>
    <w:rsid w:val="000669F7"/>
    <w:rsid w:val="000B17FE"/>
    <w:rsid w:val="000B7DD1"/>
    <w:rsid w:val="000E72D9"/>
    <w:rsid w:val="001161F2"/>
    <w:rsid w:val="00123C9F"/>
    <w:rsid w:val="00182D18"/>
    <w:rsid w:val="001A0294"/>
    <w:rsid w:val="001A48A6"/>
    <w:rsid w:val="001E1FE1"/>
    <w:rsid w:val="001E594B"/>
    <w:rsid w:val="002066C5"/>
    <w:rsid w:val="00243A8C"/>
    <w:rsid w:val="0027319C"/>
    <w:rsid w:val="00274C8C"/>
    <w:rsid w:val="00285B62"/>
    <w:rsid w:val="002A44FF"/>
    <w:rsid w:val="002C2138"/>
    <w:rsid w:val="00301F94"/>
    <w:rsid w:val="00304FD1"/>
    <w:rsid w:val="0036696F"/>
    <w:rsid w:val="003717D1"/>
    <w:rsid w:val="00384227"/>
    <w:rsid w:val="003C605E"/>
    <w:rsid w:val="003D541D"/>
    <w:rsid w:val="003D7C47"/>
    <w:rsid w:val="00412EEB"/>
    <w:rsid w:val="00425836"/>
    <w:rsid w:val="00466B94"/>
    <w:rsid w:val="00487802"/>
    <w:rsid w:val="004C766B"/>
    <w:rsid w:val="004D4456"/>
    <w:rsid w:val="004F0EDE"/>
    <w:rsid w:val="004F5B5E"/>
    <w:rsid w:val="005238AA"/>
    <w:rsid w:val="005255C6"/>
    <w:rsid w:val="00594187"/>
    <w:rsid w:val="005A46F2"/>
    <w:rsid w:val="005C0E56"/>
    <w:rsid w:val="005D7E0F"/>
    <w:rsid w:val="0063111B"/>
    <w:rsid w:val="00672E65"/>
    <w:rsid w:val="00686C3E"/>
    <w:rsid w:val="00693841"/>
    <w:rsid w:val="006A764C"/>
    <w:rsid w:val="006B6793"/>
    <w:rsid w:val="006D6972"/>
    <w:rsid w:val="006F7117"/>
    <w:rsid w:val="006F71AA"/>
    <w:rsid w:val="007168DD"/>
    <w:rsid w:val="00721AE2"/>
    <w:rsid w:val="00723E7B"/>
    <w:rsid w:val="00747A57"/>
    <w:rsid w:val="00756BA4"/>
    <w:rsid w:val="0076708E"/>
    <w:rsid w:val="007736B9"/>
    <w:rsid w:val="00773BA5"/>
    <w:rsid w:val="007A3113"/>
    <w:rsid w:val="007C6D5D"/>
    <w:rsid w:val="007E53A7"/>
    <w:rsid w:val="007F79CE"/>
    <w:rsid w:val="008008EF"/>
    <w:rsid w:val="00823417"/>
    <w:rsid w:val="00832F06"/>
    <w:rsid w:val="008A1FB8"/>
    <w:rsid w:val="008D4243"/>
    <w:rsid w:val="00907D26"/>
    <w:rsid w:val="00941F8D"/>
    <w:rsid w:val="009C4A77"/>
    <w:rsid w:val="009F0F5F"/>
    <w:rsid w:val="009F50BF"/>
    <w:rsid w:val="00A231BF"/>
    <w:rsid w:val="00A45EB4"/>
    <w:rsid w:val="00A50A61"/>
    <w:rsid w:val="00AD28F1"/>
    <w:rsid w:val="00AD7A8A"/>
    <w:rsid w:val="00AE2D4B"/>
    <w:rsid w:val="00AF1DD1"/>
    <w:rsid w:val="00B038C4"/>
    <w:rsid w:val="00B27D72"/>
    <w:rsid w:val="00B33B15"/>
    <w:rsid w:val="00B46D50"/>
    <w:rsid w:val="00B60338"/>
    <w:rsid w:val="00B9134C"/>
    <w:rsid w:val="00BA25AD"/>
    <w:rsid w:val="00BA306B"/>
    <w:rsid w:val="00BC0CFB"/>
    <w:rsid w:val="00BC7F68"/>
    <w:rsid w:val="00BD4B14"/>
    <w:rsid w:val="00BE41E3"/>
    <w:rsid w:val="00C10426"/>
    <w:rsid w:val="00C12F98"/>
    <w:rsid w:val="00C81680"/>
    <w:rsid w:val="00C94147"/>
    <w:rsid w:val="00CB6673"/>
    <w:rsid w:val="00CC54F8"/>
    <w:rsid w:val="00CF524F"/>
    <w:rsid w:val="00D211F7"/>
    <w:rsid w:val="00D24804"/>
    <w:rsid w:val="00D270EC"/>
    <w:rsid w:val="00D31551"/>
    <w:rsid w:val="00D35D34"/>
    <w:rsid w:val="00D75A7B"/>
    <w:rsid w:val="00D87FF1"/>
    <w:rsid w:val="00D910F2"/>
    <w:rsid w:val="00D97350"/>
    <w:rsid w:val="00DB1BBC"/>
    <w:rsid w:val="00DB6A41"/>
    <w:rsid w:val="00DC0E93"/>
    <w:rsid w:val="00E36ADC"/>
    <w:rsid w:val="00E435E9"/>
    <w:rsid w:val="00E51FEA"/>
    <w:rsid w:val="00E56F30"/>
    <w:rsid w:val="00E75B9C"/>
    <w:rsid w:val="00E83E68"/>
    <w:rsid w:val="00EA18D0"/>
    <w:rsid w:val="00EB2E95"/>
    <w:rsid w:val="00EE608B"/>
    <w:rsid w:val="00F051FE"/>
    <w:rsid w:val="00F13B7E"/>
    <w:rsid w:val="00F2381B"/>
    <w:rsid w:val="00F25566"/>
    <w:rsid w:val="00F431A3"/>
    <w:rsid w:val="00F46675"/>
    <w:rsid w:val="00F60D9B"/>
    <w:rsid w:val="00F76A90"/>
    <w:rsid w:val="00F929BF"/>
    <w:rsid w:val="00FA0518"/>
    <w:rsid w:val="00FE1B3C"/>
    <w:rsid w:val="00FF4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E64D8"/>
  <w15:chartTrackingRefBased/>
  <w15:docId w15:val="{68AAAB2D-6013-CC41-A254-25E7B8BA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7F68"/>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A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C4A77"/>
    <w:rPr>
      <w:sz w:val="18"/>
      <w:szCs w:val="18"/>
    </w:rPr>
  </w:style>
  <w:style w:type="paragraph" w:styleId="a5">
    <w:name w:val="footer"/>
    <w:basedOn w:val="a"/>
    <w:link w:val="a6"/>
    <w:uiPriority w:val="99"/>
    <w:unhideWhenUsed/>
    <w:rsid w:val="009C4A77"/>
    <w:pPr>
      <w:tabs>
        <w:tab w:val="center" w:pos="4153"/>
        <w:tab w:val="right" w:pos="8306"/>
      </w:tabs>
      <w:snapToGrid w:val="0"/>
      <w:jc w:val="left"/>
    </w:pPr>
    <w:rPr>
      <w:sz w:val="18"/>
      <w:szCs w:val="18"/>
    </w:rPr>
  </w:style>
  <w:style w:type="character" w:customStyle="1" w:styleId="a6">
    <w:name w:val="页脚 字符"/>
    <w:basedOn w:val="a0"/>
    <w:link w:val="a5"/>
    <w:uiPriority w:val="99"/>
    <w:rsid w:val="009C4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168</Words>
  <Characters>958</Characters>
  <Application>Microsoft Office Word</Application>
  <DocSecurity>0</DocSecurity>
  <Lines>7</Lines>
  <Paragraphs>2</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houshi</cp:lastModifiedBy>
  <cp:revision>5</cp:revision>
  <dcterms:created xsi:type="dcterms:W3CDTF">2022-05-28T01:33:00Z</dcterms:created>
  <dcterms:modified xsi:type="dcterms:W3CDTF">2022-06-04T16:13:00Z</dcterms:modified>
</cp:coreProperties>
</file>