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keepNext/>
        <w:jc w:val="both"/>
      </w:pPr>
      <w:r>
        <w:object w:dxaOrig="12396" w:dyaOrig="120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25pt;height:442.5pt" o:ole="" filled="t">
            <v:imagedata r:id="rId4" o:title=""/>
          </v:shape>
          <o:OLEObject Type="Embed" ProgID="Prism7.Document" ShapeID="_x0000_i1025" DrawAspect="Content" ObjectID="_1725775322" r:id="rId5"/>
        </w:object>
      </w:r>
    </w:p>
    <w:p>
      <w:pPr>
        <w:pStyle w:val="Beschriftung"/>
        <w:jc w:val="both"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Supplementary information Fig. 1: Establishment of antibody combination and determination of the optimal antibody concentrations: </w:t>
      </w:r>
      <w:proofErr w:type="spellStart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a+b</w:t>
      </w:r>
      <w:proofErr w:type="spellEnd"/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Combination of the antibodies Ataxin2mono-Tb and MW1-D2 (</w:t>
      </w:r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or Ataxin2mono-Tb and 1C2-D2 (</w:t>
      </w:r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b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each in three different concentrations: Ataxin2poly-Tb with 0.3 ng, 0.5 ng and 1 ng/µl, MW1- D2 or 1C2-D2 with 1 ng, 3 ng and 10 ng/µl. Conduction of the TR-FRET measurement with homogenates from wildtype mouse liver (red; WT) and Atxn2-CAG100 knock-in mouse liver (blue; KI), a total protein concentration of 1 µg/µl in RIPA buffer. The highest discrimination between WT and KI (green box) was achieved with the concentrations of Ataxin2mono-Tb 0.5 ng/µl x MW1-D2 3 ng/µl (</w:t>
      </w:r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and Ataxin2mono-Tb 0.3 ng/µl x 1C2-D2 10 ng/µl (</w:t>
      </w:r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b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). Comparison of different lysis buffers: </w:t>
      </w:r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c-f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Combination of the antibodies Ataxin2poly-Tb and MW1-D2 (</w:t>
      </w:r>
      <w:proofErr w:type="spellStart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c+e</w:t>
      </w:r>
      <w:proofErr w:type="spellEnd"/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or Ataxin2poly-Tb and 1C2-D2 (</w:t>
      </w:r>
      <w:proofErr w:type="spellStart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e+f</w:t>
      </w:r>
      <w:proofErr w:type="spellEnd"/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each in three different concentrations: Ataxin2poly-Tb with 0.3 ng, 0.5 ng and 1 ng/µl, MW1- D2 or 1C2-D2 with 1 ng, 3 ng and 10 ng/µl. Conduction of the TR-FRET measurement with homogenates from wildtype mouse liver (red; WT) and Atxn2-CAG100 knock-in mouse liver (blue; KI), a total protein concentration of 1 µg/µl in PBS buffer (</w:t>
      </w:r>
      <w:proofErr w:type="spellStart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c+d</w:t>
      </w:r>
      <w:proofErr w:type="spellEnd"/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or in TES/TNES buffer (</w:t>
      </w:r>
      <w:proofErr w:type="spellStart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e+f</w:t>
      </w:r>
      <w:proofErr w:type="spellEnd"/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). The highest discrimination between WT and KI is illustrated by a green box.</w:t>
      </w:r>
    </w:p>
    <w:p>
      <w:pPr>
        <w:keepNext/>
        <w:jc w:val="both"/>
        <w:rPr>
          <w:lang w:val="en-US"/>
        </w:rPr>
      </w:pPr>
      <w:r>
        <w:rPr>
          <w:lang w:val="en-US"/>
        </w:rPr>
        <w:object w:dxaOrig="12528" w:dyaOrig="11861">
          <v:shape id="_x0000_i1026" type="#_x0000_t75" style="width:453pt;height:429pt" o:ole="" filled="t">
            <v:imagedata r:id="rId6" o:title=""/>
          </v:shape>
          <o:OLEObject Type="Embed" ProgID="Prism7.Document" ShapeID="_x0000_i1026" DrawAspect="Content" ObjectID="_1725775323" r:id="rId7"/>
        </w:object>
      </w:r>
    </w:p>
    <w:p>
      <w:pPr>
        <w:pStyle w:val="Beschriftung"/>
        <w:jc w:val="both"/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</w:pP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Supplementary information Fig. 2: </w:t>
      </w:r>
      <w:proofErr w:type="spellStart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a+b</w:t>
      </w:r>
      <w:proofErr w:type="spellEnd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 xml:space="preserve">) 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Testing of different protein concentrations. Homogenates from mouse embryonic fibroblasts (MEF) isolated from wildtype mice (red; WT) or Atxn2-CAG100 knock-in mice (blue; KI) (</w:t>
      </w:r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a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) or homogenates from HEK293T (HEK) cells, which were either transfected with myc ATXN2 plasmids with a length of 22 glutamines (red; 22Q), a length of 79 glutamines (blue; 79Q) or empty myc plasmids (black; Ø) (</w:t>
      </w:r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b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 xml:space="preserve">) were diluted in RIPA buffer to a total protein concentration of 2 µg/µl or 1 µg/µl and measured with the antibody combination Ataxin2mono-Tb 0.5 ng/µl x MW1-D2 3 ng/µl using TR-FRET. </w:t>
      </w:r>
      <w:proofErr w:type="spellStart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>c+d</w:t>
      </w:r>
      <w:proofErr w:type="spellEnd"/>
      <w:r>
        <w:rPr>
          <w:rFonts w:ascii="Times New Roman" w:hAnsi="Times New Roman" w:cs="Times New Roman"/>
          <w:b/>
          <w:bCs/>
          <w:i w:val="0"/>
          <w:color w:val="auto"/>
          <w:sz w:val="20"/>
          <w:szCs w:val="20"/>
          <w:lang w:val="en-US"/>
        </w:rPr>
        <w:t xml:space="preserve">) </w:t>
      </w:r>
      <w:r>
        <w:rPr>
          <w:rFonts w:ascii="Times New Roman" w:hAnsi="Times New Roman" w:cs="Times New Roman"/>
          <w:i w:val="0"/>
          <w:color w:val="auto"/>
          <w:sz w:val="20"/>
          <w:szCs w:val="20"/>
          <w:lang w:val="en-US"/>
        </w:rPr>
        <w:t>The SCA2 specificity was determined with the antibody combinations Ataxin2poly-Tb x MW1-D2 (c) and Ataxin2poly-Tb x 1C2-D2 (d). For this purpose, homogenates from wildtype mouse cerebellum (red; control), SCA3, SCA17 or HD mouse cerebellum homogenates (all green) compared to SCA2 Atxn2-CAG100 knock-in mouse cerebellar samples (blue; SCA2) were measured with the indicated antibody combination and concentrations. Both antibody combinations can specifically distinguish the SCA2 samples. e) Western Blot of human material: lysates of human fibroblasts, human induced pluripotent stem cells (iPSCs) and human cortical neurons (CNs) from SCA2 patients (Ax) and matching controls (Co) detected with the polyclonal Ataxin2poly antibody. β-Actin is shown as loading control. The protein ATXN2 can be detected at 150 kDa (Western Blot analysis with 20 µg of total protein and 10% Bis-Tris gel; ex = expanded ataxin-2, WT = wildtype ataxin-2).</w:t>
      </w:r>
      <w:bookmarkStart w:id="0" w:name="_GoBack"/>
      <w:bookmarkEnd w:id="0"/>
    </w:p>
    <w:p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>
      <w:pPr>
        <w:rPr>
          <w:lang w:val="en-US"/>
        </w:rPr>
      </w:pP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AD38A-1393-49ED-B875-FFB340686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_J_ _B_</dc:creator>
  <cp:keywords/>
  <dc:description/>
  <cp:lastModifiedBy>Dr. Jeannette Hübener-Schmid</cp:lastModifiedBy>
  <cp:revision>2</cp:revision>
  <dcterms:created xsi:type="dcterms:W3CDTF">2022-09-26T19:42:00Z</dcterms:created>
  <dcterms:modified xsi:type="dcterms:W3CDTF">2022-09-27T07:15:00Z</dcterms:modified>
</cp:coreProperties>
</file>