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06"/>
        <w:gridCol w:w="1210"/>
        <w:gridCol w:w="1210"/>
        <w:gridCol w:w="1335"/>
      </w:tblGrid>
      <w:tr w:rsidR="001E0255" w14:paraId="33461289" w14:textId="77777777" w:rsidTr="00305682">
        <w:tc>
          <w:tcPr>
            <w:tcW w:w="6521" w:type="dxa"/>
            <w:gridSpan w:val="5"/>
            <w:tcBorders>
              <w:bottom w:val="single" w:sz="12" w:space="0" w:color="auto"/>
            </w:tcBorders>
          </w:tcPr>
          <w:p w14:paraId="3F9ADE11" w14:textId="77777777" w:rsidR="001E0255" w:rsidRPr="00552096" w:rsidRDefault="001E0255" w:rsidP="00305682">
            <w:pPr>
              <w:rPr>
                <w:rFonts w:eastAsia="等线" w:cs="Times New Roman"/>
                <w:b/>
                <w:bCs/>
                <w:sz w:val="22"/>
                <w:szCs w:val="22"/>
                <w:lang w:eastAsia="en-US"/>
              </w:rPr>
            </w:pPr>
            <w:r w:rsidRPr="00552096">
              <w:rPr>
                <w:rFonts w:eastAsia="等线" w:cs="Times New Roman"/>
                <w:b/>
                <w:bCs/>
                <w:sz w:val="22"/>
                <w:szCs w:val="22"/>
                <w:lang w:eastAsia="en-US"/>
              </w:rPr>
              <w:t xml:space="preserve">Supplementary Table 1. Statistics of sequencing data. </w:t>
            </w:r>
          </w:p>
        </w:tc>
      </w:tr>
      <w:tr w:rsidR="001E0255" w14:paraId="598EC213" w14:textId="77777777" w:rsidTr="00305682"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2241DBE0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</w:rPr>
            </w:pPr>
            <w:r>
              <w:rPr>
                <w:rFonts w:eastAsia="等线" w:cs="Times New Roman" w:hint="eastAsia"/>
                <w:sz w:val="22"/>
                <w:szCs w:val="22"/>
              </w:rPr>
              <w:t>T</w:t>
            </w:r>
            <w:r>
              <w:rPr>
                <w:rFonts w:eastAsia="等线" w:cs="Times New Roman"/>
                <w:sz w:val="22"/>
                <w:szCs w:val="22"/>
              </w:rPr>
              <w:t>erms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</w:tcPr>
          <w:p w14:paraId="539CEC80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</w:rPr>
            </w:pPr>
            <w:r>
              <w:rPr>
                <w:rFonts w:eastAsia="等线" w:cs="Times New Roman" w:hint="eastAsia"/>
                <w:sz w:val="22"/>
                <w:szCs w:val="22"/>
              </w:rPr>
              <w:t>N</w:t>
            </w:r>
            <w:r>
              <w:rPr>
                <w:rFonts w:eastAsia="等线" w:cs="Times New Roman"/>
                <w:sz w:val="22"/>
                <w:szCs w:val="22"/>
              </w:rPr>
              <w:t>C-1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</w:tcPr>
          <w:p w14:paraId="4629D952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</w:rPr>
            </w:pPr>
            <w:r>
              <w:rPr>
                <w:rFonts w:eastAsia="等线" w:cs="Times New Roman" w:hint="eastAsia"/>
                <w:sz w:val="22"/>
                <w:szCs w:val="22"/>
              </w:rPr>
              <w:t>N</w:t>
            </w:r>
            <w:r>
              <w:rPr>
                <w:rFonts w:eastAsia="等线" w:cs="Times New Roman"/>
                <w:sz w:val="22"/>
                <w:szCs w:val="22"/>
              </w:rPr>
              <w:t>C-2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</w:tcPr>
          <w:p w14:paraId="4E82EB11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</w:rPr>
            </w:pPr>
            <w:r>
              <w:rPr>
                <w:rFonts w:eastAsia="等线" w:cs="Times New Roman"/>
                <w:sz w:val="22"/>
                <w:szCs w:val="22"/>
              </w:rPr>
              <w:t>si-Livin-1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6" w:space="0" w:color="auto"/>
            </w:tcBorders>
          </w:tcPr>
          <w:p w14:paraId="0F80C192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>
              <w:rPr>
                <w:rFonts w:eastAsia="等线" w:cs="Times New Roman"/>
                <w:sz w:val="22"/>
                <w:szCs w:val="22"/>
                <w:lang w:eastAsia="en-US"/>
              </w:rPr>
              <w:t>s</w:t>
            </w:r>
            <w:r w:rsidRPr="007975E6">
              <w:rPr>
                <w:rFonts w:eastAsia="等线" w:cs="Times New Roman"/>
                <w:sz w:val="22"/>
                <w:szCs w:val="22"/>
                <w:lang w:eastAsia="en-US"/>
              </w:rPr>
              <w:t>i-Livin-</w:t>
            </w:r>
            <w:r>
              <w:rPr>
                <w:rFonts w:eastAsia="等线" w:cs="Times New Roman"/>
                <w:sz w:val="22"/>
                <w:szCs w:val="22"/>
                <w:lang w:eastAsia="en-US"/>
              </w:rPr>
              <w:t>2</w:t>
            </w:r>
          </w:p>
        </w:tc>
      </w:tr>
      <w:tr w:rsidR="001E0255" w14:paraId="057B8046" w14:textId="77777777" w:rsidTr="00305682">
        <w:tc>
          <w:tcPr>
            <w:tcW w:w="1560" w:type="dxa"/>
            <w:tcBorders>
              <w:top w:val="single" w:sz="6" w:space="0" w:color="auto"/>
            </w:tcBorders>
          </w:tcPr>
          <w:p w14:paraId="54B82A0B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7975E6">
              <w:rPr>
                <w:rFonts w:eastAsia="等线" w:cs="Times New Roman"/>
                <w:sz w:val="22"/>
                <w:szCs w:val="22"/>
                <w:lang w:eastAsia="en-US"/>
              </w:rPr>
              <w:t>Raw</w:t>
            </w:r>
            <w:r>
              <w:rPr>
                <w:rFonts w:eastAsia="等线" w:cs="Times New Roman"/>
                <w:sz w:val="22"/>
                <w:szCs w:val="22"/>
                <w:lang w:eastAsia="en-US"/>
              </w:rPr>
              <w:t xml:space="preserve"> </w:t>
            </w:r>
            <w:r w:rsidRPr="007975E6">
              <w:rPr>
                <w:rFonts w:eastAsia="等线" w:cs="Times New Roman"/>
                <w:sz w:val="22"/>
                <w:szCs w:val="22"/>
                <w:lang w:eastAsia="en-US"/>
              </w:rPr>
              <w:t>Reads</w:t>
            </w:r>
          </w:p>
        </w:tc>
        <w:tc>
          <w:tcPr>
            <w:tcW w:w="1206" w:type="dxa"/>
            <w:tcBorders>
              <w:top w:val="single" w:sz="6" w:space="0" w:color="auto"/>
            </w:tcBorders>
          </w:tcPr>
          <w:p w14:paraId="3831CB5A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23,544,701</w:t>
            </w:r>
          </w:p>
        </w:tc>
        <w:tc>
          <w:tcPr>
            <w:tcW w:w="1210" w:type="dxa"/>
            <w:tcBorders>
              <w:top w:val="single" w:sz="6" w:space="0" w:color="auto"/>
            </w:tcBorders>
          </w:tcPr>
          <w:p w14:paraId="69530FFD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26,107,172</w:t>
            </w:r>
          </w:p>
        </w:tc>
        <w:tc>
          <w:tcPr>
            <w:tcW w:w="1210" w:type="dxa"/>
            <w:tcBorders>
              <w:top w:val="single" w:sz="6" w:space="0" w:color="auto"/>
            </w:tcBorders>
          </w:tcPr>
          <w:p w14:paraId="32994403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22,650,920</w:t>
            </w:r>
          </w:p>
        </w:tc>
        <w:tc>
          <w:tcPr>
            <w:tcW w:w="1335" w:type="dxa"/>
            <w:tcBorders>
              <w:top w:val="single" w:sz="6" w:space="0" w:color="auto"/>
            </w:tcBorders>
          </w:tcPr>
          <w:p w14:paraId="3CD2FE88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23,388,221</w:t>
            </w:r>
          </w:p>
        </w:tc>
      </w:tr>
      <w:tr w:rsidR="001E0255" w14:paraId="27931564" w14:textId="77777777" w:rsidTr="00305682">
        <w:tc>
          <w:tcPr>
            <w:tcW w:w="1560" w:type="dxa"/>
          </w:tcPr>
          <w:p w14:paraId="6DF4C13D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Clean</w:t>
            </w:r>
            <w:r>
              <w:rPr>
                <w:rFonts w:eastAsia="等线" w:cs="Times New Roman"/>
                <w:sz w:val="22"/>
                <w:szCs w:val="22"/>
                <w:lang w:eastAsia="en-US"/>
              </w:rPr>
              <w:t xml:space="preserve"> </w:t>
            </w: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Reads</w:t>
            </w:r>
          </w:p>
        </w:tc>
        <w:tc>
          <w:tcPr>
            <w:tcW w:w="1206" w:type="dxa"/>
          </w:tcPr>
          <w:p w14:paraId="61A629C2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23,229,669</w:t>
            </w:r>
          </w:p>
        </w:tc>
        <w:tc>
          <w:tcPr>
            <w:tcW w:w="1210" w:type="dxa"/>
          </w:tcPr>
          <w:p w14:paraId="3E9CE732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25,680,786</w:t>
            </w:r>
          </w:p>
        </w:tc>
        <w:tc>
          <w:tcPr>
            <w:tcW w:w="1210" w:type="dxa"/>
          </w:tcPr>
          <w:p w14:paraId="245E3C56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20,769,729</w:t>
            </w:r>
          </w:p>
        </w:tc>
        <w:tc>
          <w:tcPr>
            <w:tcW w:w="1335" w:type="dxa"/>
          </w:tcPr>
          <w:p w14:paraId="4E3D7A8B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21,752,206</w:t>
            </w:r>
          </w:p>
        </w:tc>
      </w:tr>
      <w:tr w:rsidR="001E0255" w14:paraId="47E8DC0C" w14:textId="77777777" w:rsidTr="00305682">
        <w:tc>
          <w:tcPr>
            <w:tcW w:w="1560" w:type="dxa"/>
          </w:tcPr>
          <w:p w14:paraId="50A87093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Q20</w:t>
            </w:r>
          </w:p>
        </w:tc>
        <w:tc>
          <w:tcPr>
            <w:tcW w:w="1206" w:type="dxa"/>
          </w:tcPr>
          <w:p w14:paraId="68F389AC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96.98%</w:t>
            </w:r>
          </w:p>
        </w:tc>
        <w:tc>
          <w:tcPr>
            <w:tcW w:w="1210" w:type="dxa"/>
          </w:tcPr>
          <w:p w14:paraId="61F57641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96.66%</w:t>
            </w:r>
          </w:p>
        </w:tc>
        <w:tc>
          <w:tcPr>
            <w:tcW w:w="1210" w:type="dxa"/>
          </w:tcPr>
          <w:p w14:paraId="20C69599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96.75%</w:t>
            </w:r>
          </w:p>
        </w:tc>
        <w:tc>
          <w:tcPr>
            <w:tcW w:w="1335" w:type="dxa"/>
          </w:tcPr>
          <w:p w14:paraId="7D65DD54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96.51%</w:t>
            </w:r>
          </w:p>
        </w:tc>
      </w:tr>
      <w:tr w:rsidR="001E0255" w14:paraId="43C21F75" w14:textId="77777777" w:rsidTr="00305682">
        <w:tc>
          <w:tcPr>
            <w:tcW w:w="1560" w:type="dxa"/>
          </w:tcPr>
          <w:p w14:paraId="4B4E8E01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Q30</w:t>
            </w:r>
          </w:p>
        </w:tc>
        <w:tc>
          <w:tcPr>
            <w:tcW w:w="1206" w:type="dxa"/>
          </w:tcPr>
          <w:p w14:paraId="1FAA8772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92.10%</w:t>
            </w:r>
          </w:p>
        </w:tc>
        <w:tc>
          <w:tcPr>
            <w:tcW w:w="1210" w:type="dxa"/>
          </w:tcPr>
          <w:p w14:paraId="6C1AD40A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91.47%</w:t>
            </w:r>
          </w:p>
        </w:tc>
        <w:tc>
          <w:tcPr>
            <w:tcW w:w="1210" w:type="dxa"/>
          </w:tcPr>
          <w:p w14:paraId="5C45633D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91.66%</w:t>
            </w:r>
          </w:p>
        </w:tc>
        <w:tc>
          <w:tcPr>
            <w:tcW w:w="1335" w:type="dxa"/>
          </w:tcPr>
          <w:p w14:paraId="6CFD12AB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91.17%</w:t>
            </w:r>
          </w:p>
        </w:tc>
      </w:tr>
      <w:tr w:rsidR="001E0255" w14:paraId="075749C5" w14:textId="77777777" w:rsidTr="00305682">
        <w:tc>
          <w:tcPr>
            <w:tcW w:w="1560" w:type="dxa"/>
          </w:tcPr>
          <w:p w14:paraId="093DB6BB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GC%</w:t>
            </w:r>
          </w:p>
        </w:tc>
        <w:tc>
          <w:tcPr>
            <w:tcW w:w="1206" w:type="dxa"/>
          </w:tcPr>
          <w:p w14:paraId="1F97D4A4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50.83%</w:t>
            </w:r>
          </w:p>
        </w:tc>
        <w:tc>
          <w:tcPr>
            <w:tcW w:w="1210" w:type="dxa"/>
          </w:tcPr>
          <w:p w14:paraId="1EC54D9B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50.53%</w:t>
            </w:r>
          </w:p>
        </w:tc>
        <w:tc>
          <w:tcPr>
            <w:tcW w:w="1210" w:type="dxa"/>
          </w:tcPr>
          <w:p w14:paraId="123EE55D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49.99%</w:t>
            </w:r>
          </w:p>
        </w:tc>
        <w:tc>
          <w:tcPr>
            <w:tcW w:w="1335" w:type="dxa"/>
          </w:tcPr>
          <w:p w14:paraId="11F1E127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48.88%</w:t>
            </w:r>
          </w:p>
        </w:tc>
      </w:tr>
      <w:tr w:rsidR="001E0255" w14:paraId="2C98BC83" w14:textId="77777777" w:rsidTr="00305682">
        <w:tc>
          <w:tcPr>
            <w:tcW w:w="1560" w:type="dxa"/>
          </w:tcPr>
          <w:p w14:paraId="3AB5D1AD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Mapped</w:t>
            </w:r>
            <w:r>
              <w:rPr>
                <w:rFonts w:eastAsia="等线" w:cs="Times New Roman"/>
                <w:sz w:val="22"/>
                <w:szCs w:val="22"/>
                <w:lang w:eastAsia="en-US"/>
              </w:rPr>
              <w:t xml:space="preserve"> </w:t>
            </w: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Reads</w:t>
            </w:r>
          </w:p>
        </w:tc>
        <w:tc>
          <w:tcPr>
            <w:tcW w:w="1206" w:type="dxa"/>
          </w:tcPr>
          <w:p w14:paraId="6C399BC8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19,540,373</w:t>
            </w:r>
          </w:p>
        </w:tc>
        <w:tc>
          <w:tcPr>
            <w:tcW w:w="1210" w:type="dxa"/>
          </w:tcPr>
          <w:p w14:paraId="791A41DC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21,522,256</w:t>
            </w:r>
          </w:p>
        </w:tc>
        <w:tc>
          <w:tcPr>
            <w:tcW w:w="1210" w:type="dxa"/>
          </w:tcPr>
          <w:p w14:paraId="7F5D9F03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16,824,378</w:t>
            </w:r>
          </w:p>
        </w:tc>
        <w:tc>
          <w:tcPr>
            <w:tcW w:w="1335" w:type="dxa"/>
          </w:tcPr>
          <w:p w14:paraId="45AA2D4D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17,582,661</w:t>
            </w:r>
          </w:p>
        </w:tc>
      </w:tr>
      <w:tr w:rsidR="001E0255" w14:paraId="0F2FC825" w14:textId="77777777" w:rsidTr="00305682">
        <w:tc>
          <w:tcPr>
            <w:tcW w:w="1560" w:type="dxa"/>
            <w:tcBorders>
              <w:bottom w:val="single" w:sz="12" w:space="0" w:color="auto"/>
            </w:tcBorders>
          </w:tcPr>
          <w:p w14:paraId="7A84C9C0" w14:textId="77777777" w:rsidR="001E0255" w:rsidRPr="0094499E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Mapping</w:t>
            </w:r>
            <w:r>
              <w:rPr>
                <w:rFonts w:eastAsia="等线" w:cs="Times New Roman"/>
                <w:sz w:val="22"/>
                <w:szCs w:val="22"/>
                <w:lang w:eastAsia="en-US"/>
              </w:rPr>
              <w:t xml:space="preserve"> </w:t>
            </w: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Rate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14:paraId="533CB49F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84.12%</w:t>
            </w:r>
          </w:p>
        </w:tc>
        <w:tc>
          <w:tcPr>
            <w:tcW w:w="1210" w:type="dxa"/>
            <w:tcBorders>
              <w:bottom w:val="single" w:sz="12" w:space="0" w:color="auto"/>
            </w:tcBorders>
          </w:tcPr>
          <w:p w14:paraId="5AEA2AED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83.81%</w:t>
            </w:r>
          </w:p>
        </w:tc>
        <w:tc>
          <w:tcPr>
            <w:tcW w:w="1210" w:type="dxa"/>
            <w:tcBorders>
              <w:bottom w:val="single" w:sz="12" w:space="0" w:color="auto"/>
            </w:tcBorders>
          </w:tcPr>
          <w:p w14:paraId="647DA6E7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81.00%</w:t>
            </w: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14:paraId="4378DFD5" w14:textId="77777777" w:rsidR="001E0255" w:rsidRDefault="001E0255" w:rsidP="00305682">
            <w:pPr>
              <w:rPr>
                <w:rFonts w:eastAsia="等线" w:cs="Times New Roman"/>
                <w:sz w:val="22"/>
                <w:szCs w:val="22"/>
                <w:lang w:eastAsia="en-US"/>
              </w:rPr>
            </w:pPr>
            <w:r w:rsidRPr="0094499E">
              <w:rPr>
                <w:rFonts w:eastAsia="等线" w:cs="Times New Roman"/>
                <w:sz w:val="22"/>
                <w:szCs w:val="22"/>
                <w:lang w:eastAsia="en-US"/>
              </w:rPr>
              <w:t>80.83%</w:t>
            </w:r>
          </w:p>
        </w:tc>
      </w:tr>
    </w:tbl>
    <w:p w14:paraId="371DFE25" w14:textId="77777777" w:rsidR="001E0255" w:rsidRPr="00FE36AB" w:rsidRDefault="001E0255" w:rsidP="001E0255">
      <w:pPr>
        <w:tabs>
          <w:tab w:val="left" w:pos="1077"/>
        </w:tabs>
        <w:rPr>
          <w:rFonts w:cs="Times New Roman"/>
        </w:rPr>
      </w:pPr>
    </w:p>
    <w:p w14:paraId="498E027A" w14:textId="77777777" w:rsidR="00CA4094" w:rsidRDefault="00CA4094"/>
    <w:sectPr w:rsidR="00CA409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55"/>
    <w:rsid w:val="001E0255"/>
    <w:rsid w:val="00533AF5"/>
    <w:rsid w:val="00CA4094"/>
    <w:rsid w:val="00E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AA155"/>
  <w15:chartTrackingRefBased/>
  <w15:docId w15:val="{0ABA4995-D5BF-445B-8942-44CD05AC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"/>
        <w:spacing w:val="15"/>
        <w:kern w:val="2"/>
        <w:sz w:val="23"/>
        <w:szCs w:val="23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255"/>
    <w:pPr>
      <w:widowControl w:val="0"/>
      <w:spacing w:line="360" w:lineRule="auto"/>
      <w:jc w:val="both"/>
    </w:pPr>
    <w:rPr>
      <w:rFonts w:eastAsia="Times New Roman" w:cs="宋体"/>
      <w:spacing w:val="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255"/>
    <w:pPr>
      <w:widowControl w:val="0"/>
      <w:jc w:val="both"/>
    </w:pPr>
    <w:rPr>
      <w:rFonts w:cs="Times New Roman"/>
      <w:spacing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1365571674@qq.com</dc:creator>
  <cp:keywords/>
  <dc:description/>
  <cp:lastModifiedBy>1365571674@qq.com</cp:lastModifiedBy>
  <cp:revision>1</cp:revision>
  <dcterms:created xsi:type="dcterms:W3CDTF">2022-09-15T07:32:00Z</dcterms:created>
  <dcterms:modified xsi:type="dcterms:W3CDTF">2022-09-15T07:32:00Z</dcterms:modified>
</cp:coreProperties>
</file>